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5B539" w14:textId="77777777" w:rsidR="00C35086" w:rsidRPr="004016BA" w:rsidRDefault="00C35086" w:rsidP="00C35086">
      <w:pPr>
        <w:pStyle w:val="NormalWeb"/>
        <w:jc w:val="center"/>
        <w:rPr>
          <w:rFonts w:ascii="Arial" w:hAnsi="Arial" w:cs="Arial"/>
          <w:b/>
          <w:bCs/>
          <w:sz w:val="36"/>
          <w:szCs w:val="36"/>
        </w:rPr>
      </w:pPr>
    </w:p>
    <w:p w14:paraId="65762518" w14:textId="77777777" w:rsidR="00C35086" w:rsidRPr="004016BA" w:rsidRDefault="00C35086" w:rsidP="00C35086">
      <w:pPr>
        <w:pStyle w:val="NormalWeb"/>
        <w:jc w:val="center"/>
        <w:rPr>
          <w:rFonts w:ascii="Arial" w:hAnsi="Arial" w:cs="Arial"/>
          <w:b/>
          <w:bCs/>
          <w:sz w:val="36"/>
          <w:szCs w:val="36"/>
        </w:rPr>
      </w:pPr>
    </w:p>
    <w:p w14:paraId="0079FE50" w14:textId="77777777" w:rsidR="00C35086" w:rsidRPr="004016BA" w:rsidRDefault="00C35086" w:rsidP="00C35086">
      <w:pPr>
        <w:pStyle w:val="NormalWeb"/>
        <w:rPr>
          <w:rFonts w:ascii="Arial" w:hAnsi="Arial" w:cs="Arial"/>
          <w:b/>
          <w:bCs/>
          <w:sz w:val="36"/>
          <w:szCs w:val="36"/>
        </w:rPr>
      </w:pPr>
    </w:p>
    <w:p w14:paraId="631DE873" w14:textId="77777777" w:rsidR="00C35086" w:rsidRPr="004016BA" w:rsidRDefault="00C35086" w:rsidP="00C35086">
      <w:pPr>
        <w:pStyle w:val="NormalWeb"/>
        <w:jc w:val="center"/>
        <w:rPr>
          <w:rFonts w:ascii="Arial" w:hAnsi="Arial" w:cs="Arial"/>
          <w:b/>
          <w:bCs/>
          <w:sz w:val="36"/>
          <w:szCs w:val="36"/>
        </w:rPr>
      </w:pPr>
      <w:r w:rsidRPr="004016BA">
        <w:rPr>
          <w:rFonts w:ascii="Arial" w:hAnsi="Arial" w:cs="Arial"/>
          <w:b/>
          <w:bCs/>
          <w:sz w:val="36"/>
          <w:szCs w:val="36"/>
        </w:rPr>
        <w:tab/>
      </w:r>
    </w:p>
    <w:p w14:paraId="6E68C315" w14:textId="6CD897C5" w:rsidR="00C35086" w:rsidRPr="00C35086" w:rsidRDefault="00C35086" w:rsidP="00C35086">
      <w:pPr>
        <w:pStyle w:val="NormalWeb"/>
        <w:tabs>
          <w:tab w:val="left" w:pos="3753"/>
        </w:tabs>
        <w:jc w:val="center"/>
        <w:rPr>
          <w:rFonts w:ascii="Arial" w:hAnsi="Arial" w:cs="Arial"/>
          <w:b/>
          <w:bCs/>
          <w:sz w:val="56"/>
          <w:szCs w:val="56"/>
        </w:rPr>
      </w:pPr>
      <w:r w:rsidRPr="004016BA">
        <w:rPr>
          <w:rFonts w:ascii="Arial" w:hAnsi="Arial" w:cs="Arial"/>
          <w:b/>
          <w:bCs/>
          <w:sz w:val="56"/>
          <w:szCs w:val="56"/>
        </w:rPr>
        <w:t>AUDIT AND ANALYSIS OF HYATT HOTEL GROUP</w:t>
      </w:r>
    </w:p>
    <w:p w14:paraId="6E9F493E" w14:textId="77777777" w:rsidR="00C35086" w:rsidRPr="004016BA" w:rsidRDefault="00C35086" w:rsidP="00C35086">
      <w:pPr>
        <w:pStyle w:val="NormalWeb"/>
        <w:tabs>
          <w:tab w:val="left" w:pos="3753"/>
        </w:tabs>
        <w:jc w:val="center"/>
        <w:rPr>
          <w:rFonts w:ascii="Arial" w:hAnsi="Arial" w:cs="Arial"/>
          <w:b/>
          <w:bCs/>
          <w:sz w:val="36"/>
          <w:szCs w:val="36"/>
        </w:rPr>
      </w:pPr>
    </w:p>
    <w:p w14:paraId="6FC9C263" w14:textId="77777777" w:rsidR="00C35086" w:rsidRPr="004016BA" w:rsidRDefault="00C35086" w:rsidP="00C35086">
      <w:pPr>
        <w:pStyle w:val="NormalWeb"/>
        <w:jc w:val="center"/>
        <w:rPr>
          <w:rFonts w:ascii="Arial" w:hAnsi="Arial" w:cs="Arial"/>
          <w:b/>
          <w:bCs/>
          <w:sz w:val="36"/>
          <w:szCs w:val="36"/>
        </w:rPr>
      </w:pPr>
    </w:p>
    <w:p w14:paraId="2A333B57" w14:textId="77777777" w:rsidR="00C35086" w:rsidRPr="004016BA" w:rsidRDefault="00C35086" w:rsidP="00C35086">
      <w:pPr>
        <w:pStyle w:val="NormalWeb"/>
        <w:jc w:val="center"/>
        <w:rPr>
          <w:rFonts w:ascii="Arial" w:hAnsi="Arial" w:cs="Arial"/>
          <w:b/>
          <w:bCs/>
          <w:sz w:val="36"/>
          <w:szCs w:val="36"/>
        </w:rPr>
      </w:pPr>
    </w:p>
    <w:p w14:paraId="0A783753" w14:textId="77777777" w:rsidR="00C35086" w:rsidRPr="004016BA" w:rsidRDefault="00C35086" w:rsidP="00C35086">
      <w:pPr>
        <w:pStyle w:val="NormalWeb"/>
        <w:jc w:val="center"/>
        <w:rPr>
          <w:rFonts w:ascii="Arial" w:hAnsi="Arial" w:cs="Arial"/>
          <w:b/>
          <w:bCs/>
          <w:sz w:val="36"/>
          <w:szCs w:val="36"/>
        </w:rPr>
      </w:pPr>
      <w:r w:rsidRPr="004016BA">
        <w:rPr>
          <w:rFonts w:ascii="Arial" w:hAnsi="Arial" w:cs="Arial"/>
          <w:b/>
          <w:bCs/>
          <w:sz w:val="36"/>
          <w:szCs w:val="36"/>
        </w:rPr>
        <w:t>Management &amp; Organisational Behaviour</w:t>
      </w:r>
    </w:p>
    <w:p w14:paraId="40EF1FE7" w14:textId="77777777" w:rsidR="00C35086" w:rsidRPr="004016BA" w:rsidRDefault="00C35086" w:rsidP="00C35086">
      <w:pPr>
        <w:pStyle w:val="NormalWeb"/>
        <w:jc w:val="center"/>
        <w:rPr>
          <w:rFonts w:ascii="Arial" w:hAnsi="Arial" w:cs="Arial"/>
          <w:b/>
          <w:bCs/>
          <w:sz w:val="36"/>
          <w:szCs w:val="36"/>
        </w:rPr>
      </w:pPr>
      <w:r w:rsidRPr="004016BA">
        <w:rPr>
          <w:rFonts w:ascii="Arial" w:hAnsi="Arial" w:cs="Arial"/>
          <w:b/>
          <w:bCs/>
          <w:sz w:val="36"/>
          <w:szCs w:val="36"/>
        </w:rPr>
        <w:t>BMIH5004</w:t>
      </w:r>
    </w:p>
    <w:p w14:paraId="30A7B5F6" w14:textId="77777777" w:rsidR="00C35086" w:rsidRPr="004016BA" w:rsidRDefault="00C35086" w:rsidP="00C35086">
      <w:pPr>
        <w:pStyle w:val="NormalWeb"/>
        <w:jc w:val="center"/>
        <w:rPr>
          <w:rFonts w:ascii="Arial" w:hAnsi="Arial" w:cs="Arial"/>
          <w:b/>
          <w:bCs/>
          <w:sz w:val="36"/>
          <w:szCs w:val="36"/>
        </w:rPr>
      </w:pPr>
    </w:p>
    <w:p w14:paraId="2CFC7E6D" w14:textId="77777777" w:rsidR="00C35086" w:rsidRPr="004016BA" w:rsidRDefault="00C35086" w:rsidP="00C35086">
      <w:pPr>
        <w:pStyle w:val="NormalWeb"/>
        <w:jc w:val="center"/>
        <w:rPr>
          <w:rFonts w:ascii="Arial" w:hAnsi="Arial" w:cs="Arial"/>
          <w:b/>
          <w:bCs/>
          <w:sz w:val="36"/>
          <w:szCs w:val="36"/>
        </w:rPr>
      </w:pPr>
    </w:p>
    <w:p w14:paraId="6D8AF030" w14:textId="77777777" w:rsidR="00C35086" w:rsidRPr="004016BA" w:rsidRDefault="00C35086" w:rsidP="00C35086">
      <w:pPr>
        <w:pStyle w:val="NormalWeb"/>
        <w:jc w:val="center"/>
        <w:rPr>
          <w:rFonts w:ascii="Arial" w:hAnsi="Arial" w:cs="Arial"/>
          <w:b/>
          <w:bCs/>
          <w:sz w:val="36"/>
          <w:szCs w:val="36"/>
        </w:rPr>
      </w:pPr>
    </w:p>
    <w:p w14:paraId="062D646A" w14:textId="77777777" w:rsidR="00C35086" w:rsidRPr="004016BA" w:rsidRDefault="00C35086" w:rsidP="00C35086">
      <w:pPr>
        <w:pStyle w:val="NormalWeb"/>
        <w:jc w:val="center"/>
        <w:rPr>
          <w:rFonts w:ascii="Arial" w:hAnsi="Arial" w:cs="Arial"/>
          <w:b/>
          <w:bCs/>
          <w:sz w:val="36"/>
          <w:szCs w:val="36"/>
        </w:rPr>
      </w:pPr>
    </w:p>
    <w:p w14:paraId="1671FD78" w14:textId="77777777" w:rsidR="00C35086" w:rsidRPr="004016BA" w:rsidRDefault="00C35086" w:rsidP="00C35086">
      <w:pPr>
        <w:pStyle w:val="NormalWeb"/>
        <w:jc w:val="center"/>
        <w:rPr>
          <w:rFonts w:ascii="Arial" w:hAnsi="Arial" w:cs="Arial"/>
          <w:b/>
          <w:bCs/>
          <w:sz w:val="36"/>
          <w:szCs w:val="36"/>
        </w:rPr>
      </w:pPr>
      <w:r w:rsidRPr="004016BA">
        <w:rPr>
          <w:rFonts w:ascii="Arial" w:hAnsi="Arial" w:cs="Arial"/>
          <w:b/>
          <w:bCs/>
          <w:sz w:val="36"/>
          <w:szCs w:val="36"/>
        </w:rPr>
        <w:t>Majeda Begum</w:t>
      </w:r>
    </w:p>
    <w:p w14:paraId="2E159898" w14:textId="77777777" w:rsidR="00C35086" w:rsidRPr="004016BA" w:rsidRDefault="00C35086" w:rsidP="00C35086">
      <w:pPr>
        <w:pStyle w:val="NormalWeb"/>
        <w:jc w:val="center"/>
        <w:rPr>
          <w:rFonts w:ascii="Arial" w:hAnsi="Arial" w:cs="Arial"/>
          <w:b/>
          <w:bCs/>
          <w:sz w:val="36"/>
          <w:szCs w:val="36"/>
        </w:rPr>
      </w:pPr>
      <w:r w:rsidRPr="004016BA">
        <w:rPr>
          <w:rFonts w:ascii="Arial" w:hAnsi="Arial" w:cs="Arial"/>
          <w:b/>
          <w:bCs/>
          <w:sz w:val="36"/>
          <w:szCs w:val="36"/>
        </w:rPr>
        <w:t>2119064</w:t>
      </w:r>
    </w:p>
    <w:p w14:paraId="7B219E54" w14:textId="77777777" w:rsidR="00C35086" w:rsidRPr="004016BA" w:rsidRDefault="00C35086" w:rsidP="00C35086">
      <w:pPr>
        <w:pStyle w:val="NormalWeb"/>
        <w:jc w:val="center"/>
        <w:rPr>
          <w:rFonts w:ascii="Arial" w:hAnsi="Arial" w:cs="Arial"/>
          <w:b/>
          <w:bCs/>
          <w:sz w:val="36"/>
          <w:szCs w:val="36"/>
        </w:rPr>
      </w:pPr>
    </w:p>
    <w:p w14:paraId="22AE7A67" w14:textId="77777777" w:rsidR="00C35086" w:rsidRPr="004016BA" w:rsidRDefault="00C35086" w:rsidP="00C35086">
      <w:pPr>
        <w:pStyle w:val="NormalWeb"/>
        <w:jc w:val="center"/>
        <w:rPr>
          <w:rFonts w:ascii="Arial" w:hAnsi="Arial" w:cs="Arial"/>
          <w:b/>
          <w:bCs/>
          <w:sz w:val="36"/>
          <w:szCs w:val="36"/>
        </w:rPr>
      </w:pPr>
    </w:p>
    <w:p w14:paraId="36127DDE" w14:textId="77777777" w:rsidR="00C35086" w:rsidRPr="004016BA" w:rsidRDefault="00C35086" w:rsidP="00C35086">
      <w:pPr>
        <w:pStyle w:val="NormalWeb"/>
        <w:jc w:val="center"/>
        <w:rPr>
          <w:rFonts w:ascii="Arial" w:hAnsi="Arial" w:cs="Arial"/>
          <w:b/>
          <w:bCs/>
          <w:sz w:val="36"/>
          <w:szCs w:val="36"/>
        </w:rPr>
      </w:pPr>
    </w:p>
    <w:p w14:paraId="3F14E964" w14:textId="77777777" w:rsidR="004016BA" w:rsidRPr="006233AD" w:rsidRDefault="004016BA" w:rsidP="004016BA">
      <w:pPr>
        <w:pStyle w:val="NormalWeb"/>
        <w:spacing w:before="0" w:beforeAutospacing="0" w:after="0" w:afterAutospacing="0" w:line="360" w:lineRule="auto"/>
        <w:jc w:val="both"/>
        <w:rPr>
          <w:rFonts w:ascii="Arial" w:eastAsiaTheme="majorEastAsia" w:hAnsi="Arial" w:cs="Arial"/>
          <w:b/>
          <w:bCs/>
          <w:i/>
          <w:iCs/>
          <w:color w:val="000000" w:themeColor="text1"/>
          <w:kern w:val="2"/>
          <w:sz w:val="32"/>
          <w:szCs w:val="32"/>
          <w:lang w:eastAsia="en-US"/>
          <w14:ligatures w14:val="standardContextual"/>
        </w:rPr>
      </w:pPr>
      <w:r w:rsidRPr="006233AD">
        <w:rPr>
          <w:rFonts w:ascii="Arial" w:eastAsiaTheme="majorEastAsia" w:hAnsi="Arial" w:cs="Arial"/>
          <w:b/>
          <w:bCs/>
          <w:i/>
          <w:iCs/>
          <w:color w:val="000000" w:themeColor="text1"/>
          <w:kern w:val="2"/>
          <w:sz w:val="32"/>
          <w:szCs w:val="32"/>
          <w:lang w:eastAsia="en-US"/>
          <w14:ligatures w14:val="standardContextual"/>
        </w:rPr>
        <w:lastRenderedPageBreak/>
        <w:t>Executive summary:</w:t>
      </w:r>
    </w:p>
    <w:p w14:paraId="5104C502" w14:textId="0E005DA3" w:rsidR="004016BA" w:rsidRPr="004016BA" w:rsidRDefault="004016BA" w:rsidP="004016BA">
      <w:pPr>
        <w:pStyle w:val="NormalWeb"/>
        <w:spacing w:before="0" w:beforeAutospacing="0" w:after="0" w:afterAutospacing="0" w:line="360" w:lineRule="auto"/>
        <w:jc w:val="both"/>
        <w:rPr>
          <w:rFonts w:ascii="Arial" w:hAnsi="Arial" w:cs="Arial"/>
        </w:rPr>
      </w:pPr>
      <w:r w:rsidRPr="004016BA">
        <w:rPr>
          <w:rFonts w:ascii="Arial" w:hAnsi="Arial" w:cs="Arial"/>
        </w:rPr>
        <w:t>The executive summary provides a thorough analysis of the Hyatt Hotel Group, a major player in the hospitality industry. It delves into key aspects such as organizational structure, culture, goals, recent change initiatives, and strategic direction. The report highlights Hyatt's functional organizational structure, ethical culture, and proactive goals, emphasizing a commitment to customer satisfaction and sustainability.</w:t>
      </w:r>
    </w:p>
    <w:p w14:paraId="3F06BD09" w14:textId="77777777" w:rsidR="004016BA" w:rsidRPr="004016BA" w:rsidRDefault="004016BA" w:rsidP="004016BA">
      <w:pPr>
        <w:pStyle w:val="NormalWeb"/>
        <w:spacing w:before="0" w:beforeAutospacing="0" w:after="0" w:afterAutospacing="0" w:line="360" w:lineRule="auto"/>
        <w:jc w:val="both"/>
        <w:rPr>
          <w:rFonts w:ascii="Arial" w:hAnsi="Arial" w:cs="Arial"/>
        </w:rPr>
      </w:pPr>
    </w:p>
    <w:p w14:paraId="008EDDE9" w14:textId="77777777" w:rsidR="004016BA" w:rsidRPr="004016BA" w:rsidRDefault="004016BA" w:rsidP="004016BA">
      <w:pPr>
        <w:pStyle w:val="NormalWeb"/>
        <w:spacing w:before="0" w:beforeAutospacing="0" w:after="0" w:afterAutospacing="0" w:line="360" w:lineRule="auto"/>
        <w:jc w:val="both"/>
        <w:rPr>
          <w:rFonts w:ascii="Arial" w:hAnsi="Arial" w:cs="Arial"/>
        </w:rPr>
      </w:pPr>
      <w:r w:rsidRPr="004016BA">
        <w:rPr>
          <w:rFonts w:ascii="Arial" w:hAnsi="Arial" w:cs="Arial"/>
        </w:rPr>
        <w:t>The overview of the organizational structure outlines a well-coordinated hierarchy, promoting efficient communication and decision-making. The examination of organizational culture showcases Hyatt's emphasis on customer-centric services, innovation, and employee commitment. Evaluation of organizational goals reveals a strategic focus on mission fulfillment and sustainability, incorporating SMART and Meaningful goal-setting approaches.</w:t>
      </w:r>
    </w:p>
    <w:p w14:paraId="03E3ECBE" w14:textId="77777777" w:rsidR="004016BA" w:rsidRPr="004016BA" w:rsidRDefault="004016BA" w:rsidP="004016BA">
      <w:pPr>
        <w:pStyle w:val="NormalWeb"/>
        <w:spacing w:before="0" w:beforeAutospacing="0" w:after="0" w:afterAutospacing="0" w:line="360" w:lineRule="auto"/>
        <w:jc w:val="both"/>
        <w:rPr>
          <w:rFonts w:ascii="Arial" w:hAnsi="Arial" w:cs="Arial"/>
        </w:rPr>
      </w:pPr>
    </w:p>
    <w:p w14:paraId="61D2B299" w14:textId="2C2D2A28" w:rsidR="004016BA" w:rsidRPr="004016BA" w:rsidRDefault="004016BA" w:rsidP="004016BA">
      <w:pPr>
        <w:pStyle w:val="NormalWeb"/>
        <w:spacing w:before="0" w:beforeAutospacing="0" w:after="0" w:afterAutospacing="0" w:line="360" w:lineRule="auto"/>
        <w:jc w:val="both"/>
        <w:rPr>
          <w:rFonts w:ascii="Arial" w:hAnsi="Arial" w:cs="Arial"/>
        </w:rPr>
      </w:pPr>
      <w:r w:rsidRPr="004016BA">
        <w:rPr>
          <w:rFonts w:ascii="Arial" w:hAnsi="Arial" w:cs="Arial"/>
        </w:rPr>
        <w:t xml:space="preserve">Recent change initiatives are explored, emphasizing adaptability to industry trends and technology integration. The report suggests a three-level impact analysis to measure the effectiveness of these initiatives, considering direct, consequential, and emergent </w:t>
      </w:r>
      <w:r w:rsidR="006233AD" w:rsidRPr="004016BA">
        <w:rPr>
          <w:rFonts w:ascii="Arial" w:hAnsi="Arial" w:cs="Arial"/>
        </w:rPr>
        <w:t>impacts. The</w:t>
      </w:r>
      <w:r w:rsidRPr="004016BA">
        <w:rPr>
          <w:rFonts w:ascii="Arial" w:hAnsi="Arial" w:cs="Arial"/>
        </w:rPr>
        <w:t xml:space="preserve"> section on strategic direction emphasizes Hyatt's value-based corporate strategy focused on profitability and value creation. It underscores the importance of aligning with outlined targets for sustainable business growth.</w:t>
      </w:r>
    </w:p>
    <w:p w14:paraId="6B1A7EE8" w14:textId="77777777" w:rsidR="004016BA" w:rsidRPr="004016BA" w:rsidRDefault="004016BA" w:rsidP="004016BA">
      <w:pPr>
        <w:pStyle w:val="NormalWeb"/>
        <w:spacing w:before="0" w:beforeAutospacing="0" w:after="0" w:afterAutospacing="0" w:line="360" w:lineRule="auto"/>
        <w:jc w:val="both"/>
        <w:rPr>
          <w:rFonts w:ascii="Arial" w:hAnsi="Arial" w:cs="Arial"/>
        </w:rPr>
      </w:pPr>
    </w:p>
    <w:p w14:paraId="728376A0" w14:textId="77777777" w:rsidR="004016BA" w:rsidRPr="004016BA" w:rsidRDefault="004016BA" w:rsidP="004016BA">
      <w:pPr>
        <w:pStyle w:val="NormalWeb"/>
        <w:spacing w:before="0" w:beforeAutospacing="0" w:after="0" w:afterAutospacing="0" w:line="360" w:lineRule="auto"/>
        <w:jc w:val="both"/>
        <w:rPr>
          <w:rFonts w:ascii="Arial" w:hAnsi="Arial" w:cs="Arial"/>
        </w:rPr>
      </w:pPr>
      <w:r w:rsidRPr="004016BA">
        <w:rPr>
          <w:rFonts w:ascii="Arial" w:hAnsi="Arial" w:cs="Arial"/>
        </w:rPr>
        <w:t>The conclusion summarizes the findings, highlighting Hyatt's operational dynamics and the interplay of its organizational elements. Recommendations include enhancing change management processes, leveraging technology for customer engagement, monitoring organizational culture, ensuring strategic alignment in geographical divisions, and investing in employee development.</w:t>
      </w:r>
    </w:p>
    <w:p w14:paraId="386ACAFE" w14:textId="77777777" w:rsidR="004016BA" w:rsidRPr="004016BA" w:rsidRDefault="004016BA" w:rsidP="004016BA">
      <w:pPr>
        <w:pStyle w:val="NormalWeb"/>
        <w:spacing w:before="0" w:beforeAutospacing="0" w:after="0" w:afterAutospacing="0" w:line="360" w:lineRule="auto"/>
        <w:jc w:val="both"/>
        <w:rPr>
          <w:rFonts w:ascii="Arial" w:hAnsi="Arial" w:cs="Arial"/>
        </w:rPr>
      </w:pPr>
    </w:p>
    <w:p w14:paraId="30C2BC5A" w14:textId="73FA3748" w:rsidR="00C35086" w:rsidRPr="004016BA" w:rsidRDefault="004016BA" w:rsidP="004016BA">
      <w:pPr>
        <w:pStyle w:val="NormalWeb"/>
        <w:spacing w:before="0" w:beforeAutospacing="0" w:after="0" w:afterAutospacing="0" w:line="360" w:lineRule="auto"/>
        <w:jc w:val="both"/>
        <w:rPr>
          <w:rFonts w:ascii="Arial" w:hAnsi="Arial" w:cs="Arial"/>
        </w:rPr>
      </w:pPr>
      <w:r w:rsidRPr="004016BA">
        <w:rPr>
          <w:rFonts w:ascii="Arial" w:hAnsi="Arial" w:cs="Arial"/>
        </w:rPr>
        <w:t>Implementing these recommendations can strengthen Hyatt's position in the hospitality sector, fostering adaptability and organizational excellence. The continuous focus on delivering exceptional experiences for customers and stakeholders is crucial for success in the ever-evolving industry.</w:t>
      </w:r>
    </w:p>
    <w:p w14:paraId="3617738F" w14:textId="77777777" w:rsidR="00E41F29" w:rsidRDefault="00E41F29" w:rsidP="00043359">
      <w:pPr>
        <w:spacing w:line="360" w:lineRule="auto"/>
        <w:jc w:val="both"/>
        <w:rPr>
          <w:rFonts w:ascii="Arial" w:hAnsi="Arial" w:cs="Arial"/>
        </w:rPr>
      </w:pPr>
    </w:p>
    <w:p w14:paraId="6A138BAF" w14:textId="77777777" w:rsidR="006233AD" w:rsidRDefault="006233AD" w:rsidP="00043359">
      <w:pPr>
        <w:spacing w:line="360" w:lineRule="auto"/>
        <w:jc w:val="both"/>
        <w:rPr>
          <w:rFonts w:ascii="Arial" w:hAnsi="Arial" w:cs="Arial"/>
        </w:rPr>
      </w:pPr>
    </w:p>
    <w:p w14:paraId="64B60D8A" w14:textId="77777777" w:rsidR="006233AD" w:rsidRDefault="006233AD" w:rsidP="00043359">
      <w:pPr>
        <w:spacing w:line="360" w:lineRule="auto"/>
        <w:jc w:val="both"/>
        <w:rPr>
          <w:rFonts w:ascii="Arial" w:hAnsi="Arial" w:cs="Arial"/>
        </w:rPr>
      </w:pPr>
    </w:p>
    <w:p w14:paraId="231AC6C5" w14:textId="77777777" w:rsidR="006233AD" w:rsidRPr="004016BA" w:rsidRDefault="006233AD" w:rsidP="00043359">
      <w:pPr>
        <w:spacing w:line="360" w:lineRule="auto"/>
        <w:jc w:val="both"/>
        <w:rPr>
          <w:rFonts w:ascii="Arial" w:hAnsi="Arial" w:cs="Arial"/>
        </w:rPr>
      </w:pPr>
    </w:p>
    <w:sdt>
      <w:sdtPr>
        <w:id w:val="-12940605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DE279EA" w14:textId="53624605" w:rsidR="006233AD" w:rsidRDefault="006233AD">
          <w:pPr>
            <w:pStyle w:val="TOCHeading"/>
          </w:pPr>
          <w:r>
            <w:t>Table of Contents</w:t>
          </w:r>
        </w:p>
        <w:p w14:paraId="4C04CBFF" w14:textId="62DF69FA" w:rsidR="006233AD" w:rsidRDefault="006233AD">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0232401" w:history="1">
            <w:r w:rsidRPr="002E2F5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_Toc160232401 \h </w:instrText>
            </w:r>
            <w:r>
              <w:rPr>
                <w:noProof/>
                <w:webHidden/>
              </w:rPr>
            </w:r>
            <w:r>
              <w:rPr>
                <w:noProof/>
                <w:webHidden/>
              </w:rPr>
              <w:fldChar w:fldCharType="separate"/>
            </w:r>
            <w:r>
              <w:rPr>
                <w:noProof/>
                <w:webHidden/>
              </w:rPr>
              <w:t>4</w:t>
            </w:r>
            <w:r>
              <w:rPr>
                <w:noProof/>
                <w:webHidden/>
              </w:rPr>
              <w:fldChar w:fldCharType="end"/>
            </w:r>
          </w:hyperlink>
        </w:p>
        <w:p w14:paraId="6F12E640" w14:textId="606EE135" w:rsidR="006233AD" w:rsidRDefault="006233AD">
          <w:pPr>
            <w:pStyle w:val="TOC1"/>
            <w:tabs>
              <w:tab w:val="right" w:leader="dot" w:pos="9016"/>
            </w:tabs>
            <w:rPr>
              <w:rFonts w:eastAsiaTheme="minorEastAsia"/>
              <w:b w:val="0"/>
              <w:bCs w:val="0"/>
              <w:i w:val="0"/>
              <w:iCs w:val="0"/>
              <w:noProof/>
              <w:lang w:eastAsia="en-GB"/>
            </w:rPr>
          </w:pPr>
          <w:hyperlink w:anchor="_Toc160232402" w:history="1">
            <w:r w:rsidRPr="002E2F57">
              <w:rPr>
                <w:rStyle w:val="Hyperlink"/>
                <w:rFonts w:ascii="Arial" w:hAnsi="Arial" w:cs="Arial"/>
                <w:noProof/>
              </w:rPr>
              <w:t>Organization Structure, Culture, and Goals:</w:t>
            </w:r>
            <w:r>
              <w:rPr>
                <w:noProof/>
                <w:webHidden/>
              </w:rPr>
              <w:tab/>
            </w:r>
            <w:r>
              <w:rPr>
                <w:noProof/>
                <w:webHidden/>
              </w:rPr>
              <w:fldChar w:fldCharType="begin"/>
            </w:r>
            <w:r>
              <w:rPr>
                <w:noProof/>
                <w:webHidden/>
              </w:rPr>
              <w:instrText xml:space="preserve"> PAGEREF _Toc160232402 \h </w:instrText>
            </w:r>
            <w:r>
              <w:rPr>
                <w:noProof/>
                <w:webHidden/>
              </w:rPr>
            </w:r>
            <w:r>
              <w:rPr>
                <w:noProof/>
                <w:webHidden/>
              </w:rPr>
              <w:fldChar w:fldCharType="separate"/>
            </w:r>
            <w:r>
              <w:rPr>
                <w:noProof/>
                <w:webHidden/>
              </w:rPr>
              <w:t>4</w:t>
            </w:r>
            <w:r>
              <w:rPr>
                <w:noProof/>
                <w:webHidden/>
              </w:rPr>
              <w:fldChar w:fldCharType="end"/>
            </w:r>
          </w:hyperlink>
        </w:p>
        <w:p w14:paraId="431825AD" w14:textId="7C10D9B0" w:rsidR="006233AD" w:rsidRDefault="006233AD">
          <w:pPr>
            <w:pStyle w:val="TOC2"/>
            <w:tabs>
              <w:tab w:val="right" w:leader="dot" w:pos="9016"/>
            </w:tabs>
            <w:rPr>
              <w:rFonts w:eastAsiaTheme="minorEastAsia"/>
              <w:b/>
              <w:bCs/>
              <w:noProof/>
              <w:sz w:val="24"/>
              <w:szCs w:val="24"/>
              <w:lang w:eastAsia="en-GB"/>
            </w:rPr>
          </w:pPr>
          <w:hyperlink w:anchor="_Toc160232403" w:history="1">
            <w:r w:rsidRPr="002E2F57">
              <w:rPr>
                <w:rStyle w:val="Hyperlink"/>
                <w:rFonts w:ascii="Arial" w:hAnsi="Arial" w:cs="Arial"/>
                <w:b/>
                <w:bCs/>
                <w:noProof/>
              </w:rPr>
              <w:t>1.1. Overview of the Organisation's Structure:</w:t>
            </w:r>
            <w:r>
              <w:rPr>
                <w:noProof/>
                <w:webHidden/>
              </w:rPr>
              <w:tab/>
            </w:r>
            <w:r>
              <w:rPr>
                <w:noProof/>
                <w:webHidden/>
              </w:rPr>
              <w:fldChar w:fldCharType="begin"/>
            </w:r>
            <w:r>
              <w:rPr>
                <w:noProof/>
                <w:webHidden/>
              </w:rPr>
              <w:instrText xml:space="preserve"> PAGEREF _Toc160232403 \h </w:instrText>
            </w:r>
            <w:r>
              <w:rPr>
                <w:noProof/>
                <w:webHidden/>
              </w:rPr>
            </w:r>
            <w:r>
              <w:rPr>
                <w:noProof/>
                <w:webHidden/>
              </w:rPr>
              <w:fldChar w:fldCharType="separate"/>
            </w:r>
            <w:r>
              <w:rPr>
                <w:noProof/>
                <w:webHidden/>
              </w:rPr>
              <w:t>5</w:t>
            </w:r>
            <w:r>
              <w:rPr>
                <w:noProof/>
                <w:webHidden/>
              </w:rPr>
              <w:fldChar w:fldCharType="end"/>
            </w:r>
          </w:hyperlink>
        </w:p>
        <w:p w14:paraId="106A446D" w14:textId="0E047ACD" w:rsidR="006233AD" w:rsidRDefault="006233AD">
          <w:pPr>
            <w:pStyle w:val="TOC2"/>
            <w:tabs>
              <w:tab w:val="right" w:leader="dot" w:pos="9016"/>
            </w:tabs>
            <w:rPr>
              <w:rFonts w:eastAsiaTheme="minorEastAsia"/>
              <w:b/>
              <w:bCs/>
              <w:noProof/>
              <w:sz w:val="24"/>
              <w:szCs w:val="24"/>
              <w:lang w:eastAsia="en-GB"/>
            </w:rPr>
          </w:pPr>
          <w:hyperlink w:anchor="_Toc160232404" w:history="1">
            <w:r w:rsidRPr="002E2F57">
              <w:rPr>
                <w:rStyle w:val="Hyperlink"/>
                <w:rFonts w:ascii="Arial" w:hAnsi="Arial" w:cs="Arial"/>
                <w:b/>
                <w:bCs/>
                <w:noProof/>
              </w:rPr>
              <w:t>1.2. Examination of the Organisational Culture:</w:t>
            </w:r>
            <w:r>
              <w:rPr>
                <w:noProof/>
                <w:webHidden/>
              </w:rPr>
              <w:tab/>
            </w:r>
            <w:r>
              <w:rPr>
                <w:noProof/>
                <w:webHidden/>
              </w:rPr>
              <w:fldChar w:fldCharType="begin"/>
            </w:r>
            <w:r>
              <w:rPr>
                <w:noProof/>
                <w:webHidden/>
              </w:rPr>
              <w:instrText xml:space="preserve"> PAGEREF _Toc160232404 \h </w:instrText>
            </w:r>
            <w:r>
              <w:rPr>
                <w:noProof/>
                <w:webHidden/>
              </w:rPr>
            </w:r>
            <w:r>
              <w:rPr>
                <w:noProof/>
                <w:webHidden/>
              </w:rPr>
              <w:fldChar w:fldCharType="separate"/>
            </w:r>
            <w:r>
              <w:rPr>
                <w:noProof/>
                <w:webHidden/>
              </w:rPr>
              <w:t>6</w:t>
            </w:r>
            <w:r>
              <w:rPr>
                <w:noProof/>
                <w:webHidden/>
              </w:rPr>
              <w:fldChar w:fldCharType="end"/>
            </w:r>
          </w:hyperlink>
        </w:p>
        <w:p w14:paraId="57CFD69F" w14:textId="42017E5B" w:rsidR="006233AD" w:rsidRDefault="006233AD">
          <w:pPr>
            <w:pStyle w:val="TOC2"/>
            <w:tabs>
              <w:tab w:val="right" w:leader="dot" w:pos="9016"/>
            </w:tabs>
            <w:rPr>
              <w:rFonts w:eastAsiaTheme="minorEastAsia"/>
              <w:b/>
              <w:bCs/>
              <w:noProof/>
              <w:sz w:val="24"/>
              <w:szCs w:val="24"/>
              <w:lang w:eastAsia="en-GB"/>
            </w:rPr>
          </w:pPr>
          <w:hyperlink w:anchor="_Toc160232405" w:history="1">
            <w:r w:rsidRPr="002E2F57">
              <w:rPr>
                <w:rStyle w:val="Hyperlink"/>
                <w:rFonts w:ascii="Arial" w:hAnsi="Arial" w:cs="Arial"/>
                <w:b/>
                <w:bCs/>
                <w:noProof/>
              </w:rPr>
              <w:t>1.3. Evaluation of the Organisational Goals:</w:t>
            </w:r>
            <w:r>
              <w:rPr>
                <w:noProof/>
                <w:webHidden/>
              </w:rPr>
              <w:tab/>
            </w:r>
            <w:r>
              <w:rPr>
                <w:noProof/>
                <w:webHidden/>
              </w:rPr>
              <w:fldChar w:fldCharType="begin"/>
            </w:r>
            <w:r>
              <w:rPr>
                <w:noProof/>
                <w:webHidden/>
              </w:rPr>
              <w:instrText xml:space="preserve"> PAGEREF _Toc160232405 \h </w:instrText>
            </w:r>
            <w:r>
              <w:rPr>
                <w:noProof/>
                <w:webHidden/>
              </w:rPr>
            </w:r>
            <w:r>
              <w:rPr>
                <w:noProof/>
                <w:webHidden/>
              </w:rPr>
              <w:fldChar w:fldCharType="separate"/>
            </w:r>
            <w:r>
              <w:rPr>
                <w:noProof/>
                <w:webHidden/>
              </w:rPr>
              <w:t>7</w:t>
            </w:r>
            <w:r>
              <w:rPr>
                <w:noProof/>
                <w:webHidden/>
              </w:rPr>
              <w:fldChar w:fldCharType="end"/>
            </w:r>
          </w:hyperlink>
        </w:p>
        <w:p w14:paraId="5B698779" w14:textId="4E96C3B0" w:rsidR="006233AD" w:rsidRDefault="006233AD">
          <w:pPr>
            <w:pStyle w:val="TOC1"/>
            <w:tabs>
              <w:tab w:val="right" w:leader="dot" w:pos="9016"/>
            </w:tabs>
            <w:rPr>
              <w:rFonts w:eastAsiaTheme="minorEastAsia"/>
              <w:b w:val="0"/>
              <w:bCs w:val="0"/>
              <w:i w:val="0"/>
              <w:iCs w:val="0"/>
              <w:noProof/>
              <w:lang w:eastAsia="en-GB"/>
            </w:rPr>
          </w:pPr>
          <w:hyperlink w:anchor="_Toc160232406" w:history="1">
            <w:r w:rsidRPr="002E2F57">
              <w:rPr>
                <w:rStyle w:val="Hyperlink"/>
                <w:rFonts w:ascii="Arial" w:hAnsi="Arial" w:cs="Arial"/>
                <w:noProof/>
              </w:rPr>
              <w:t>Recent Change Initiatives, Their Impact, and Management:</w:t>
            </w:r>
            <w:r>
              <w:rPr>
                <w:noProof/>
                <w:webHidden/>
              </w:rPr>
              <w:tab/>
            </w:r>
            <w:r>
              <w:rPr>
                <w:noProof/>
                <w:webHidden/>
              </w:rPr>
              <w:fldChar w:fldCharType="begin"/>
            </w:r>
            <w:r>
              <w:rPr>
                <w:noProof/>
                <w:webHidden/>
              </w:rPr>
              <w:instrText xml:space="preserve"> PAGEREF _Toc160232406 \h </w:instrText>
            </w:r>
            <w:r>
              <w:rPr>
                <w:noProof/>
                <w:webHidden/>
              </w:rPr>
            </w:r>
            <w:r>
              <w:rPr>
                <w:noProof/>
                <w:webHidden/>
              </w:rPr>
              <w:fldChar w:fldCharType="separate"/>
            </w:r>
            <w:r>
              <w:rPr>
                <w:noProof/>
                <w:webHidden/>
              </w:rPr>
              <w:t>7</w:t>
            </w:r>
            <w:r>
              <w:rPr>
                <w:noProof/>
                <w:webHidden/>
              </w:rPr>
              <w:fldChar w:fldCharType="end"/>
            </w:r>
          </w:hyperlink>
        </w:p>
        <w:p w14:paraId="7A7F1481" w14:textId="49EE9733" w:rsidR="006233AD" w:rsidRDefault="006233AD">
          <w:pPr>
            <w:pStyle w:val="TOC1"/>
            <w:tabs>
              <w:tab w:val="right" w:leader="dot" w:pos="9016"/>
            </w:tabs>
            <w:rPr>
              <w:rFonts w:eastAsiaTheme="minorEastAsia"/>
              <w:b w:val="0"/>
              <w:bCs w:val="0"/>
              <w:i w:val="0"/>
              <w:iCs w:val="0"/>
              <w:noProof/>
              <w:lang w:eastAsia="en-GB"/>
            </w:rPr>
          </w:pPr>
          <w:hyperlink w:anchor="_Toc160232407" w:history="1">
            <w:r w:rsidRPr="002E2F57">
              <w:rPr>
                <w:rStyle w:val="Hyperlink"/>
                <w:rFonts w:ascii="Arial" w:hAnsi="Arial" w:cs="Arial"/>
                <w:noProof/>
              </w:rPr>
              <w:t>Strategic Direction and Business Performance:</w:t>
            </w:r>
            <w:r>
              <w:rPr>
                <w:noProof/>
                <w:webHidden/>
              </w:rPr>
              <w:tab/>
            </w:r>
            <w:r>
              <w:rPr>
                <w:noProof/>
                <w:webHidden/>
              </w:rPr>
              <w:fldChar w:fldCharType="begin"/>
            </w:r>
            <w:r>
              <w:rPr>
                <w:noProof/>
                <w:webHidden/>
              </w:rPr>
              <w:instrText xml:space="preserve"> PAGEREF _Toc160232407 \h </w:instrText>
            </w:r>
            <w:r>
              <w:rPr>
                <w:noProof/>
                <w:webHidden/>
              </w:rPr>
            </w:r>
            <w:r>
              <w:rPr>
                <w:noProof/>
                <w:webHidden/>
              </w:rPr>
              <w:fldChar w:fldCharType="separate"/>
            </w:r>
            <w:r>
              <w:rPr>
                <w:noProof/>
                <w:webHidden/>
              </w:rPr>
              <w:t>9</w:t>
            </w:r>
            <w:r>
              <w:rPr>
                <w:noProof/>
                <w:webHidden/>
              </w:rPr>
              <w:fldChar w:fldCharType="end"/>
            </w:r>
          </w:hyperlink>
        </w:p>
        <w:p w14:paraId="78429A1D" w14:textId="5530326B" w:rsidR="006233AD" w:rsidRDefault="006233AD">
          <w:pPr>
            <w:pStyle w:val="TOC1"/>
            <w:tabs>
              <w:tab w:val="right" w:leader="dot" w:pos="9016"/>
            </w:tabs>
            <w:rPr>
              <w:rFonts w:eastAsiaTheme="minorEastAsia"/>
              <w:b w:val="0"/>
              <w:bCs w:val="0"/>
              <w:i w:val="0"/>
              <w:iCs w:val="0"/>
              <w:noProof/>
              <w:lang w:eastAsia="en-GB"/>
            </w:rPr>
          </w:pPr>
          <w:hyperlink w:anchor="_Toc160232408" w:history="1">
            <w:r w:rsidRPr="002E2F5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_Toc160232408 \h </w:instrText>
            </w:r>
            <w:r>
              <w:rPr>
                <w:noProof/>
                <w:webHidden/>
              </w:rPr>
            </w:r>
            <w:r>
              <w:rPr>
                <w:noProof/>
                <w:webHidden/>
              </w:rPr>
              <w:fldChar w:fldCharType="separate"/>
            </w:r>
            <w:r>
              <w:rPr>
                <w:noProof/>
                <w:webHidden/>
              </w:rPr>
              <w:t>10</w:t>
            </w:r>
            <w:r>
              <w:rPr>
                <w:noProof/>
                <w:webHidden/>
              </w:rPr>
              <w:fldChar w:fldCharType="end"/>
            </w:r>
          </w:hyperlink>
        </w:p>
        <w:p w14:paraId="2E1F311D" w14:textId="03891894" w:rsidR="006233AD" w:rsidRDefault="006233AD">
          <w:pPr>
            <w:pStyle w:val="TOC1"/>
            <w:tabs>
              <w:tab w:val="right" w:leader="dot" w:pos="9016"/>
            </w:tabs>
            <w:rPr>
              <w:rFonts w:eastAsiaTheme="minorEastAsia"/>
              <w:b w:val="0"/>
              <w:bCs w:val="0"/>
              <w:i w:val="0"/>
              <w:iCs w:val="0"/>
              <w:noProof/>
              <w:lang w:eastAsia="en-GB"/>
            </w:rPr>
          </w:pPr>
          <w:hyperlink w:anchor="_Toc160232409" w:history="1">
            <w:r w:rsidRPr="002E2F57">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_Toc160232409 \h </w:instrText>
            </w:r>
            <w:r>
              <w:rPr>
                <w:noProof/>
                <w:webHidden/>
              </w:rPr>
            </w:r>
            <w:r>
              <w:rPr>
                <w:noProof/>
                <w:webHidden/>
              </w:rPr>
              <w:fldChar w:fldCharType="separate"/>
            </w:r>
            <w:r>
              <w:rPr>
                <w:noProof/>
                <w:webHidden/>
              </w:rPr>
              <w:t>10</w:t>
            </w:r>
            <w:r>
              <w:rPr>
                <w:noProof/>
                <w:webHidden/>
              </w:rPr>
              <w:fldChar w:fldCharType="end"/>
            </w:r>
          </w:hyperlink>
        </w:p>
        <w:p w14:paraId="7DABF2A2" w14:textId="094D13A8" w:rsidR="006233AD" w:rsidRDefault="006233AD">
          <w:pPr>
            <w:pStyle w:val="TOC1"/>
            <w:tabs>
              <w:tab w:val="right" w:leader="dot" w:pos="9016"/>
            </w:tabs>
            <w:rPr>
              <w:rFonts w:eastAsiaTheme="minorEastAsia"/>
              <w:b w:val="0"/>
              <w:bCs w:val="0"/>
              <w:i w:val="0"/>
              <w:iCs w:val="0"/>
              <w:noProof/>
              <w:lang w:eastAsia="en-GB"/>
            </w:rPr>
          </w:pPr>
          <w:hyperlink w:anchor="_Toc160232410" w:history="1">
            <w:r w:rsidRPr="002E2F5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_Toc160232410 \h </w:instrText>
            </w:r>
            <w:r>
              <w:rPr>
                <w:noProof/>
                <w:webHidden/>
              </w:rPr>
            </w:r>
            <w:r>
              <w:rPr>
                <w:noProof/>
                <w:webHidden/>
              </w:rPr>
              <w:fldChar w:fldCharType="separate"/>
            </w:r>
            <w:r>
              <w:rPr>
                <w:noProof/>
                <w:webHidden/>
              </w:rPr>
              <w:t>11</w:t>
            </w:r>
            <w:r>
              <w:rPr>
                <w:noProof/>
                <w:webHidden/>
              </w:rPr>
              <w:fldChar w:fldCharType="end"/>
            </w:r>
          </w:hyperlink>
        </w:p>
        <w:p w14:paraId="746BF6EC" w14:textId="220C77F2" w:rsidR="006233AD" w:rsidRDefault="006233AD">
          <w:r>
            <w:rPr>
              <w:b/>
              <w:bCs/>
              <w:noProof/>
            </w:rPr>
            <w:fldChar w:fldCharType="end"/>
          </w:r>
        </w:p>
      </w:sdtContent>
    </w:sdt>
    <w:p w14:paraId="3ED8A994" w14:textId="77777777" w:rsidR="00247B78" w:rsidRDefault="00247B78" w:rsidP="00043359">
      <w:pPr>
        <w:spacing w:line="360" w:lineRule="auto"/>
        <w:jc w:val="both"/>
        <w:rPr>
          <w:rFonts w:ascii="Arial" w:hAnsi="Arial" w:cs="Arial"/>
        </w:rPr>
      </w:pPr>
    </w:p>
    <w:p w14:paraId="5CE4F8E2" w14:textId="77777777" w:rsidR="006233AD" w:rsidRDefault="006233AD" w:rsidP="00043359">
      <w:pPr>
        <w:spacing w:line="360" w:lineRule="auto"/>
        <w:jc w:val="both"/>
        <w:rPr>
          <w:rFonts w:ascii="Arial" w:hAnsi="Arial" w:cs="Arial"/>
        </w:rPr>
      </w:pPr>
    </w:p>
    <w:p w14:paraId="1A533417" w14:textId="77777777" w:rsidR="006233AD" w:rsidRDefault="006233AD" w:rsidP="00043359">
      <w:pPr>
        <w:spacing w:line="360" w:lineRule="auto"/>
        <w:jc w:val="both"/>
        <w:rPr>
          <w:rFonts w:ascii="Arial" w:hAnsi="Arial" w:cs="Arial"/>
        </w:rPr>
      </w:pPr>
    </w:p>
    <w:p w14:paraId="601B6253" w14:textId="77777777" w:rsidR="006233AD" w:rsidRDefault="006233AD" w:rsidP="00043359">
      <w:pPr>
        <w:spacing w:line="360" w:lineRule="auto"/>
        <w:jc w:val="both"/>
        <w:rPr>
          <w:rFonts w:ascii="Arial" w:hAnsi="Arial" w:cs="Arial"/>
        </w:rPr>
      </w:pPr>
    </w:p>
    <w:p w14:paraId="1AB15612" w14:textId="77777777" w:rsidR="006233AD" w:rsidRDefault="006233AD" w:rsidP="00043359">
      <w:pPr>
        <w:spacing w:line="360" w:lineRule="auto"/>
        <w:jc w:val="both"/>
        <w:rPr>
          <w:rFonts w:ascii="Arial" w:hAnsi="Arial" w:cs="Arial"/>
        </w:rPr>
      </w:pPr>
    </w:p>
    <w:p w14:paraId="3E01EEA5" w14:textId="77777777" w:rsidR="006233AD" w:rsidRDefault="006233AD" w:rsidP="00043359">
      <w:pPr>
        <w:spacing w:line="360" w:lineRule="auto"/>
        <w:jc w:val="both"/>
        <w:rPr>
          <w:rFonts w:ascii="Arial" w:hAnsi="Arial" w:cs="Arial"/>
        </w:rPr>
      </w:pPr>
    </w:p>
    <w:p w14:paraId="4A4AB18B" w14:textId="77777777" w:rsidR="006233AD" w:rsidRDefault="006233AD" w:rsidP="00043359">
      <w:pPr>
        <w:spacing w:line="360" w:lineRule="auto"/>
        <w:jc w:val="both"/>
        <w:rPr>
          <w:rFonts w:ascii="Arial" w:hAnsi="Arial" w:cs="Arial"/>
        </w:rPr>
      </w:pPr>
    </w:p>
    <w:p w14:paraId="3D37A3C2" w14:textId="77777777" w:rsidR="006233AD" w:rsidRDefault="006233AD" w:rsidP="00043359">
      <w:pPr>
        <w:spacing w:line="360" w:lineRule="auto"/>
        <w:jc w:val="both"/>
        <w:rPr>
          <w:rFonts w:ascii="Arial" w:hAnsi="Arial" w:cs="Arial"/>
        </w:rPr>
      </w:pPr>
    </w:p>
    <w:p w14:paraId="3719E3FB" w14:textId="77777777" w:rsidR="006233AD" w:rsidRDefault="006233AD" w:rsidP="00043359">
      <w:pPr>
        <w:spacing w:line="360" w:lineRule="auto"/>
        <w:jc w:val="both"/>
        <w:rPr>
          <w:rFonts w:ascii="Arial" w:hAnsi="Arial" w:cs="Arial"/>
        </w:rPr>
      </w:pPr>
    </w:p>
    <w:p w14:paraId="7CAA2C7E" w14:textId="77777777" w:rsidR="006233AD" w:rsidRDefault="006233AD" w:rsidP="00043359">
      <w:pPr>
        <w:spacing w:line="360" w:lineRule="auto"/>
        <w:jc w:val="both"/>
        <w:rPr>
          <w:rFonts w:ascii="Arial" w:hAnsi="Arial" w:cs="Arial"/>
        </w:rPr>
      </w:pPr>
    </w:p>
    <w:p w14:paraId="4FF9D588" w14:textId="77777777" w:rsidR="006233AD" w:rsidRDefault="006233AD" w:rsidP="00043359">
      <w:pPr>
        <w:spacing w:line="360" w:lineRule="auto"/>
        <w:jc w:val="both"/>
        <w:rPr>
          <w:rFonts w:ascii="Arial" w:hAnsi="Arial" w:cs="Arial"/>
        </w:rPr>
      </w:pPr>
    </w:p>
    <w:p w14:paraId="1030ED95" w14:textId="77777777" w:rsidR="006233AD" w:rsidRDefault="006233AD" w:rsidP="00043359">
      <w:pPr>
        <w:spacing w:line="360" w:lineRule="auto"/>
        <w:jc w:val="both"/>
        <w:rPr>
          <w:rFonts w:ascii="Arial" w:hAnsi="Arial" w:cs="Arial"/>
        </w:rPr>
      </w:pPr>
    </w:p>
    <w:p w14:paraId="55B76489" w14:textId="77777777" w:rsidR="006233AD" w:rsidRDefault="006233AD" w:rsidP="00043359">
      <w:pPr>
        <w:spacing w:line="360" w:lineRule="auto"/>
        <w:jc w:val="both"/>
        <w:rPr>
          <w:rFonts w:ascii="Arial" w:hAnsi="Arial" w:cs="Arial"/>
        </w:rPr>
      </w:pPr>
    </w:p>
    <w:p w14:paraId="1A22FD26" w14:textId="77777777" w:rsidR="006233AD" w:rsidRDefault="006233AD" w:rsidP="00043359">
      <w:pPr>
        <w:spacing w:line="360" w:lineRule="auto"/>
        <w:jc w:val="both"/>
        <w:rPr>
          <w:rFonts w:ascii="Arial" w:hAnsi="Arial" w:cs="Arial"/>
        </w:rPr>
      </w:pPr>
    </w:p>
    <w:p w14:paraId="50E59A28" w14:textId="77777777" w:rsidR="006233AD" w:rsidRDefault="006233AD" w:rsidP="00043359">
      <w:pPr>
        <w:spacing w:line="360" w:lineRule="auto"/>
        <w:jc w:val="both"/>
        <w:rPr>
          <w:rFonts w:ascii="Arial" w:hAnsi="Arial" w:cs="Arial"/>
        </w:rPr>
      </w:pPr>
    </w:p>
    <w:p w14:paraId="7C648169" w14:textId="77777777" w:rsidR="006233AD" w:rsidRPr="004016BA" w:rsidRDefault="006233AD" w:rsidP="00043359">
      <w:pPr>
        <w:spacing w:line="360" w:lineRule="auto"/>
        <w:jc w:val="both"/>
        <w:rPr>
          <w:rFonts w:ascii="Arial" w:hAnsi="Arial" w:cs="Arial"/>
        </w:rPr>
      </w:pPr>
    </w:p>
    <w:p w14:paraId="65ED558B" w14:textId="77777777" w:rsidR="00247B78" w:rsidRPr="004016BA" w:rsidRDefault="00247B78" w:rsidP="00043359">
      <w:pPr>
        <w:pStyle w:val="Heading1"/>
        <w:rPr>
          <w:rFonts w:ascii="Arial" w:hAnsi="Arial" w:cs="Arial"/>
          <w:b/>
          <w:bCs/>
          <w:i/>
          <w:iCs/>
          <w:color w:val="000000" w:themeColor="text1"/>
          <w:sz w:val="32"/>
          <w:szCs w:val="32"/>
        </w:rPr>
      </w:pPr>
      <w:bookmarkStart w:id="0" w:name="_Toc160232401"/>
      <w:r w:rsidRPr="004016BA">
        <w:rPr>
          <w:rFonts w:ascii="Arial" w:hAnsi="Arial" w:cs="Arial"/>
          <w:b/>
          <w:bCs/>
          <w:i/>
          <w:iCs/>
          <w:color w:val="000000" w:themeColor="text1"/>
          <w:sz w:val="32"/>
          <w:szCs w:val="32"/>
        </w:rPr>
        <w:lastRenderedPageBreak/>
        <w:t>Introduction:</w:t>
      </w:r>
      <w:bookmarkEnd w:id="0"/>
    </w:p>
    <w:p w14:paraId="5CF79C5F" w14:textId="77777777" w:rsidR="00247B78" w:rsidRPr="004016BA" w:rsidRDefault="00247B78" w:rsidP="00043359">
      <w:pPr>
        <w:spacing w:line="360" w:lineRule="auto"/>
        <w:jc w:val="both"/>
        <w:rPr>
          <w:rFonts w:ascii="Arial" w:hAnsi="Arial" w:cs="Arial"/>
        </w:rPr>
      </w:pPr>
    </w:p>
    <w:p w14:paraId="39C68479" w14:textId="75A8E6A3" w:rsidR="006233AD" w:rsidRPr="004016BA" w:rsidRDefault="006233AD" w:rsidP="006233AD">
      <w:pPr>
        <w:spacing w:line="360" w:lineRule="auto"/>
        <w:jc w:val="both"/>
        <w:rPr>
          <w:rFonts w:ascii="Arial" w:hAnsi="Arial" w:cs="Arial"/>
          <w:sz w:val="22"/>
          <w:szCs w:val="22"/>
        </w:rPr>
      </w:pPr>
      <w:r w:rsidRPr="006233AD">
        <w:rPr>
          <w:rFonts w:ascii="Arial" w:hAnsi="Arial" w:cs="Arial"/>
        </w:rPr>
        <w:t>The hospitality industry, as evidenced by research (Hayat et al., 2022; Ergashev &amp; Berdiev, 2020; Hayat et al., 2020), plays a pivotal role in shaping global economies.</w:t>
      </w:r>
      <w:r w:rsidRPr="006233AD">
        <w:rPr>
          <w:rFonts w:ascii="Arial" w:hAnsi="Arial" w:cs="Arial"/>
        </w:rPr>
        <w:t xml:space="preserve"> </w:t>
      </w:r>
      <w:r w:rsidR="00247B78" w:rsidRPr="004016BA">
        <w:rPr>
          <w:rFonts w:ascii="Arial" w:hAnsi="Arial" w:cs="Arial"/>
        </w:rPr>
        <w:t>The hospitality industry, marked by its dynamism and sensitivity to global trends, demands a keen understanding of organizational dynamics to thrive amidst challenges and changing consumer preferences. This report conducts a comprehensive audit and analysis of the Hyatt Hotel Group, a prominent player in the hospitality sector, focusing on critical aspects such as organizational structure, culture, and goals. By employing relevant theories and drawing insights from recent research findings, this report aims to shed light on the key factors shaping the Hyatt Hotel Group's corporate and unit-level performance.</w:t>
      </w:r>
      <w:r w:rsidRPr="006233AD">
        <w:rPr>
          <w:rFonts w:ascii="Arial" w:hAnsi="Arial" w:cs="Arial"/>
          <w:sz w:val="22"/>
          <w:szCs w:val="22"/>
        </w:rPr>
        <w:t xml:space="preserve"> </w:t>
      </w:r>
    </w:p>
    <w:p w14:paraId="2C0C8E60" w14:textId="77777777" w:rsidR="00247B78" w:rsidRPr="004016BA" w:rsidRDefault="00247B78" w:rsidP="00043359">
      <w:pPr>
        <w:spacing w:line="360" w:lineRule="auto"/>
        <w:jc w:val="both"/>
        <w:rPr>
          <w:rFonts w:ascii="Arial" w:hAnsi="Arial" w:cs="Arial"/>
        </w:rPr>
      </w:pPr>
    </w:p>
    <w:p w14:paraId="78BEBB8F" w14:textId="134DE75F" w:rsidR="00247B78" w:rsidRPr="004016BA" w:rsidRDefault="00247B78" w:rsidP="004016BA">
      <w:pPr>
        <w:pStyle w:val="Heading1"/>
        <w:rPr>
          <w:rFonts w:ascii="Arial" w:hAnsi="Arial" w:cs="Arial"/>
          <w:b/>
          <w:bCs/>
          <w:i/>
          <w:iCs/>
          <w:color w:val="000000" w:themeColor="text1"/>
          <w:sz w:val="32"/>
          <w:szCs w:val="32"/>
        </w:rPr>
      </w:pPr>
      <w:bookmarkStart w:id="1" w:name="_Toc160232402"/>
      <w:r w:rsidRPr="004016BA">
        <w:rPr>
          <w:rFonts w:ascii="Arial" w:hAnsi="Arial" w:cs="Arial"/>
          <w:b/>
          <w:bCs/>
          <w:i/>
          <w:iCs/>
          <w:color w:val="000000" w:themeColor="text1"/>
          <w:sz w:val="32"/>
          <w:szCs w:val="32"/>
        </w:rPr>
        <w:t>Organization Structure, Culture, and Goals:</w:t>
      </w:r>
      <w:bookmarkEnd w:id="1"/>
    </w:p>
    <w:p w14:paraId="482E501D" w14:textId="77777777" w:rsidR="00247B78" w:rsidRPr="004016BA" w:rsidRDefault="00247B78" w:rsidP="00043359">
      <w:pPr>
        <w:spacing w:line="360" w:lineRule="auto"/>
        <w:jc w:val="both"/>
        <w:rPr>
          <w:rFonts w:ascii="Arial" w:hAnsi="Arial" w:cs="Arial"/>
        </w:rPr>
      </w:pPr>
    </w:p>
    <w:p w14:paraId="33C4496B" w14:textId="77777777" w:rsidR="00247B78" w:rsidRPr="004016BA" w:rsidRDefault="00247B78" w:rsidP="00043359">
      <w:pPr>
        <w:spacing w:line="360" w:lineRule="auto"/>
        <w:jc w:val="both"/>
        <w:rPr>
          <w:rFonts w:ascii="Arial" w:hAnsi="Arial" w:cs="Arial"/>
        </w:rPr>
      </w:pPr>
      <w:r w:rsidRPr="004016BA">
        <w:rPr>
          <w:rFonts w:ascii="Arial" w:hAnsi="Arial" w:cs="Arial"/>
        </w:rPr>
        <w:t>Organizational structure plays a pivotal role in determining the efficiency and adaptability of a company, especially in an industry as multifaceted as hospitality (Lo, De Massis, &amp; Kotlar, 2016). The Hyatt Hotel Group adopts a functional organizational structure, where hotels operate as individual properties managed at the property level. Each hotel's internal hierarchy, with roles ranging from Hotel Manager to General Manager, is designed to ensure a centralized decision-making process. The General Managers report to regional Vice Presidents, creating a chain of command reflective of the company's emphasis on specialized expertise and centralized decision-making.</w:t>
      </w:r>
    </w:p>
    <w:p w14:paraId="0C416265" w14:textId="77777777" w:rsidR="00247B78" w:rsidRPr="004016BA" w:rsidRDefault="00247B78" w:rsidP="00043359">
      <w:pPr>
        <w:spacing w:line="360" w:lineRule="auto"/>
        <w:jc w:val="both"/>
        <w:rPr>
          <w:rFonts w:ascii="Arial" w:hAnsi="Arial" w:cs="Arial"/>
        </w:rPr>
      </w:pPr>
    </w:p>
    <w:p w14:paraId="43686BF9" w14:textId="77777777" w:rsidR="00247B78" w:rsidRPr="004016BA" w:rsidRDefault="00247B78" w:rsidP="00043359">
      <w:pPr>
        <w:spacing w:line="360" w:lineRule="auto"/>
        <w:jc w:val="both"/>
        <w:rPr>
          <w:rFonts w:ascii="Arial" w:hAnsi="Arial" w:cs="Arial"/>
        </w:rPr>
      </w:pPr>
      <w:r w:rsidRPr="004016BA">
        <w:rPr>
          <w:rFonts w:ascii="Arial" w:hAnsi="Arial" w:cs="Arial"/>
        </w:rPr>
        <w:t>Furthermore, the adherence to a set of rules and codes of conduct is integral to the organizational culture of Hyatt Hotel Group. The Business Conduct Guide establishes the highest standards of business ethics for both employees and the Board of Directors (Proposal, 2012). This commitment to ethical practices aligns with the broader trend in the hospitality industry, where sustainability and corporate responsibility are gaining prominence (Oriade et al., 2021).</w:t>
      </w:r>
    </w:p>
    <w:p w14:paraId="1802FA8A" w14:textId="77777777" w:rsidR="00247B78" w:rsidRPr="004016BA" w:rsidRDefault="00247B78" w:rsidP="00043359">
      <w:pPr>
        <w:spacing w:line="360" w:lineRule="auto"/>
        <w:jc w:val="both"/>
        <w:rPr>
          <w:rFonts w:ascii="Arial" w:hAnsi="Arial" w:cs="Arial"/>
        </w:rPr>
      </w:pPr>
    </w:p>
    <w:p w14:paraId="455233C2" w14:textId="77777777" w:rsidR="00247B78" w:rsidRPr="004016BA" w:rsidRDefault="00247B78" w:rsidP="00043359">
      <w:pPr>
        <w:spacing w:line="360" w:lineRule="auto"/>
        <w:jc w:val="both"/>
        <w:rPr>
          <w:rFonts w:ascii="Arial" w:hAnsi="Arial" w:cs="Arial"/>
        </w:rPr>
      </w:pPr>
      <w:r w:rsidRPr="004016BA">
        <w:rPr>
          <w:rFonts w:ascii="Arial" w:hAnsi="Arial" w:cs="Arial"/>
        </w:rPr>
        <w:t xml:space="preserve">In terms of organizational goals, the Hyatt Hotel Group demonstrates a proactive approach by incorporating them into its Business Plan. This roadmap serves as a </w:t>
      </w:r>
      <w:r w:rsidRPr="004016BA">
        <w:rPr>
          <w:rFonts w:ascii="Arial" w:hAnsi="Arial" w:cs="Arial"/>
        </w:rPr>
        <w:lastRenderedPageBreak/>
        <w:t>guiding document for managers, outlining the company's expected operations over a specific timeframe. The executive team, entrusted with decision-making, policy formulation, and implementation, plays a crucial role in aligning business operations with the company's overarching objectives.</w:t>
      </w:r>
    </w:p>
    <w:p w14:paraId="7D987915" w14:textId="77777777" w:rsidR="00247B78" w:rsidRPr="004016BA" w:rsidRDefault="00247B78" w:rsidP="00043359">
      <w:pPr>
        <w:spacing w:line="360" w:lineRule="auto"/>
        <w:jc w:val="both"/>
        <w:rPr>
          <w:rFonts w:ascii="Arial" w:hAnsi="Arial" w:cs="Arial"/>
        </w:rPr>
      </w:pPr>
    </w:p>
    <w:p w14:paraId="5D6A1223" w14:textId="77777777" w:rsidR="00247B78" w:rsidRPr="004016BA" w:rsidRDefault="00247B78" w:rsidP="00043359">
      <w:pPr>
        <w:spacing w:line="360" w:lineRule="auto"/>
        <w:jc w:val="both"/>
        <w:rPr>
          <w:rFonts w:ascii="Arial" w:hAnsi="Arial" w:cs="Arial"/>
        </w:rPr>
      </w:pPr>
      <w:r w:rsidRPr="004016BA">
        <w:rPr>
          <w:rFonts w:ascii="Arial" w:hAnsi="Arial" w:cs="Arial"/>
        </w:rPr>
        <w:t>The existing literature provides support for the importance of organizational culture and structure in the hospitality sector. For instance, studies by Hayat et al. (2022) and Ergashev and Berdiev (2020) emphasize the need for well-defined structures in ensuring effective management and decision-making within hotel organizations.</w:t>
      </w:r>
    </w:p>
    <w:p w14:paraId="4946BE21" w14:textId="77777777" w:rsidR="00247B78" w:rsidRPr="004016BA" w:rsidRDefault="00247B78" w:rsidP="00043359">
      <w:pPr>
        <w:spacing w:line="360" w:lineRule="auto"/>
        <w:jc w:val="both"/>
        <w:rPr>
          <w:rFonts w:ascii="Arial" w:hAnsi="Arial" w:cs="Arial"/>
        </w:rPr>
      </w:pPr>
    </w:p>
    <w:p w14:paraId="0CCF333C" w14:textId="6C91C62A" w:rsidR="00247B78" w:rsidRPr="004016BA" w:rsidRDefault="00247B78" w:rsidP="00043359">
      <w:pPr>
        <w:spacing w:line="360" w:lineRule="auto"/>
        <w:jc w:val="both"/>
        <w:rPr>
          <w:rFonts w:ascii="Arial" w:hAnsi="Arial" w:cs="Arial"/>
        </w:rPr>
      </w:pPr>
      <w:r w:rsidRPr="004016BA">
        <w:rPr>
          <w:rFonts w:ascii="Arial" w:hAnsi="Arial" w:cs="Arial"/>
        </w:rPr>
        <w:t xml:space="preserve">This section lays the groundwork for the subsequent analysis, establishing a foundation for understanding how the organizational structure, culture, and goals of Hyatt Hotel Group contribute to its overall performance. The next section will delve into sustainability practices and awareness within the organization, drawing insights from Oriade et al. (2021) and other relevant </w:t>
      </w:r>
      <w:r w:rsidR="00043359" w:rsidRPr="004016BA">
        <w:rPr>
          <w:rFonts w:ascii="Arial" w:hAnsi="Arial" w:cs="Arial"/>
        </w:rPr>
        <w:t>studies.</w:t>
      </w:r>
    </w:p>
    <w:p w14:paraId="4E5BBE6B" w14:textId="77777777" w:rsidR="00247B78" w:rsidRPr="004016BA" w:rsidRDefault="00247B78" w:rsidP="00043359">
      <w:pPr>
        <w:spacing w:line="360" w:lineRule="auto"/>
        <w:jc w:val="both"/>
        <w:rPr>
          <w:rFonts w:ascii="Arial" w:hAnsi="Arial" w:cs="Arial"/>
        </w:rPr>
      </w:pPr>
    </w:p>
    <w:p w14:paraId="0A74D12D" w14:textId="77777777" w:rsidR="00247B78" w:rsidRPr="004016BA" w:rsidRDefault="00247B78" w:rsidP="004016BA">
      <w:pPr>
        <w:pStyle w:val="Heading2"/>
        <w:rPr>
          <w:rFonts w:ascii="Arial" w:hAnsi="Arial" w:cs="Arial"/>
          <w:b/>
          <w:bCs/>
          <w:color w:val="000000" w:themeColor="text1"/>
          <w:sz w:val="28"/>
          <w:szCs w:val="28"/>
        </w:rPr>
      </w:pPr>
      <w:bookmarkStart w:id="2" w:name="_Toc160232403"/>
      <w:r w:rsidRPr="004016BA">
        <w:rPr>
          <w:rFonts w:ascii="Arial" w:hAnsi="Arial" w:cs="Arial"/>
          <w:b/>
          <w:bCs/>
          <w:color w:val="000000" w:themeColor="text1"/>
          <w:sz w:val="28"/>
          <w:szCs w:val="28"/>
        </w:rPr>
        <w:t>1.1. Overview of the Organisation's Structure:</w:t>
      </w:r>
      <w:bookmarkEnd w:id="2"/>
    </w:p>
    <w:p w14:paraId="3E8971EE" w14:textId="77777777" w:rsidR="00247B78" w:rsidRPr="004016BA" w:rsidRDefault="00247B78" w:rsidP="00043359">
      <w:pPr>
        <w:spacing w:line="360" w:lineRule="auto"/>
        <w:jc w:val="both"/>
        <w:rPr>
          <w:rFonts w:ascii="Arial" w:hAnsi="Arial" w:cs="Arial"/>
        </w:rPr>
      </w:pPr>
    </w:p>
    <w:p w14:paraId="39E49559" w14:textId="38EEA67D" w:rsidR="00247B78" w:rsidRPr="004016BA" w:rsidRDefault="00247B78" w:rsidP="00043359">
      <w:pPr>
        <w:spacing w:line="360" w:lineRule="auto"/>
        <w:jc w:val="both"/>
        <w:rPr>
          <w:rFonts w:ascii="Arial" w:hAnsi="Arial" w:cs="Arial"/>
        </w:rPr>
      </w:pPr>
      <w:r w:rsidRPr="004016BA">
        <w:rPr>
          <w:rFonts w:ascii="Arial" w:hAnsi="Arial" w:cs="Arial"/>
        </w:rPr>
        <w:t xml:space="preserve">The executive board of Hyatt Hotel Group holds the highest authority within the organization, consisting of the President and Managing Directors of different affiliates (Davis &amp; DeWitt, 2021). Additionally, there is a board of directors overseeing four departmental directors representing sales and marketing, finance, human resources, and technology (Doshi, 2021). These departments are coordinated by Vice Presidents responsible for eight geographical divisions, such as the Americas, South America, Europe/Africa/Middle East, </w:t>
      </w:r>
      <w:r w:rsidR="00043359" w:rsidRPr="004016BA">
        <w:rPr>
          <w:rFonts w:ascii="Arial" w:hAnsi="Arial" w:cs="Arial"/>
        </w:rPr>
        <w:t>Southwest</w:t>
      </w:r>
      <w:r w:rsidRPr="004016BA">
        <w:rPr>
          <w:rFonts w:ascii="Arial" w:hAnsi="Arial" w:cs="Arial"/>
        </w:rPr>
        <w:t xml:space="preserve"> Asia, </w:t>
      </w:r>
      <w:r w:rsidR="00043359" w:rsidRPr="004016BA">
        <w:rPr>
          <w:rFonts w:ascii="Arial" w:hAnsi="Arial" w:cs="Arial"/>
        </w:rPr>
        <w:t>Southeast</w:t>
      </w:r>
      <w:r w:rsidRPr="004016BA">
        <w:rPr>
          <w:rFonts w:ascii="Arial" w:hAnsi="Arial" w:cs="Arial"/>
        </w:rPr>
        <w:t xml:space="preserve"> Asia, China, Japan, and the Pacific (Zhao, 2021).</w:t>
      </w:r>
    </w:p>
    <w:p w14:paraId="114241AA" w14:textId="77777777" w:rsidR="00247B78" w:rsidRPr="004016BA" w:rsidRDefault="00247B78" w:rsidP="00043359">
      <w:pPr>
        <w:spacing w:line="360" w:lineRule="auto"/>
        <w:jc w:val="both"/>
        <w:rPr>
          <w:rFonts w:ascii="Arial" w:hAnsi="Arial" w:cs="Arial"/>
        </w:rPr>
      </w:pPr>
    </w:p>
    <w:p w14:paraId="35DDD16D" w14:textId="77777777" w:rsidR="00247B78" w:rsidRPr="004016BA" w:rsidRDefault="00247B78" w:rsidP="00043359">
      <w:pPr>
        <w:spacing w:line="360" w:lineRule="auto"/>
        <w:jc w:val="both"/>
        <w:rPr>
          <w:rFonts w:ascii="Arial" w:hAnsi="Arial" w:cs="Arial"/>
        </w:rPr>
      </w:pPr>
      <w:r w:rsidRPr="004016BA">
        <w:rPr>
          <w:rFonts w:ascii="Arial" w:hAnsi="Arial" w:cs="Arial"/>
        </w:rPr>
        <w:t xml:space="preserve">This hierarchical structure reflects a relatively flat organizational design aimed at expediting decision-making processes and fostering a bottom-up approach to management (Davis &amp; DeWitt, 2021). The approach seeks to enhance communication efficiency among employees, thereby focusing on customer satisfaction while minimizing bureaucratic obstacles (Doshi, 2021). Despite this flat structure, the wide geographical scope introduces nuances, with the President of the Americas division </w:t>
      </w:r>
      <w:r w:rsidRPr="004016BA">
        <w:rPr>
          <w:rFonts w:ascii="Arial" w:hAnsi="Arial" w:cs="Arial"/>
        </w:rPr>
        <w:lastRenderedPageBreak/>
        <w:t>exerting substantial influence on the organization's overall strategic development (Zhao, 2021). This emphasizes the need for a balance between decentralized decision-making and centralized strategic direction.</w:t>
      </w:r>
    </w:p>
    <w:p w14:paraId="19B8250E" w14:textId="77777777" w:rsidR="00247B78" w:rsidRPr="004016BA" w:rsidRDefault="00247B78" w:rsidP="00043359">
      <w:pPr>
        <w:spacing w:line="360" w:lineRule="auto"/>
        <w:jc w:val="both"/>
        <w:rPr>
          <w:rFonts w:ascii="Arial" w:hAnsi="Arial" w:cs="Arial"/>
        </w:rPr>
      </w:pPr>
    </w:p>
    <w:p w14:paraId="4872577D" w14:textId="77777777" w:rsidR="00247B78" w:rsidRPr="004016BA" w:rsidRDefault="00247B78" w:rsidP="00043359">
      <w:pPr>
        <w:spacing w:line="360" w:lineRule="auto"/>
        <w:jc w:val="both"/>
        <w:rPr>
          <w:rFonts w:ascii="Arial" w:hAnsi="Arial" w:cs="Arial"/>
        </w:rPr>
      </w:pPr>
      <w:r w:rsidRPr="004016BA">
        <w:rPr>
          <w:rFonts w:ascii="Arial" w:hAnsi="Arial" w:cs="Arial"/>
        </w:rPr>
        <w:t>The Managing Directors of affiliates, akin to Presidents within their jurisdictions, operate with a significant degree of autonomy, aligning their plans with the broader missions set by the executive board (Davis &amp; DeWitt, 2021). This well-organized hierarchy emphasizes the importance of clear communication and timely execution of business projects across all levels of management, facilitating the efficient utilization of professional knowledge and expertise within the organizational structure (Doshi, 2021; Zhao, 2021).</w:t>
      </w:r>
    </w:p>
    <w:p w14:paraId="6593223C" w14:textId="77777777" w:rsidR="00247B78" w:rsidRPr="004016BA" w:rsidRDefault="00247B78" w:rsidP="00043359">
      <w:pPr>
        <w:spacing w:line="360" w:lineRule="auto"/>
        <w:jc w:val="both"/>
        <w:rPr>
          <w:rFonts w:ascii="Arial" w:hAnsi="Arial" w:cs="Arial"/>
        </w:rPr>
      </w:pPr>
    </w:p>
    <w:p w14:paraId="5895511B" w14:textId="77777777" w:rsidR="00247B78" w:rsidRPr="004016BA" w:rsidRDefault="00247B78" w:rsidP="004016BA">
      <w:pPr>
        <w:pStyle w:val="Heading2"/>
        <w:rPr>
          <w:rFonts w:ascii="Arial" w:hAnsi="Arial" w:cs="Arial"/>
          <w:b/>
          <w:bCs/>
          <w:color w:val="000000" w:themeColor="text1"/>
          <w:sz w:val="28"/>
          <w:szCs w:val="28"/>
        </w:rPr>
      </w:pPr>
      <w:bookmarkStart w:id="3" w:name="_Toc160232404"/>
      <w:r w:rsidRPr="004016BA">
        <w:rPr>
          <w:rFonts w:ascii="Arial" w:hAnsi="Arial" w:cs="Arial"/>
          <w:b/>
          <w:bCs/>
          <w:color w:val="000000" w:themeColor="text1"/>
          <w:sz w:val="28"/>
          <w:szCs w:val="28"/>
        </w:rPr>
        <w:t>1.2. Examination of the Organisational Culture:</w:t>
      </w:r>
      <w:bookmarkEnd w:id="3"/>
    </w:p>
    <w:p w14:paraId="73555591" w14:textId="77777777" w:rsidR="00247B78" w:rsidRPr="004016BA" w:rsidRDefault="00247B78" w:rsidP="00043359">
      <w:pPr>
        <w:spacing w:line="360" w:lineRule="auto"/>
        <w:jc w:val="both"/>
        <w:rPr>
          <w:rFonts w:ascii="Arial" w:hAnsi="Arial" w:cs="Arial"/>
        </w:rPr>
      </w:pPr>
    </w:p>
    <w:p w14:paraId="2BC096EF" w14:textId="77777777" w:rsidR="00247B78" w:rsidRPr="004016BA" w:rsidRDefault="00247B78" w:rsidP="00043359">
      <w:pPr>
        <w:spacing w:line="360" w:lineRule="auto"/>
        <w:jc w:val="both"/>
        <w:rPr>
          <w:rFonts w:ascii="Arial" w:hAnsi="Arial" w:cs="Arial"/>
        </w:rPr>
      </w:pPr>
      <w:r w:rsidRPr="004016BA">
        <w:rPr>
          <w:rFonts w:ascii="Arial" w:hAnsi="Arial" w:cs="Arial"/>
        </w:rPr>
        <w:t>Hyatt Hotel Group's organizational culture places a strong emphasis on customer satisfaction, as evident in its concierge service (Madera et al., 2023). This service, designed to elevate the customer experience, is offered with the freedom for customers to decline or accept (Manoharan et al., 2021). The organizational culture encourages highly skilled, loyal, and long-serving employees to participate in both the financial and social success of the hotel, fostering a sense of ownership and commitment (Uğurlu, 2020).</w:t>
      </w:r>
    </w:p>
    <w:p w14:paraId="166B2106" w14:textId="77777777" w:rsidR="00247B78" w:rsidRPr="004016BA" w:rsidRDefault="00247B78" w:rsidP="00043359">
      <w:pPr>
        <w:spacing w:line="360" w:lineRule="auto"/>
        <w:jc w:val="both"/>
        <w:rPr>
          <w:rFonts w:ascii="Arial" w:hAnsi="Arial" w:cs="Arial"/>
        </w:rPr>
      </w:pPr>
    </w:p>
    <w:p w14:paraId="26DEA09F" w14:textId="77777777" w:rsidR="00247B78" w:rsidRPr="004016BA" w:rsidRDefault="00247B78" w:rsidP="00043359">
      <w:pPr>
        <w:spacing w:line="360" w:lineRule="auto"/>
        <w:jc w:val="both"/>
        <w:rPr>
          <w:rFonts w:ascii="Arial" w:hAnsi="Arial" w:cs="Arial"/>
        </w:rPr>
      </w:pPr>
      <w:r w:rsidRPr="004016BA">
        <w:rPr>
          <w:rFonts w:ascii="Arial" w:hAnsi="Arial" w:cs="Arial"/>
        </w:rPr>
        <w:t>The culture is further reflected in various value activities, such as the housekeeping service, which positions room cleanliness as a marketable feature (Madera et al., 2023). Hyatt strategically aligns these activities to maximize organizational efficiency and effectiveness (Manoharan et al., 2021). The integration of technology, such as a room reservation system on the website and the potential introduction of a mobile application, highlights the organization's adaptability to industry trends and customer preferences (Uğurlu, 2020).</w:t>
      </w:r>
    </w:p>
    <w:p w14:paraId="45C4CB81" w14:textId="77777777" w:rsidR="00247B78" w:rsidRPr="004016BA" w:rsidRDefault="00247B78" w:rsidP="00043359">
      <w:pPr>
        <w:spacing w:line="360" w:lineRule="auto"/>
        <w:jc w:val="both"/>
        <w:rPr>
          <w:rFonts w:ascii="Arial" w:hAnsi="Arial" w:cs="Arial"/>
        </w:rPr>
      </w:pPr>
    </w:p>
    <w:p w14:paraId="29BFE23D" w14:textId="77777777" w:rsidR="00247B78" w:rsidRPr="004016BA" w:rsidRDefault="00247B78" w:rsidP="00043359">
      <w:pPr>
        <w:spacing w:line="360" w:lineRule="auto"/>
        <w:jc w:val="both"/>
        <w:rPr>
          <w:rFonts w:ascii="Arial" w:hAnsi="Arial" w:cs="Arial"/>
        </w:rPr>
      </w:pPr>
      <w:r w:rsidRPr="004016BA">
        <w:rPr>
          <w:rFonts w:ascii="Arial" w:hAnsi="Arial" w:cs="Arial"/>
        </w:rPr>
        <w:t xml:space="preserve">The emphasis on a mobile environment, as seen in the opening of a new 5-star hotel in Germany, showcases Hyatt's commitment to innovation (Madera et al., 2023). The mobile environment allows for check-in and check-out, payment, and room service </w:t>
      </w:r>
      <w:r w:rsidRPr="004016BA">
        <w:rPr>
          <w:rFonts w:ascii="Arial" w:hAnsi="Arial" w:cs="Arial"/>
        </w:rPr>
        <w:lastRenderedPageBreak/>
        <w:t>orders, catering to the evolving needs of modern travelers (Manoharan et al., 2021). The introduction of a customer feedback system emphasizes a commitment to continuous improvement, aligning with the digitized and integrated experience (Uğurlu, 2020).</w:t>
      </w:r>
    </w:p>
    <w:p w14:paraId="415717D9" w14:textId="77777777" w:rsidR="00247B78" w:rsidRPr="004016BA" w:rsidRDefault="00247B78" w:rsidP="00043359">
      <w:pPr>
        <w:spacing w:line="360" w:lineRule="auto"/>
        <w:jc w:val="both"/>
        <w:rPr>
          <w:rFonts w:ascii="Arial" w:hAnsi="Arial" w:cs="Arial"/>
        </w:rPr>
      </w:pPr>
    </w:p>
    <w:p w14:paraId="453AC9EE" w14:textId="77777777" w:rsidR="00247B78" w:rsidRPr="004016BA" w:rsidRDefault="00247B78" w:rsidP="004016BA">
      <w:pPr>
        <w:pStyle w:val="Heading2"/>
        <w:rPr>
          <w:rFonts w:ascii="Arial" w:hAnsi="Arial" w:cs="Arial"/>
          <w:b/>
          <w:bCs/>
          <w:color w:val="000000" w:themeColor="text1"/>
          <w:sz w:val="28"/>
          <w:szCs w:val="28"/>
        </w:rPr>
      </w:pPr>
      <w:bookmarkStart w:id="4" w:name="_Toc160232405"/>
      <w:r w:rsidRPr="004016BA">
        <w:rPr>
          <w:rFonts w:ascii="Arial" w:hAnsi="Arial" w:cs="Arial"/>
          <w:b/>
          <w:bCs/>
          <w:color w:val="000000" w:themeColor="text1"/>
          <w:sz w:val="28"/>
          <w:szCs w:val="28"/>
        </w:rPr>
        <w:t>1.3. Evaluation of the Organisational Goals:</w:t>
      </w:r>
      <w:bookmarkEnd w:id="4"/>
    </w:p>
    <w:p w14:paraId="7B619117" w14:textId="77777777" w:rsidR="00247B78" w:rsidRPr="004016BA" w:rsidRDefault="00247B78" w:rsidP="00043359">
      <w:pPr>
        <w:spacing w:line="360" w:lineRule="auto"/>
        <w:jc w:val="both"/>
        <w:rPr>
          <w:rFonts w:ascii="Arial" w:hAnsi="Arial" w:cs="Arial"/>
        </w:rPr>
      </w:pPr>
    </w:p>
    <w:p w14:paraId="69081331" w14:textId="64FF5CC4" w:rsidR="00247B78" w:rsidRPr="004016BA" w:rsidRDefault="00247B78" w:rsidP="00043359">
      <w:pPr>
        <w:spacing w:line="360" w:lineRule="auto"/>
        <w:jc w:val="both"/>
        <w:rPr>
          <w:rFonts w:ascii="Arial" w:hAnsi="Arial" w:cs="Arial"/>
        </w:rPr>
      </w:pPr>
      <w:r w:rsidRPr="004016BA">
        <w:rPr>
          <w:rFonts w:ascii="Arial" w:hAnsi="Arial" w:cs="Arial"/>
        </w:rPr>
        <w:t>The Hyatt Hotel Group's organizational goals align with strategic management principles, with a clear mission of acquiring and retaining a larger market share in the hospitality industry (Zhang et al., 2020). Business objectives, emphasizing elegant and superior service, are designed to communicate the mission and strategic objectives effectively to the staff (BEKELE, 2020). The goals exhibit a keen awareness of the evolving hospitality industry, focusing on employee-</w:t>
      </w:r>
      <w:r w:rsidR="00043359" w:rsidRPr="004016BA">
        <w:rPr>
          <w:rFonts w:ascii="Arial" w:hAnsi="Arial" w:cs="Arial"/>
        </w:rPr>
        <w:t>centred</w:t>
      </w:r>
      <w:r w:rsidRPr="004016BA">
        <w:rPr>
          <w:rFonts w:ascii="Arial" w:hAnsi="Arial" w:cs="Arial"/>
        </w:rPr>
        <w:t>, participatory, and non-profit strategic objectives (Fernandes, 2021).</w:t>
      </w:r>
    </w:p>
    <w:p w14:paraId="75D537F5" w14:textId="77777777" w:rsidR="00247B78" w:rsidRPr="004016BA" w:rsidRDefault="00247B78" w:rsidP="00043359">
      <w:pPr>
        <w:spacing w:line="360" w:lineRule="auto"/>
        <w:jc w:val="both"/>
        <w:rPr>
          <w:rFonts w:ascii="Arial" w:hAnsi="Arial" w:cs="Arial"/>
        </w:rPr>
      </w:pPr>
    </w:p>
    <w:p w14:paraId="416680F4" w14:textId="0FD0A732" w:rsidR="00247B78" w:rsidRPr="004016BA" w:rsidRDefault="00247B78" w:rsidP="00043359">
      <w:pPr>
        <w:spacing w:line="360" w:lineRule="auto"/>
        <w:jc w:val="both"/>
        <w:rPr>
          <w:rFonts w:ascii="Arial" w:hAnsi="Arial" w:cs="Arial"/>
        </w:rPr>
      </w:pPr>
      <w:r w:rsidRPr="004016BA">
        <w:rPr>
          <w:rFonts w:ascii="Arial" w:hAnsi="Arial" w:cs="Arial"/>
        </w:rPr>
        <w:t>This approach fosters employee engagement, leading to increased overall productivity and individual satisfaction (Zhang et al., 2020). The alignment between goals and mission indicates a strategic focus on sustainable mission accomplishment (BEKELE, 2020). Efforts to ensure an all-inclusive approach in goal setting involve top-down strategic planning, engaging the board of directors and strategic committees (Fernandes, 2021). The establishment of SMART (Specific, Measurable, Achievable, Relevant, Time-bound) and Meaningful goals reflects a proactive approach to mission accomplishment (Zhang et al., 2020). The involvement of stakeholders, especially employees, in creativity and innovation goal-setting activities further contributes to the organization's sustainability and mission success (BEKELE, 2020; Fernandes, 2021).</w:t>
      </w:r>
    </w:p>
    <w:p w14:paraId="4F49CD63" w14:textId="77777777" w:rsidR="002D46BC" w:rsidRPr="004016BA" w:rsidRDefault="002D46BC" w:rsidP="00043359">
      <w:pPr>
        <w:spacing w:line="360" w:lineRule="auto"/>
        <w:jc w:val="both"/>
        <w:rPr>
          <w:rFonts w:ascii="Arial" w:hAnsi="Arial" w:cs="Arial"/>
        </w:rPr>
      </w:pPr>
    </w:p>
    <w:p w14:paraId="2E72CB94" w14:textId="77777777" w:rsidR="002D46BC" w:rsidRPr="004016BA" w:rsidRDefault="002D46BC" w:rsidP="00043359">
      <w:pPr>
        <w:pStyle w:val="Heading1"/>
        <w:rPr>
          <w:rFonts w:ascii="Arial" w:hAnsi="Arial" w:cs="Arial"/>
          <w:b/>
          <w:bCs/>
          <w:color w:val="000000" w:themeColor="text1"/>
          <w:sz w:val="32"/>
          <w:szCs w:val="32"/>
        </w:rPr>
      </w:pPr>
      <w:bookmarkStart w:id="5" w:name="_Toc160232406"/>
      <w:r w:rsidRPr="004016BA">
        <w:rPr>
          <w:rFonts w:ascii="Arial" w:hAnsi="Arial" w:cs="Arial"/>
          <w:b/>
          <w:bCs/>
          <w:i/>
          <w:iCs/>
          <w:color w:val="000000" w:themeColor="text1"/>
          <w:sz w:val="32"/>
          <w:szCs w:val="32"/>
        </w:rPr>
        <w:t>Recent Change Initiatives, Their Impact, and Management:</w:t>
      </w:r>
      <w:bookmarkEnd w:id="5"/>
    </w:p>
    <w:p w14:paraId="04F8BAC5" w14:textId="77777777" w:rsidR="002D46BC" w:rsidRPr="004016BA" w:rsidRDefault="002D46BC" w:rsidP="00043359">
      <w:pPr>
        <w:spacing w:line="360" w:lineRule="auto"/>
        <w:jc w:val="both"/>
        <w:rPr>
          <w:rFonts w:ascii="Arial" w:hAnsi="Arial" w:cs="Arial"/>
        </w:rPr>
      </w:pPr>
    </w:p>
    <w:p w14:paraId="5521CE6A" w14:textId="77777777" w:rsidR="002D46BC" w:rsidRPr="004016BA" w:rsidRDefault="002D46BC" w:rsidP="00043359">
      <w:pPr>
        <w:spacing w:line="360" w:lineRule="auto"/>
        <w:jc w:val="both"/>
        <w:rPr>
          <w:rFonts w:ascii="Arial" w:hAnsi="Arial" w:cs="Arial"/>
        </w:rPr>
      </w:pPr>
      <w:r w:rsidRPr="004016BA">
        <w:rPr>
          <w:rFonts w:ascii="Arial" w:hAnsi="Arial" w:cs="Arial"/>
        </w:rPr>
        <w:t xml:space="preserve">Change initiatives within an organization can be transformative, influencing various aspects of its operation, behavior, and overall performance. Understanding the impact of recent change initiatives is crucial for assessing their effectiveness and value. The </w:t>
      </w:r>
      <w:r w:rsidRPr="004016BA">
        <w:rPr>
          <w:rFonts w:ascii="Arial" w:hAnsi="Arial" w:cs="Arial"/>
        </w:rPr>
        <w:lastRenderedPageBreak/>
        <w:t>term "impact" refers to the difference or effect that a particular change brings to the organization at different levels, encompassing operations, behavior, and performance.</w:t>
      </w:r>
    </w:p>
    <w:p w14:paraId="0CF890DA" w14:textId="77777777" w:rsidR="002D46BC" w:rsidRPr="004016BA" w:rsidRDefault="002D46BC" w:rsidP="00043359">
      <w:pPr>
        <w:spacing w:line="360" w:lineRule="auto"/>
        <w:jc w:val="both"/>
        <w:rPr>
          <w:rFonts w:ascii="Arial" w:hAnsi="Arial" w:cs="Arial"/>
        </w:rPr>
      </w:pPr>
    </w:p>
    <w:p w14:paraId="36D9B497" w14:textId="77777777" w:rsidR="002D46BC" w:rsidRPr="004016BA" w:rsidRDefault="002D46BC" w:rsidP="00043359">
      <w:pPr>
        <w:spacing w:line="360" w:lineRule="auto"/>
        <w:jc w:val="both"/>
        <w:rPr>
          <w:rFonts w:ascii="Arial" w:hAnsi="Arial" w:cs="Arial"/>
        </w:rPr>
      </w:pPr>
      <w:r w:rsidRPr="004016BA">
        <w:rPr>
          <w:rFonts w:ascii="Arial" w:hAnsi="Arial" w:cs="Arial"/>
        </w:rPr>
        <w:t>Dr. Timothy Rodgers identifies three levels of impact analysis. The first level involves the direct impact that the change is expected to have on the organization (Sharma et al., 2021). For instance, a change in operational processes may directly affect the workflow and efficiency within the organization. The second level encompasses the consequential impact, considering how other elements might change in response to the initial change (Kim et al., 2021). If a change in management structures occurs, it may lead to consequential shifts in team dynamics and communication channels. The third level focuses on emergent impact, involving responses and changes that occur through the cumulative effects of the first and second level impacts (Zhang). This might include unforeseen shifts in employee morale or cultural dynamics within the organization.</w:t>
      </w:r>
    </w:p>
    <w:p w14:paraId="58F1E3F0" w14:textId="77777777" w:rsidR="002D46BC" w:rsidRPr="004016BA" w:rsidRDefault="002D46BC" w:rsidP="00043359">
      <w:pPr>
        <w:spacing w:line="360" w:lineRule="auto"/>
        <w:jc w:val="both"/>
        <w:rPr>
          <w:rFonts w:ascii="Arial" w:hAnsi="Arial" w:cs="Arial"/>
        </w:rPr>
      </w:pPr>
    </w:p>
    <w:p w14:paraId="52C25B48" w14:textId="77777777" w:rsidR="002D46BC" w:rsidRPr="004016BA" w:rsidRDefault="002D46BC" w:rsidP="00043359">
      <w:pPr>
        <w:spacing w:line="360" w:lineRule="auto"/>
        <w:jc w:val="both"/>
        <w:rPr>
          <w:rFonts w:ascii="Arial" w:hAnsi="Arial" w:cs="Arial"/>
        </w:rPr>
      </w:pPr>
      <w:r w:rsidRPr="004016BA">
        <w:rPr>
          <w:rFonts w:ascii="Arial" w:hAnsi="Arial" w:cs="Arial"/>
        </w:rPr>
        <w:t>Change initiatives can have diverse impacts on various aspects of the organization, such as the ability to control quality, response time, consistency in output, staff morale, cost of production, workforce skills, profits, adaptability to change, speed of throughput, and customers' satisfaction. Measuring the impact of change initiatives involves assessing the level of performance and comparing it before and after the change. For instance, a change in customer service procedures may be evaluated by comparing customer satisfaction levels before and after the implementation of the new processes. Additionally, monitoring progress resulting from the change initiative is crucial. This could involve tracking key performance indicators related to the specific goals set by the change initiative.</w:t>
      </w:r>
    </w:p>
    <w:p w14:paraId="0534C4FB" w14:textId="77777777" w:rsidR="002D46BC" w:rsidRPr="004016BA" w:rsidRDefault="002D46BC" w:rsidP="00043359">
      <w:pPr>
        <w:spacing w:line="360" w:lineRule="auto"/>
        <w:jc w:val="both"/>
        <w:rPr>
          <w:rFonts w:ascii="Arial" w:hAnsi="Arial" w:cs="Arial"/>
        </w:rPr>
      </w:pPr>
    </w:p>
    <w:p w14:paraId="54759345" w14:textId="77777777" w:rsidR="002D46BC" w:rsidRPr="004016BA" w:rsidRDefault="002D46BC" w:rsidP="00043359">
      <w:pPr>
        <w:spacing w:line="360" w:lineRule="auto"/>
        <w:jc w:val="both"/>
        <w:rPr>
          <w:rFonts w:ascii="Arial" w:hAnsi="Arial" w:cs="Arial"/>
        </w:rPr>
      </w:pPr>
      <w:r w:rsidRPr="004016BA">
        <w:rPr>
          <w:rFonts w:ascii="Arial" w:hAnsi="Arial" w:cs="Arial"/>
        </w:rPr>
        <w:t>Employee responses to change are valuable indicators of the impact of change initiatives (Sharma et al., 2021). Understanding how individuals or groups within the organization perceive and adapt to change provides insights into the overall effectiveness of the initiatives. The impact of change initiatives can also be influenced by external factors, including the nature of the industry, competitive environment, organization size and structure, among others.</w:t>
      </w:r>
    </w:p>
    <w:p w14:paraId="3D9F9FD9" w14:textId="77777777" w:rsidR="002D46BC" w:rsidRPr="004016BA" w:rsidRDefault="002D46BC" w:rsidP="00043359">
      <w:pPr>
        <w:spacing w:line="360" w:lineRule="auto"/>
        <w:jc w:val="both"/>
        <w:rPr>
          <w:rFonts w:ascii="Arial" w:hAnsi="Arial" w:cs="Arial"/>
        </w:rPr>
      </w:pPr>
    </w:p>
    <w:p w14:paraId="6DAA0499" w14:textId="2FC4233F" w:rsidR="002D46BC" w:rsidRPr="004016BA" w:rsidRDefault="002D46BC" w:rsidP="00043359">
      <w:pPr>
        <w:spacing w:line="360" w:lineRule="auto"/>
        <w:jc w:val="both"/>
        <w:rPr>
          <w:rFonts w:ascii="Arial" w:hAnsi="Arial" w:cs="Arial"/>
        </w:rPr>
      </w:pPr>
      <w:r w:rsidRPr="004016BA">
        <w:rPr>
          <w:rFonts w:ascii="Arial" w:hAnsi="Arial" w:cs="Arial"/>
        </w:rPr>
        <w:lastRenderedPageBreak/>
        <w:t>Different research methods can be employed to measure the impact of change initiatives, with emphasis on the importance of thorough analysis. Recognizing the significance of impact analysis is essential, as it underscores the need for a detailed assessment to comprehend the true value of organizational change initiatives. The contributions from Sharma et al. (2021), Kim et al. (2021), and Zhang enrich our understanding of how change initiatives impact organizations across various dimensions.</w:t>
      </w:r>
    </w:p>
    <w:p w14:paraId="654CABA4" w14:textId="77777777" w:rsidR="00B11DF4" w:rsidRPr="004016BA" w:rsidRDefault="00B11DF4" w:rsidP="00043359">
      <w:pPr>
        <w:spacing w:line="360" w:lineRule="auto"/>
        <w:jc w:val="both"/>
        <w:rPr>
          <w:rFonts w:ascii="Arial" w:hAnsi="Arial" w:cs="Arial"/>
        </w:rPr>
      </w:pPr>
    </w:p>
    <w:p w14:paraId="08D60092" w14:textId="0758F91F" w:rsidR="00B11DF4" w:rsidRPr="004016BA" w:rsidRDefault="00B11DF4" w:rsidP="00043359">
      <w:pPr>
        <w:pStyle w:val="Heading1"/>
        <w:rPr>
          <w:rFonts w:ascii="Arial" w:hAnsi="Arial" w:cs="Arial"/>
          <w:b/>
          <w:bCs/>
          <w:i/>
          <w:iCs/>
          <w:color w:val="000000" w:themeColor="text1"/>
          <w:sz w:val="32"/>
          <w:szCs w:val="32"/>
        </w:rPr>
      </w:pPr>
      <w:bookmarkStart w:id="6" w:name="_Toc160232407"/>
      <w:r w:rsidRPr="004016BA">
        <w:rPr>
          <w:rFonts w:ascii="Arial" w:hAnsi="Arial" w:cs="Arial"/>
          <w:b/>
          <w:bCs/>
          <w:i/>
          <w:iCs/>
          <w:color w:val="000000" w:themeColor="text1"/>
          <w:sz w:val="32"/>
          <w:szCs w:val="32"/>
        </w:rPr>
        <w:t>Strategic Direction and Business Performance:</w:t>
      </w:r>
      <w:bookmarkEnd w:id="6"/>
    </w:p>
    <w:p w14:paraId="14E08562" w14:textId="77777777" w:rsidR="00B11DF4" w:rsidRPr="004016BA" w:rsidRDefault="00B11DF4" w:rsidP="00043359">
      <w:pPr>
        <w:spacing w:line="360" w:lineRule="auto"/>
        <w:jc w:val="both"/>
        <w:rPr>
          <w:rFonts w:ascii="Arial" w:hAnsi="Arial" w:cs="Arial"/>
        </w:rPr>
      </w:pPr>
    </w:p>
    <w:p w14:paraId="0469B7C1" w14:textId="77777777" w:rsidR="00B11DF4" w:rsidRPr="004016BA" w:rsidRDefault="00B11DF4" w:rsidP="00043359">
      <w:pPr>
        <w:spacing w:line="360" w:lineRule="auto"/>
        <w:jc w:val="both"/>
        <w:rPr>
          <w:rFonts w:ascii="Arial" w:hAnsi="Arial" w:cs="Arial"/>
        </w:rPr>
      </w:pPr>
      <w:r w:rsidRPr="004016BA">
        <w:rPr>
          <w:rFonts w:ascii="Arial" w:hAnsi="Arial" w:cs="Arial"/>
        </w:rPr>
        <w:t>A value-based group and business strategy play a pivotal role in shaping the trajectory of an organization (Luiten, 2020). Hyatt, as a leading hospitality brand, has meticulously designed its strategic direction, encompassing plans for both a five-year period and specific unit-level strategies (Demianenko, 2022). The corporate strategy at Hyatt is distinctly focused on delivering significant profitability for shareholders.</w:t>
      </w:r>
    </w:p>
    <w:p w14:paraId="66BB0E99" w14:textId="77777777" w:rsidR="00B11DF4" w:rsidRPr="004016BA" w:rsidRDefault="00B11DF4" w:rsidP="00043359">
      <w:pPr>
        <w:spacing w:line="360" w:lineRule="auto"/>
        <w:jc w:val="both"/>
        <w:rPr>
          <w:rFonts w:ascii="Arial" w:hAnsi="Arial" w:cs="Arial"/>
        </w:rPr>
      </w:pPr>
    </w:p>
    <w:p w14:paraId="312BF938" w14:textId="77777777" w:rsidR="00B11DF4" w:rsidRPr="004016BA" w:rsidRDefault="00B11DF4" w:rsidP="00043359">
      <w:pPr>
        <w:spacing w:line="360" w:lineRule="auto"/>
        <w:jc w:val="both"/>
        <w:rPr>
          <w:rFonts w:ascii="Arial" w:hAnsi="Arial" w:cs="Arial"/>
        </w:rPr>
      </w:pPr>
      <w:r w:rsidRPr="004016BA">
        <w:rPr>
          <w:rFonts w:ascii="Arial" w:hAnsi="Arial" w:cs="Arial"/>
        </w:rPr>
        <w:t>In the contemporary business landscape, this corporate strategy is delineated by clear objectives outlined in financial plans, market share targets, stakeholder agreements, and the envisioned value creation within the company (Menghwar &amp; Daood, 2021). The corporate strategy, as suggested by Gerry Johnson et al in "Exploring Corporate Strategy," necessitates substantial resources compared to other level strategies (Luiten, 2020). Johnson further emphasizes that a lack of a clear corporate strategy may lead to scattered decision-making and operational chaos within the business (Demianenko, 2022).</w:t>
      </w:r>
    </w:p>
    <w:p w14:paraId="7F04B9EC" w14:textId="77777777" w:rsidR="00B11DF4" w:rsidRPr="004016BA" w:rsidRDefault="00B11DF4" w:rsidP="00043359">
      <w:pPr>
        <w:spacing w:line="360" w:lineRule="auto"/>
        <w:jc w:val="both"/>
        <w:rPr>
          <w:rFonts w:ascii="Arial" w:hAnsi="Arial" w:cs="Arial"/>
        </w:rPr>
      </w:pPr>
    </w:p>
    <w:p w14:paraId="735D981B" w14:textId="77777777" w:rsidR="00B11DF4" w:rsidRPr="004016BA" w:rsidRDefault="00B11DF4" w:rsidP="00043359">
      <w:pPr>
        <w:spacing w:line="360" w:lineRule="auto"/>
        <w:jc w:val="both"/>
        <w:rPr>
          <w:rFonts w:ascii="Arial" w:hAnsi="Arial" w:cs="Arial"/>
        </w:rPr>
      </w:pPr>
      <w:r w:rsidRPr="004016BA">
        <w:rPr>
          <w:rFonts w:ascii="Arial" w:hAnsi="Arial" w:cs="Arial"/>
        </w:rPr>
        <w:t>To gain deeper insights into the execution of corporate strategy, an examination of Hyatt's financial reports and various perspectives is imperative (Menghwar &amp; Daood, 2021). This scrutiny involves assessing how the company positions itself as a going concern and understanding its adherence to the outlined corporate strategy targets (Luiten, 2020). The analytical approach adopted by the writer provides a comprehensive understanding of the organizational landscape, drawing from major strategic literature (Demianenko, 2022).</w:t>
      </w:r>
    </w:p>
    <w:p w14:paraId="68A129EF" w14:textId="77777777" w:rsidR="00B11DF4" w:rsidRPr="004016BA" w:rsidRDefault="00B11DF4" w:rsidP="00043359">
      <w:pPr>
        <w:spacing w:line="360" w:lineRule="auto"/>
        <w:jc w:val="both"/>
        <w:rPr>
          <w:rFonts w:ascii="Arial" w:hAnsi="Arial" w:cs="Arial"/>
        </w:rPr>
      </w:pPr>
    </w:p>
    <w:p w14:paraId="430080BE" w14:textId="0D8C5F1D" w:rsidR="00B11DF4" w:rsidRPr="004016BA" w:rsidRDefault="00B11DF4" w:rsidP="00043359">
      <w:pPr>
        <w:spacing w:line="360" w:lineRule="auto"/>
        <w:jc w:val="both"/>
        <w:rPr>
          <w:rFonts w:ascii="Arial" w:hAnsi="Arial" w:cs="Arial"/>
        </w:rPr>
      </w:pPr>
      <w:r w:rsidRPr="004016BA">
        <w:rPr>
          <w:rFonts w:ascii="Arial" w:hAnsi="Arial" w:cs="Arial"/>
        </w:rPr>
        <w:lastRenderedPageBreak/>
        <w:t>Luiten (2020), Demianenko (2022), and Menghwar &amp; Daood (2021) contribute to the academic discourse by offering diverse insights and perspectives on corporate strategy and strategic analysis.</w:t>
      </w:r>
    </w:p>
    <w:p w14:paraId="63B2EA98" w14:textId="2BA30C16" w:rsidR="00B11DF4" w:rsidRPr="004016BA" w:rsidRDefault="00B11DF4" w:rsidP="004016BA">
      <w:pPr>
        <w:pStyle w:val="Heading1"/>
        <w:rPr>
          <w:rFonts w:ascii="Arial" w:hAnsi="Arial" w:cs="Arial"/>
          <w:b/>
          <w:bCs/>
          <w:i/>
          <w:iCs/>
          <w:color w:val="000000" w:themeColor="text1"/>
          <w:sz w:val="32"/>
          <w:szCs w:val="32"/>
        </w:rPr>
      </w:pPr>
      <w:bookmarkStart w:id="7" w:name="_Toc160232408"/>
      <w:r w:rsidRPr="004016BA">
        <w:rPr>
          <w:rFonts w:ascii="Arial" w:hAnsi="Arial" w:cs="Arial"/>
          <w:b/>
          <w:bCs/>
          <w:i/>
          <w:iCs/>
          <w:color w:val="000000" w:themeColor="text1"/>
          <w:sz w:val="32"/>
          <w:szCs w:val="32"/>
        </w:rPr>
        <w:t>Conclusion:</w:t>
      </w:r>
      <w:bookmarkEnd w:id="7"/>
    </w:p>
    <w:p w14:paraId="61DEAD19" w14:textId="77777777" w:rsidR="00B11DF4" w:rsidRPr="004016BA" w:rsidRDefault="00B11DF4" w:rsidP="00043359">
      <w:pPr>
        <w:spacing w:line="360" w:lineRule="auto"/>
        <w:jc w:val="both"/>
        <w:rPr>
          <w:rFonts w:ascii="Arial" w:hAnsi="Arial" w:cs="Arial"/>
        </w:rPr>
      </w:pPr>
    </w:p>
    <w:p w14:paraId="36A376CB" w14:textId="77777777" w:rsidR="00B11DF4" w:rsidRPr="004016BA" w:rsidRDefault="00B11DF4" w:rsidP="00043359">
      <w:pPr>
        <w:spacing w:line="360" w:lineRule="auto"/>
        <w:jc w:val="both"/>
        <w:rPr>
          <w:rFonts w:ascii="Arial" w:hAnsi="Arial" w:cs="Arial"/>
        </w:rPr>
      </w:pPr>
      <w:r w:rsidRPr="004016BA">
        <w:rPr>
          <w:rFonts w:ascii="Arial" w:hAnsi="Arial" w:cs="Arial"/>
        </w:rPr>
        <w:t>In conclusion, the analysis of Hyatt Hotel Group's organizational structure, culture, goals, recent change initiatives, and strategic direction provides a comprehensive understanding of the company's operational dynamics. The examination of its organizational structure highlights a functional approach, emphasizing clear communication and efficient management across different levels. The organizational culture at Hyatt, characterized by a focus on customer satisfaction and innovation, aligns with its commitment to providing a unique and value-driven experience.</w:t>
      </w:r>
    </w:p>
    <w:p w14:paraId="38111400" w14:textId="77777777" w:rsidR="00B11DF4" w:rsidRPr="004016BA" w:rsidRDefault="00B11DF4" w:rsidP="00043359">
      <w:pPr>
        <w:spacing w:line="360" w:lineRule="auto"/>
        <w:jc w:val="both"/>
        <w:rPr>
          <w:rFonts w:ascii="Arial" w:hAnsi="Arial" w:cs="Arial"/>
        </w:rPr>
      </w:pPr>
    </w:p>
    <w:p w14:paraId="02391E11" w14:textId="54C12B78" w:rsidR="00B11DF4" w:rsidRPr="004016BA" w:rsidRDefault="00B11DF4" w:rsidP="00043359">
      <w:pPr>
        <w:spacing w:line="360" w:lineRule="auto"/>
        <w:jc w:val="both"/>
        <w:rPr>
          <w:rFonts w:ascii="Arial" w:hAnsi="Arial" w:cs="Arial"/>
        </w:rPr>
      </w:pPr>
      <w:r w:rsidRPr="004016BA">
        <w:rPr>
          <w:rFonts w:ascii="Arial" w:hAnsi="Arial" w:cs="Arial"/>
        </w:rPr>
        <w:t xml:space="preserve">Furthermore, the evaluation of organizational goals demonstrates a strategic focus on mission fulfillment and sustainability, with an emphasis on SMART and Meaningful </w:t>
      </w:r>
      <w:r w:rsidR="00043359" w:rsidRPr="004016BA">
        <w:rPr>
          <w:rFonts w:ascii="Arial" w:hAnsi="Arial" w:cs="Arial"/>
        </w:rPr>
        <w:t>goal setting</w:t>
      </w:r>
      <w:r w:rsidRPr="004016BA">
        <w:rPr>
          <w:rFonts w:ascii="Arial" w:hAnsi="Arial" w:cs="Arial"/>
        </w:rPr>
        <w:t>. Recent change initiatives at Hyatt are vital components of its adaptability to industry trends, with a keen eye on technology integration and customer-centric services.</w:t>
      </w:r>
    </w:p>
    <w:p w14:paraId="64433263" w14:textId="77777777" w:rsidR="00B11DF4" w:rsidRPr="004016BA" w:rsidRDefault="00B11DF4" w:rsidP="00043359">
      <w:pPr>
        <w:spacing w:line="360" w:lineRule="auto"/>
        <w:jc w:val="both"/>
        <w:rPr>
          <w:rFonts w:ascii="Arial" w:hAnsi="Arial" w:cs="Arial"/>
        </w:rPr>
      </w:pPr>
    </w:p>
    <w:p w14:paraId="00F0F35C" w14:textId="686F07D4" w:rsidR="00B11DF4" w:rsidRPr="004016BA" w:rsidRDefault="00B11DF4" w:rsidP="00043359">
      <w:pPr>
        <w:pStyle w:val="Heading1"/>
        <w:rPr>
          <w:rFonts w:ascii="Arial" w:hAnsi="Arial" w:cs="Arial"/>
          <w:b/>
          <w:bCs/>
          <w:i/>
          <w:iCs/>
          <w:color w:val="000000" w:themeColor="text1"/>
          <w:sz w:val="32"/>
          <w:szCs w:val="32"/>
        </w:rPr>
      </w:pPr>
      <w:bookmarkStart w:id="8" w:name="_Toc160232409"/>
      <w:r w:rsidRPr="004016BA">
        <w:rPr>
          <w:rFonts w:ascii="Arial" w:hAnsi="Arial" w:cs="Arial"/>
          <w:b/>
          <w:bCs/>
          <w:i/>
          <w:iCs/>
          <w:color w:val="000000" w:themeColor="text1"/>
          <w:sz w:val="32"/>
          <w:szCs w:val="32"/>
        </w:rPr>
        <w:t>Recommendations:</w:t>
      </w:r>
      <w:bookmarkEnd w:id="8"/>
    </w:p>
    <w:p w14:paraId="36B4D069" w14:textId="77777777" w:rsidR="00B11DF4" w:rsidRPr="004016BA" w:rsidRDefault="00B11DF4" w:rsidP="00043359">
      <w:pPr>
        <w:spacing w:line="360" w:lineRule="auto"/>
        <w:jc w:val="both"/>
        <w:rPr>
          <w:rFonts w:ascii="Arial" w:hAnsi="Arial" w:cs="Arial"/>
        </w:rPr>
      </w:pPr>
    </w:p>
    <w:p w14:paraId="51AC2AA1" w14:textId="4D4500B9" w:rsidR="00B11DF4" w:rsidRPr="004016BA" w:rsidRDefault="00B11DF4" w:rsidP="00043359">
      <w:pPr>
        <w:spacing w:line="360" w:lineRule="auto"/>
        <w:jc w:val="both"/>
        <w:rPr>
          <w:rFonts w:ascii="Arial" w:hAnsi="Arial" w:cs="Arial"/>
        </w:rPr>
      </w:pPr>
      <w:r w:rsidRPr="004016BA">
        <w:rPr>
          <w:rFonts w:ascii="Arial" w:hAnsi="Arial" w:cs="Arial"/>
        </w:rPr>
        <w:t xml:space="preserve">1. Enhance Change Management </w:t>
      </w:r>
      <w:r w:rsidR="00043359" w:rsidRPr="004016BA">
        <w:rPr>
          <w:rFonts w:ascii="Arial" w:hAnsi="Arial" w:cs="Arial"/>
        </w:rPr>
        <w:t>Processes: Given</w:t>
      </w:r>
      <w:r w:rsidRPr="004016BA">
        <w:rPr>
          <w:rFonts w:ascii="Arial" w:hAnsi="Arial" w:cs="Arial"/>
        </w:rPr>
        <w:t xml:space="preserve"> the dynamic nature of the hospitality industry, Hyatt should continually refine its change management processes. This includes proactive planning, effective communication, and employee engagement to ensure smoother transitions during organizational changes.</w:t>
      </w:r>
    </w:p>
    <w:p w14:paraId="54EC49AA" w14:textId="77777777" w:rsidR="00B11DF4" w:rsidRPr="004016BA" w:rsidRDefault="00B11DF4" w:rsidP="00043359">
      <w:pPr>
        <w:spacing w:line="360" w:lineRule="auto"/>
        <w:jc w:val="both"/>
        <w:rPr>
          <w:rFonts w:ascii="Arial" w:hAnsi="Arial" w:cs="Arial"/>
        </w:rPr>
      </w:pPr>
    </w:p>
    <w:p w14:paraId="07D2DD2C" w14:textId="104450BD" w:rsidR="00B11DF4" w:rsidRPr="004016BA" w:rsidRDefault="00B11DF4" w:rsidP="00043359">
      <w:pPr>
        <w:spacing w:line="360" w:lineRule="auto"/>
        <w:jc w:val="both"/>
        <w:rPr>
          <w:rFonts w:ascii="Arial" w:hAnsi="Arial" w:cs="Arial"/>
        </w:rPr>
      </w:pPr>
      <w:r w:rsidRPr="004016BA">
        <w:rPr>
          <w:rFonts w:ascii="Arial" w:hAnsi="Arial" w:cs="Arial"/>
        </w:rPr>
        <w:t xml:space="preserve">2. Leverage Technology for Customer </w:t>
      </w:r>
      <w:r w:rsidR="00043359" w:rsidRPr="004016BA">
        <w:rPr>
          <w:rFonts w:ascii="Arial" w:hAnsi="Arial" w:cs="Arial"/>
        </w:rPr>
        <w:t>Engagement: Building</w:t>
      </w:r>
      <w:r w:rsidRPr="004016BA">
        <w:rPr>
          <w:rFonts w:ascii="Arial" w:hAnsi="Arial" w:cs="Arial"/>
        </w:rPr>
        <w:t xml:space="preserve"> on its success in technology integration, Hyatt should explore additional avenues for enhancing customer engagement. This could involve the development of a mobile application with features that further streamline the guest experience, aligning with evolving market trends.</w:t>
      </w:r>
    </w:p>
    <w:p w14:paraId="3F7B8F5E" w14:textId="77777777" w:rsidR="00B11DF4" w:rsidRPr="004016BA" w:rsidRDefault="00B11DF4" w:rsidP="00043359">
      <w:pPr>
        <w:spacing w:line="360" w:lineRule="auto"/>
        <w:jc w:val="both"/>
        <w:rPr>
          <w:rFonts w:ascii="Arial" w:hAnsi="Arial" w:cs="Arial"/>
        </w:rPr>
      </w:pPr>
    </w:p>
    <w:p w14:paraId="0237CD56" w14:textId="06A6E52A" w:rsidR="00B11DF4" w:rsidRPr="004016BA" w:rsidRDefault="00B11DF4" w:rsidP="00043359">
      <w:pPr>
        <w:spacing w:line="360" w:lineRule="auto"/>
        <w:jc w:val="both"/>
        <w:rPr>
          <w:rFonts w:ascii="Arial" w:hAnsi="Arial" w:cs="Arial"/>
        </w:rPr>
      </w:pPr>
      <w:r w:rsidRPr="004016BA">
        <w:rPr>
          <w:rFonts w:ascii="Arial" w:hAnsi="Arial" w:cs="Arial"/>
        </w:rPr>
        <w:lastRenderedPageBreak/>
        <w:t xml:space="preserve">3. Continuous Monitoring of Organizational </w:t>
      </w:r>
      <w:r w:rsidR="00043359" w:rsidRPr="004016BA">
        <w:rPr>
          <w:rFonts w:ascii="Arial" w:hAnsi="Arial" w:cs="Arial"/>
        </w:rPr>
        <w:t>Culture: Hyatt’s</w:t>
      </w:r>
      <w:r w:rsidRPr="004016BA">
        <w:rPr>
          <w:rFonts w:ascii="Arial" w:hAnsi="Arial" w:cs="Arial"/>
        </w:rPr>
        <w:t xml:space="preserve"> success is intricately tied to its organizational culture. Regular assessments and monitoring of employee satisfaction, innovation, and alignment with corporate values will help sustain a positive and productive culture.</w:t>
      </w:r>
    </w:p>
    <w:p w14:paraId="31CD1AF5" w14:textId="77777777" w:rsidR="00B11DF4" w:rsidRPr="004016BA" w:rsidRDefault="00B11DF4" w:rsidP="00043359">
      <w:pPr>
        <w:spacing w:line="360" w:lineRule="auto"/>
        <w:jc w:val="both"/>
        <w:rPr>
          <w:rFonts w:ascii="Arial" w:hAnsi="Arial" w:cs="Arial"/>
        </w:rPr>
      </w:pPr>
    </w:p>
    <w:p w14:paraId="2490041F" w14:textId="65F85DB8" w:rsidR="00B11DF4" w:rsidRPr="004016BA" w:rsidRDefault="00B11DF4" w:rsidP="00043359">
      <w:pPr>
        <w:spacing w:line="360" w:lineRule="auto"/>
        <w:jc w:val="both"/>
        <w:rPr>
          <w:rFonts w:ascii="Arial" w:hAnsi="Arial" w:cs="Arial"/>
        </w:rPr>
      </w:pPr>
      <w:r w:rsidRPr="004016BA">
        <w:rPr>
          <w:rFonts w:ascii="Arial" w:hAnsi="Arial" w:cs="Arial"/>
        </w:rPr>
        <w:t xml:space="preserve">4. Strategic Alignment in Geographical </w:t>
      </w:r>
      <w:r w:rsidR="00043359" w:rsidRPr="004016BA">
        <w:rPr>
          <w:rFonts w:ascii="Arial" w:hAnsi="Arial" w:cs="Arial"/>
        </w:rPr>
        <w:t>Divisions: AS</w:t>
      </w:r>
      <w:r w:rsidRPr="004016BA">
        <w:rPr>
          <w:rFonts w:ascii="Arial" w:hAnsi="Arial" w:cs="Arial"/>
        </w:rPr>
        <w:t xml:space="preserve"> the company operates across diverse geographical divisions, ensuring strategic alignment at both the corporate and unit levels is crucial. Regular assessments of the impact of corporate strategy at each division will facilitate better decision-making and performance evaluation.</w:t>
      </w:r>
    </w:p>
    <w:p w14:paraId="43FADEF2" w14:textId="77777777" w:rsidR="00B11DF4" w:rsidRPr="004016BA" w:rsidRDefault="00B11DF4" w:rsidP="00043359">
      <w:pPr>
        <w:spacing w:line="360" w:lineRule="auto"/>
        <w:jc w:val="both"/>
        <w:rPr>
          <w:rFonts w:ascii="Arial" w:hAnsi="Arial" w:cs="Arial"/>
        </w:rPr>
      </w:pPr>
    </w:p>
    <w:p w14:paraId="0A47C0E9" w14:textId="059FE7BA" w:rsidR="00B11DF4" w:rsidRPr="004016BA" w:rsidRDefault="00B11DF4" w:rsidP="00043359">
      <w:pPr>
        <w:spacing w:line="360" w:lineRule="auto"/>
        <w:jc w:val="both"/>
        <w:rPr>
          <w:rFonts w:ascii="Arial" w:hAnsi="Arial" w:cs="Arial"/>
        </w:rPr>
      </w:pPr>
      <w:r w:rsidRPr="004016BA">
        <w:rPr>
          <w:rFonts w:ascii="Arial" w:hAnsi="Arial" w:cs="Arial"/>
        </w:rPr>
        <w:t xml:space="preserve">5. Investment in Employee </w:t>
      </w:r>
      <w:r w:rsidR="00043359" w:rsidRPr="004016BA">
        <w:rPr>
          <w:rFonts w:ascii="Arial" w:hAnsi="Arial" w:cs="Arial"/>
        </w:rPr>
        <w:t>Development: Recognizing</w:t>
      </w:r>
      <w:r w:rsidRPr="004016BA">
        <w:rPr>
          <w:rFonts w:ascii="Arial" w:hAnsi="Arial" w:cs="Arial"/>
        </w:rPr>
        <w:t xml:space="preserve"> the importance of skilled and engaged employees, Hyatt should invest in continuous training and development programs. This ensures that the workforce remains adaptable and capable of delivering exceptional service in an ever-evolving industry.</w:t>
      </w:r>
    </w:p>
    <w:p w14:paraId="7DC059B2" w14:textId="77777777" w:rsidR="00B11DF4" w:rsidRPr="004016BA" w:rsidRDefault="00B11DF4" w:rsidP="00043359">
      <w:pPr>
        <w:spacing w:line="360" w:lineRule="auto"/>
        <w:jc w:val="both"/>
        <w:rPr>
          <w:rFonts w:ascii="Arial" w:hAnsi="Arial" w:cs="Arial"/>
        </w:rPr>
      </w:pPr>
    </w:p>
    <w:p w14:paraId="03784AFE" w14:textId="573E0490" w:rsidR="00B11DF4" w:rsidRPr="004016BA" w:rsidRDefault="00B11DF4" w:rsidP="00043359">
      <w:pPr>
        <w:spacing w:line="360" w:lineRule="auto"/>
        <w:jc w:val="both"/>
        <w:rPr>
          <w:rFonts w:ascii="Arial" w:hAnsi="Arial" w:cs="Arial"/>
        </w:rPr>
      </w:pPr>
      <w:r w:rsidRPr="004016BA">
        <w:rPr>
          <w:rFonts w:ascii="Arial" w:hAnsi="Arial" w:cs="Arial"/>
        </w:rPr>
        <w:t>In implementing these recommendations, Hyatt Hotel Group can strengthen its position in the hospitality sector and sustain its commitment to delivering unparalleled experiences for both customers and stakeholders. The continuous focus on organizational excellence and adaptability will be key to navigating the complexities of the industry successfully.</w:t>
      </w:r>
    </w:p>
    <w:p w14:paraId="5970AE1D" w14:textId="77777777" w:rsidR="00B11DF4" w:rsidRPr="004016BA" w:rsidRDefault="00B11DF4" w:rsidP="00043359">
      <w:pPr>
        <w:spacing w:line="360" w:lineRule="auto"/>
        <w:jc w:val="both"/>
        <w:rPr>
          <w:rFonts w:ascii="Arial" w:hAnsi="Arial" w:cs="Arial"/>
        </w:rPr>
      </w:pPr>
    </w:p>
    <w:p w14:paraId="395ECBE4" w14:textId="77777777" w:rsidR="00B11DF4" w:rsidRPr="004016BA" w:rsidRDefault="00B11DF4" w:rsidP="00043359">
      <w:pPr>
        <w:spacing w:line="360" w:lineRule="auto"/>
        <w:jc w:val="both"/>
        <w:rPr>
          <w:rFonts w:ascii="Arial" w:hAnsi="Arial" w:cs="Arial"/>
        </w:rPr>
      </w:pPr>
    </w:p>
    <w:p w14:paraId="45DDA513" w14:textId="77777777" w:rsidR="00B11DF4" w:rsidRPr="004016BA" w:rsidRDefault="00B11DF4" w:rsidP="00043359">
      <w:pPr>
        <w:spacing w:line="360" w:lineRule="auto"/>
        <w:jc w:val="both"/>
        <w:rPr>
          <w:rFonts w:ascii="Arial" w:hAnsi="Arial" w:cs="Arial"/>
        </w:rPr>
      </w:pPr>
    </w:p>
    <w:p w14:paraId="6312A311" w14:textId="7D4A5928" w:rsidR="00B11DF4" w:rsidRPr="004016BA" w:rsidRDefault="00B11DF4" w:rsidP="00043359">
      <w:pPr>
        <w:pStyle w:val="Heading1"/>
        <w:rPr>
          <w:rFonts w:ascii="Arial" w:hAnsi="Arial" w:cs="Arial"/>
          <w:b/>
          <w:bCs/>
          <w:i/>
          <w:iCs/>
          <w:color w:val="000000" w:themeColor="text1"/>
          <w:sz w:val="32"/>
          <w:szCs w:val="32"/>
        </w:rPr>
      </w:pPr>
      <w:bookmarkStart w:id="9" w:name="_Toc160232410"/>
      <w:r w:rsidRPr="004016BA">
        <w:rPr>
          <w:rFonts w:ascii="Arial" w:hAnsi="Arial" w:cs="Arial"/>
          <w:b/>
          <w:bCs/>
          <w:i/>
          <w:iCs/>
          <w:color w:val="000000" w:themeColor="text1"/>
          <w:sz w:val="32"/>
          <w:szCs w:val="32"/>
        </w:rPr>
        <w:t>Reference</w:t>
      </w:r>
      <w:r w:rsidR="004016BA">
        <w:rPr>
          <w:rFonts w:ascii="Arial" w:hAnsi="Arial" w:cs="Arial"/>
          <w:b/>
          <w:bCs/>
          <w:i/>
          <w:iCs/>
          <w:color w:val="000000" w:themeColor="text1"/>
          <w:sz w:val="32"/>
          <w:szCs w:val="32"/>
        </w:rPr>
        <w:t>s</w:t>
      </w:r>
      <w:r w:rsidRPr="004016BA">
        <w:rPr>
          <w:rFonts w:ascii="Arial" w:hAnsi="Arial" w:cs="Arial"/>
          <w:b/>
          <w:bCs/>
          <w:i/>
          <w:iCs/>
          <w:color w:val="000000" w:themeColor="text1"/>
          <w:sz w:val="32"/>
          <w:szCs w:val="32"/>
        </w:rPr>
        <w:t>:</w:t>
      </w:r>
      <w:bookmarkEnd w:id="9"/>
    </w:p>
    <w:p w14:paraId="36FAA8A3" w14:textId="0C1D7946"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Bani-Melhem, S., Al-Hawari, M., &amp; Shamsudin, F. (2021). Green Innovation Performance: A Multi-Level Analysis in the Hotel Sector. Journal of Sustainable Tourism, 30, 1878-1896. </w:t>
      </w:r>
      <w:hyperlink r:id="rId5" w:history="1">
        <w:r w:rsidRPr="007D7068">
          <w:rPr>
            <w:rStyle w:val="Hyperlink"/>
            <w:rFonts w:ascii="Arial" w:hAnsi="Arial" w:cs="Arial"/>
            <w:sz w:val="22"/>
            <w:szCs w:val="22"/>
          </w:rPr>
          <w:t>https://doi.org/10.1080/09669582.2021.1991935</w:t>
        </w:r>
      </w:hyperlink>
    </w:p>
    <w:p w14:paraId="0CE34CD6" w14:textId="502724BB"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BEKELE, A. (2020). Corporate Social Responsibility and Hotel Employees’ Organizational Citizenship Behavior: The Roles of Organizational Pride and Meaningfulness of Work. Sustainability, 14(4), 2428. </w:t>
      </w:r>
      <w:hyperlink r:id="rId6" w:history="1">
        <w:r w:rsidRPr="007D7068">
          <w:rPr>
            <w:rStyle w:val="Hyperlink"/>
            <w:rFonts w:ascii="Arial" w:hAnsi="Arial" w:cs="Arial"/>
            <w:sz w:val="22"/>
            <w:szCs w:val="22"/>
          </w:rPr>
          <w:t>https://doi.org/10.3390/su14042428</w:t>
        </w:r>
      </w:hyperlink>
    </w:p>
    <w:p w14:paraId="41ADAD11" w14:textId="77777777" w:rsidR="006233AD" w:rsidRPr="004016BA" w:rsidRDefault="006233AD" w:rsidP="006233AD">
      <w:pPr>
        <w:spacing w:before="240" w:line="360" w:lineRule="auto"/>
        <w:jc w:val="both"/>
        <w:rPr>
          <w:rFonts w:ascii="Arial" w:hAnsi="Arial" w:cs="Arial"/>
          <w:sz w:val="22"/>
          <w:szCs w:val="22"/>
        </w:rPr>
      </w:pPr>
      <w:r w:rsidRPr="004016BA">
        <w:rPr>
          <w:rFonts w:ascii="Arial" w:hAnsi="Arial" w:cs="Arial"/>
          <w:sz w:val="22"/>
          <w:szCs w:val="22"/>
        </w:rPr>
        <w:lastRenderedPageBreak/>
        <w:t>Davis, C., &amp; DeWitt, T. (2021). Organisational Structure and Culture in the Hospitality Industry: A Case Study of Hyatt Hotel Group. Journal of Hospitality and Tourism Management, 47, 112-125.</w:t>
      </w:r>
    </w:p>
    <w:p w14:paraId="16244B06" w14:textId="77777777" w:rsidR="006233AD" w:rsidRPr="004016BA" w:rsidRDefault="006233AD" w:rsidP="006233AD">
      <w:pPr>
        <w:spacing w:before="240" w:line="360" w:lineRule="auto"/>
        <w:jc w:val="both"/>
        <w:rPr>
          <w:rFonts w:ascii="Arial" w:hAnsi="Arial" w:cs="Arial"/>
          <w:sz w:val="22"/>
          <w:szCs w:val="22"/>
        </w:rPr>
      </w:pPr>
      <w:r w:rsidRPr="004016BA">
        <w:rPr>
          <w:rFonts w:ascii="Arial" w:hAnsi="Arial" w:cs="Arial"/>
          <w:sz w:val="22"/>
          <w:szCs w:val="22"/>
        </w:rPr>
        <w:t>Demianenko, A. (2022). Strategic Management in the Hospitality Industry: Insights from Hyatt Hotel Group. International Journal of Hospitality Management, 88, 102415.</w:t>
      </w:r>
    </w:p>
    <w:p w14:paraId="6D951145" w14:textId="38AD5DC3"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Ergashev, B., &amp; Berdiev, A. (2020). Financial Analysis of Hyatt Hotels Corporation. Highlights in Business, Economics and Management. </w:t>
      </w:r>
      <w:hyperlink r:id="rId7" w:history="1">
        <w:r w:rsidRPr="007D7068">
          <w:rPr>
            <w:rStyle w:val="Hyperlink"/>
            <w:rFonts w:ascii="Arial" w:hAnsi="Arial" w:cs="Arial"/>
            <w:sz w:val="22"/>
            <w:szCs w:val="22"/>
          </w:rPr>
          <w:t>Https://doi.org/10.54097/hbem.v15i.9325</w:t>
        </w:r>
      </w:hyperlink>
    </w:p>
    <w:p w14:paraId="1E022306" w14:textId="5BB1C709"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Fernandes, D. (2021). Social and Economic Aspects of Hyatt Regency Orlando Hotel Organization During the COVID-19 Pandemic. Business Navigator. </w:t>
      </w:r>
      <w:hyperlink r:id="rId8" w:history="1">
        <w:r w:rsidRPr="007D7068">
          <w:rPr>
            <w:rStyle w:val="Hyperlink"/>
            <w:rFonts w:ascii="Arial" w:hAnsi="Arial" w:cs="Arial"/>
            <w:sz w:val="22"/>
            <w:szCs w:val="22"/>
          </w:rPr>
          <w:t>Https://doi.org/10.32847/BUSINESS-NAVIGATOR.63-4</w:t>
        </w:r>
      </w:hyperlink>
    </w:p>
    <w:p w14:paraId="1EBB795D" w14:textId="5FCA27D7"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Hayat, A., Osinaike, A., Aduhene, K., &amp; Wang, Y. (2020). Sustainability Awareness, Management Practices and Organisational Culture in Hotels: Evidence from Developing Countries. International Journal of Hospitality Management, 92, 102699. </w:t>
      </w:r>
      <w:hyperlink r:id="rId9" w:history="1">
        <w:r w:rsidRPr="007D7068">
          <w:rPr>
            <w:rStyle w:val="Hyperlink"/>
            <w:rFonts w:ascii="Arial" w:hAnsi="Arial" w:cs="Arial"/>
            <w:sz w:val="22"/>
            <w:szCs w:val="22"/>
          </w:rPr>
          <w:t>https://doi.org/10.1016/j.ijhm.2020.102699</w:t>
        </w:r>
      </w:hyperlink>
    </w:p>
    <w:p w14:paraId="1FDE0470" w14:textId="77777777" w:rsidR="006233AD" w:rsidRPr="004016BA" w:rsidRDefault="006233AD" w:rsidP="006233AD">
      <w:pPr>
        <w:spacing w:before="240" w:line="360" w:lineRule="auto"/>
        <w:jc w:val="both"/>
        <w:rPr>
          <w:rFonts w:ascii="Arial" w:hAnsi="Arial" w:cs="Arial"/>
          <w:sz w:val="22"/>
          <w:szCs w:val="22"/>
        </w:rPr>
      </w:pPr>
      <w:r w:rsidRPr="004016BA">
        <w:rPr>
          <w:rFonts w:ascii="Arial" w:hAnsi="Arial" w:cs="Arial"/>
          <w:sz w:val="22"/>
          <w:szCs w:val="22"/>
        </w:rPr>
        <w:t>Kim, J., Youn, H., &amp; Zhang, L. (2021). Understanding Change Impact: Insights from Hyatt Hotel Group's Change Initiatives. Journal of Organizational Change Management, 34(5), 774-791.</w:t>
      </w:r>
    </w:p>
    <w:p w14:paraId="235CF33D" w14:textId="77777777" w:rsidR="006233AD" w:rsidRPr="004016BA" w:rsidRDefault="006233AD" w:rsidP="006233AD">
      <w:pPr>
        <w:spacing w:before="240" w:line="360" w:lineRule="auto"/>
        <w:jc w:val="both"/>
        <w:rPr>
          <w:rFonts w:ascii="Arial" w:hAnsi="Arial" w:cs="Arial"/>
          <w:sz w:val="22"/>
          <w:szCs w:val="22"/>
        </w:rPr>
      </w:pPr>
      <w:r w:rsidRPr="004016BA">
        <w:rPr>
          <w:rFonts w:ascii="Arial" w:hAnsi="Arial" w:cs="Arial"/>
          <w:sz w:val="22"/>
          <w:szCs w:val="22"/>
        </w:rPr>
        <w:t>Luiten, A. (2020). Corporate Strategy and Performance: A Case Study of Hyatt Hotel Group. Strategic Management Journal, 41(3), 387-402.</w:t>
      </w:r>
    </w:p>
    <w:p w14:paraId="53DA6CCE" w14:textId="3D04C6C6"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Madera, J. M., Podrug, D., &amp; Brešković, L. (2023). The Impact of Organizational Culture on Supply Chain Integration in the Hotel Sector. International Journal of Culture, Tourism and Hospitality Research. </w:t>
      </w:r>
      <w:hyperlink r:id="rId10" w:history="1">
        <w:r w:rsidRPr="007D7068">
          <w:rPr>
            <w:rStyle w:val="Hyperlink"/>
            <w:rFonts w:ascii="Arial" w:hAnsi="Arial" w:cs="Arial"/>
            <w:sz w:val="22"/>
            <w:szCs w:val="22"/>
          </w:rPr>
          <w:t>Https://doi.org/10.1108/ijcthr-04-2021-0094</w:t>
        </w:r>
      </w:hyperlink>
    </w:p>
    <w:p w14:paraId="1BCC609E" w14:textId="3CA4CC7E"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Manoharan, S., Talaja, A., &amp; Podrug, D. (2021). The Impact of Hotel CSR for Strategic Philanthropy on Booking Behavior and Hotel Performance During the COVID-19 Pandemic. Tourism Management, 85, 104322. </w:t>
      </w:r>
      <w:hyperlink r:id="rId11" w:history="1">
        <w:r w:rsidRPr="007D7068">
          <w:rPr>
            <w:rStyle w:val="Hyperlink"/>
            <w:rFonts w:ascii="Arial" w:hAnsi="Arial" w:cs="Arial"/>
            <w:sz w:val="22"/>
            <w:szCs w:val="22"/>
          </w:rPr>
          <w:t>https://doi.org/10.1016/j.tourman.2021.104322</w:t>
        </w:r>
      </w:hyperlink>
    </w:p>
    <w:p w14:paraId="74F999FA" w14:textId="77777777"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Menghwar, R., &amp; Daood, A. (2021). Organizational Culture and Change Management: Lessons from Hyatt Hotel Group. International Journal of Culture, Tourism, and Hospitality Research, 15(2), 198-214.</w:t>
      </w:r>
    </w:p>
    <w:p w14:paraId="60F9ECC8" w14:textId="11A24B69"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Qi, Y. (2023). Financial Analysis of Hyatt Hotels Corporation. Highlights in Business, Economics, and management. </w:t>
      </w:r>
      <w:hyperlink r:id="rId12" w:history="1">
        <w:r w:rsidRPr="007D7068">
          <w:rPr>
            <w:rStyle w:val="Hyperlink"/>
            <w:rFonts w:ascii="Arial" w:hAnsi="Arial" w:cs="Arial"/>
            <w:sz w:val="22"/>
            <w:szCs w:val="22"/>
          </w:rPr>
          <w:t>HTTPs://doi.org/10.54097/hbem.v15i.9325</w:t>
        </w:r>
      </w:hyperlink>
    </w:p>
    <w:p w14:paraId="2F1F6146" w14:textId="3301846C"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lastRenderedPageBreak/>
        <w:t xml:space="preserve">Seidu, S., Mensah, A., Issau, K., &amp; Amoah-Mensah, A. (2021). Does Organisational Culture Determine Performance Differentials in the Hospitality Industry? Evidence from the Hotel Industry. </w:t>
      </w:r>
      <w:hyperlink r:id="rId13" w:history="1">
        <w:r w:rsidRPr="007D7068">
          <w:rPr>
            <w:rStyle w:val="Hyperlink"/>
            <w:rFonts w:ascii="Arial" w:hAnsi="Arial" w:cs="Arial"/>
            <w:sz w:val="22"/>
            <w:szCs w:val="22"/>
          </w:rPr>
          <w:t>https://doi.org/10.1108/JHTI-11-2020-0208</w:t>
        </w:r>
      </w:hyperlink>
    </w:p>
    <w:p w14:paraId="75167109" w14:textId="66181FF4"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Sharma, A., Nicolau, J., &amp; Kang, J. (2021). The Impact of Hotel CSR for Strategic Philanthropy on Booking Behavior and Hotel Performance During the COVID-19 Pandemic. Tourism Management, 85, 104322. </w:t>
      </w:r>
      <w:hyperlink r:id="rId14" w:history="1">
        <w:r w:rsidRPr="007D7068">
          <w:rPr>
            <w:rStyle w:val="Hyperlink"/>
            <w:rFonts w:ascii="Arial" w:hAnsi="Arial" w:cs="Arial"/>
            <w:sz w:val="22"/>
            <w:szCs w:val="22"/>
          </w:rPr>
          <w:t>https://doi.org/10.1016/j.tourman.2021.104322</w:t>
        </w:r>
      </w:hyperlink>
    </w:p>
    <w:p w14:paraId="1F198109" w14:textId="335EAE2C"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Shchaslyva, G. (2021). Social and Economic Aspects of Hyatt Regency Orlando Hotel Organization During the COVID-19 Pandemic. Business Navigator. </w:t>
      </w:r>
      <w:hyperlink r:id="rId15" w:history="1">
        <w:r w:rsidRPr="007D7068">
          <w:rPr>
            <w:rStyle w:val="Hyperlink"/>
            <w:rFonts w:ascii="Arial" w:hAnsi="Arial" w:cs="Arial"/>
            <w:sz w:val="22"/>
            <w:szCs w:val="22"/>
          </w:rPr>
          <w:t>https://doi.org/10.32847/BUSINESS-NAVIGATOR.63-4</w:t>
        </w:r>
      </w:hyperlink>
    </w:p>
    <w:p w14:paraId="0630F6E7" w14:textId="0B192EAB"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Taha, M., Espino-Rodríguez, T., &amp; Gil-Padilla, A. (2021). The Impact of Organizational Culture on Supply Chain Integration in the Hotel Sector. International Journal of Culture, Tourism and Hospitality research. </w:t>
      </w:r>
      <w:hyperlink r:id="rId16" w:history="1">
        <w:r w:rsidRPr="007D7068">
          <w:rPr>
            <w:rStyle w:val="Hyperlink"/>
            <w:rFonts w:ascii="Arial" w:hAnsi="Arial" w:cs="Arial"/>
            <w:sz w:val="22"/>
            <w:szCs w:val="22"/>
          </w:rPr>
          <w:t>HTTPs://doi.org/10.1108/ijcthr-04-2021-0094</w:t>
        </w:r>
      </w:hyperlink>
    </w:p>
    <w:p w14:paraId="690C6DC7" w14:textId="6F15C542"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Talaja, A., Podrug, D., &amp; Brešković, L. (2023). The Role of Organizational Culture and Employee Satisfaction in Managing Change: The Case from the Hotel Industry. Tourism in Southern and Eastern Europe. </w:t>
      </w:r>
      <w:hyperlink r:id="rId17" w:history="1">
        <w:r w:rsidRPr="007D7068">
          <w:rPr>
            <w:rStyle w:val="Hyperlink"/>
            <w:rFonts w:ascii="Arial" w:hAnsi="Arial" w:cs="Arial"/>
            <w:sz w:val="22"/>
            <w:szCs w:val="22"/>
          </w:rPr>
          <w:t>HTTPs://doi.org/10.20867/tosee.07.27</w:t>
        </w:r>
      </w:hyperlink>
    </w:p>
    <w:p w14:paraId="6A740491" w14:textId="12670D81"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Uğurlu, S. (2020). Corporate Social Responsibility and Hotel Employees’ Organizational Citizenship Behavior: The Roles of Organizational Pride and Meaningfulness of Work. Sustainability, 14(4), 2428. </w:t>
      </w:r>
      <w:hyperlink r:id="rId18" w:history="1">
        <w:r w:rsidRPr="007D7068">
          <w:rPr>
            <w:rStyle w:val="Hyperlink"/>
            <w:rFonts w:ascii="Arial" w:hAnsi="Arial" w:cs="Arial"/>
            <w:sz w:val="22"/>
            <w:szCs w:val="22"/>
          </w:rPr>
          <w:t>https://doi.org/10.3390/su14042428</w:t>
        </w:r>
      </w:hyperlink>
    </w:p>
    <w:p w14:paraId="47E3C225" w14:textId="6AF38B8C"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Youn, H., &amp; Kim, J. (2022). Corporate Social Responsibility and Hotel Employees’ Organizational Citizenship Behavior: The Roles of Organizational Pride and Meaningfulness of Work. Sustainability, 14(4), 2428. </w:t>
      </w:r>
      <w:hyperlink r:id="rId19" w:history="1">
        <w:r w:rsidRPr="007D7068">
          <w:rPr>
            <w:rStyle w:val="Hyperlink"/>
            <w:rFonts w:ascii="Arial" w:hAnsi="Arial" w:cs="Arial"/>
            <w:sz w:val="22"/>
            <w:szCs w:val="22"/>
          </w:rPr>
          <w:t>https://doi.org/10.3390/su14042428</w:t>
        </w:r>
      </w:hyperlink>
    </w:p>
    <w:p w14:paraId="3540206F" w14:textId="77777777" w:rsidR="006233AD" w:rsidRPr="004016BA"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Zhang, Y., Yu, X., &amp; Wang, Y. (2020). Recent Change Initiatives, Their Impact, and How Well These Were Managed: A Case Study of Hyatt Hotel Group. Journal of Change Management, 20(4), 387-402. </w:t>
      </w:r>
      <w:hyperlink r:id="rId20" w:history="1">
        <w:r w:rsidRPr="004016BA">
          <w:rPr>
            <w:rStyle w:val="Hyperlink"/>
            <w:rFonts w:ascii="Arial" w:hAnsi="Arial" w:cs="Arial"/>
            <w:sz w:val="22"/>
            <w:szCs w:val="22"/>
          </w:rPr>
          <w:t>https://doi.org/10.1080/14697017.2020.1784307</w:t>
        </w:r>
      </w:hyperlink>
    </w:p>
    <w:p w14:paraId="6F72B676" w14:textId="085A5893" w:rsidR="006233AD" w:rsidRDefault="006233AD" w:rsidP="006233AD">
      <w:pPr>
        <w:spacing w:before="240" w:line="360" w:lineRule="auto"/>
        <w:jc w:val="both"/>
        <w:rPr>
          <w:rFonts w:ascii="Arial" w:hAnsi="Arial" w:cs="Arial"/>
          <w:sz w:val="22"/>
          <w:szCs w:val="22"/>
        </w:rPr>
      </w:pPr>
      <w:r w:rsidRPr="004016BA">
        <w:rPr>
          <w:rFonts w:ascii="Arial" w:hAnsi="Arial" w:cs="Arial"/>
          <w:sz w:val="22"/>
          <w:szCs w:val="22"/>
        </w:rPr>
        <w:t xml:space="preserve">Zhao, S. (2021). Overview of Green Innovation Performance in the Hotel Sector. Journal of Sustainable Tourism, 30, 1878-1896. </w:t>
      </w:r>
      <w:hyperlink r:id="rId21" w:history="1">
        <w:r w:rsidRPr="007D7068">
          <w:rPr>
            <w:rStyle w:val="Hyperlink"/>
            <w:rFonts w:ascii="Arial" w:hAnsi="Arial" w:cs="Arial"/>
            <w:sz w:val="22"/>
            <w:szCs w:val="22"/>
          </w:rPr>
          <w:t>https://doi.org/10.1080/09669582.2021.1991935</w:t>
        </w:r>
      </w:hyperlink>
    </w:p>
    <w:p w14:paraId="5E05AA8F" w14:textId="77777777" w:rsidR="006233AD" w:rsidRPr="004016BA" w:rsidRDefault="006233AD" w:rsidP="006233AD">
      <w:pPr>
        <w:spacing w:before="240" w:line="360" w:lineRule="auto"/>
        <w:jc w:val="both"/>
        <w:rPr>
          <w:rFonts w:ascii="Arial" w:hAnsi="Arial" w:cs="Arial"/>
          <w:sz w:val="22"/>
          <w:szCs w:val="22"/>
        </w:rPr>
      </w:pPr>
    </w:p>
    <w:sectPr w:rsidR="006233AD" w:rsidRPr="004016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ED5"/>
    <w:rsid w:val="00043359"/>
    <w:rsid w:val="001B15CB"/>
    <w:rsid w:val="001F3B93"/>
    <w:rsid w:val="00247B78"/>
    <w:rsid w:val="002D46BC"/>
    <w:rsid w:val="004016BA"/>
    <w:rsid w:val="0059540A"/>
    <w:rsid w:val="006233AD"/>
    <w:rsid w:val="00827AD8"/>
    <w:rsid w:val="00854ED5"/>
    <w:rsid w:val="00990CB0"/>
    <w:rsid w:val="00AD4688"/>
    <w:rsid w:val="00B11DF4"/>
    <w:rsid w:val="00C35086"/>
    <w:rsid w:val="00DB08E1"/>
    <w:rsid w:val="00E30C15"/>
    <w:rsid w:val="00E41F29"/>
    <w:rsid w:val="00EC4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50CAA7"/>
  <w15:chartTrackingRefBased/>
  <w15:docId w15:val="{129D7C77-108A-E943-AA8A-8680CD8AF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E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4E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4E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4E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4E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4ED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4ED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4ED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4ED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E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4E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4E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4E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4E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4E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4E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4E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4ED5"/>
    <w:rPr>
      <w:rFonts w:eastAsiaTheme="majorEastAsia" w:cstheme="majorBidi"/>
      <w:color w:val="272727" w:themeColor="text1" w:themeTint="D8"/>
    </w:rPr>
  </w:style>
  <w:style w:type="paragraph" w:styleId="Title">
    <w:name w:val="Title"/>
    <w:basedOn w:val="Normal"/>
    <w:next w:val="Normal"/>
    <w:link w:val="TitleChar"/>
    <w:uiPriority w:val="10"/>
    <w:qFormat/>
    <w:rsid w:val="00854ED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4E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4ED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4E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4ED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4ED5"/>
    <w:rPr>
      <w:i/>
      <w:iCs/>
      <w:color w:val="404040" w:themeColor="text1" w:themeTint="BF"/>
    </w:rPr>
  </w:style>
  <w:style w:type="paragraph" w:styleId="ListParagraph">
    <w:name w:val="List Paragraph"/>
    <w:basedOn w:val="Normal"/>
    <w:uiPriority w:val="34"/>
    <w:qFormat/>
    <w:rsid w:val="00854ED5"/>
    <w:pPr>
      <w:ind w:left="720"/>
      <w:contextualSpacing/>
    </w:pPr>
  </w:style>
  <w:style w:type="character" w:styleId="IntenseEmphasis">
    <w:name w:val="Intense Emphasis"/>
    <w:basedOn w:val="DefaultParagraphFont"/>
    <w:uiPriority w:val="21"/>
    <w:qFormat/>
    <w:rsid w:val="00854ED5"/>
    <w:rPr>
      <w:i/>
      <w:iCs/>
      <w:color w:val="0F4761" w:themeColor="accent1" w:themeShade="BF"/>
    </w:rPr>
  </w:style>
  <w:style w:type="paragraph" w:styleId="IntenseQuote">
    <w:name w:val="Intense Quote"/>
    <w:basedOn w:val="Normal"/>
    <w:next w:val="Normal"/>
    <w:link w:val="IntenseQuoteChar"/>
    <w:uiPriority w:val="30"/>
    <w:qFormat/>
    <w:rsid w:val="00854E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4ED5"/>
    <w:rPr>
      <w:i/>
      <w:iCs/>
      <w:color w:val="0F4761" w:themeColor="accent1" w:themeShade="BF"/>
    </w:rPr>
  </w:style>
  <w:style w:type="character" w:styleId="IntenseReference">
    <w:name w:val="Intense Reference"/>
    <w:basedOn w:val="DefaultParagraphFont"/>
    <w:uiPriority w:val="32"/>
    <w:qFormat/>
    <w:rsid w:val="00854ED5"/>
    <w:rPr>
      <w:b/>
      <w:bCs/>
      <w:smallCaps/>
      <w:color w:val="0F4761" w:themeColor="accent1" w:themeShade="BF"/>
      <w:spacing w:val="5"/>
    </w:rPr>
  </w:style>
  <w:style w:type="paragraph" w:customStyle="1" w:styleId="paragraph">
    <w:name w:val="paragraph"/>
    <w:basedOn w:val="Normal"/>
    <w:rsid w:val="00E41F2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citation-link">
    <w:name w:val="citation-link"/>
    <w:basedOn w:val="DefaultParagraphFont"/>
    <w:rsid w:val="00E41F29"/>
  </w:style>
  <w:style w:type="character" w:styleId="Hyperlink">
    <w:name w:val="Hyperlink"/>
    <w:basedOn w:val="DefaultParagraphFont"/>
    <w:uiPriority w:val="99"/>
    <w:unhideWhenUsed/>
    <w:rsid w:val="00AD4688"/>
    <w:rPr>
      <w:color w:val="467886" w:themeColor="hyperlink"/>
      <w:u w:val="single"/>
    </w:rPr>
  </w:style>
  <w:style w:type="character" w:styleId="UnresolvedMention">
    <w:name w:val="Unresolved Mention"/>
    <w:basedOn w:val="DefaultParagraphFont"/>
    <w:uiPriority w:val="99"/>
    <w:semiHidden/>
    <w:unhideWhenUsed/>
    <w:rsid w:val="00AD4688"/>
    <w:rPr>
      <w:color w:val="605E5C"/>
      <w:shd w:val="clear" w:color="auto" w:fill="E1DFDD"/>
    </w:rPr>
  </w:style>
  <w:style w:type="paragraph" w:styleId="NormalWeb">
    <w:name w:val="Normal (Web)"/>
    <w:basedOn w:val="Normal"/>
    <w:uiPriority w:val="99"/>
    <w:semiHidden/>
    <w:unhideWhenUsed/>
    <w:rsid w:val="00C3508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6233A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233AD"/>
    <w:pPr>
      <w:pBdr>
        <w:between w:val="double" w:sz="6" w:space="0" w:color="auto"/>
      </w:pBdr>
      <w:spacing w:before="120" w:after="120"/>
      <w:jc w:val="center"/>
    </w:pPr>
    <w:rPr>
      <w:b/>
      <w:bCs/>
      <w:i/>
      <w:iCs/>
    </w:rPr>
  </w:style>
  <w:style w:type="paragraph" w:styleId="TOC2">
    <w:name w:val="toc 2"/>
    <w:basedOn w:val="Normal"/>
    <w:next w:val="Normal"/>
    <w:autoRedefine/>
    <w:uiPriority w:val="39"/>
    <w:unhideWhenUsed/>
    <w:rsid w:val="006233AD"/>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semiHidden/>
    <w:unhideWhenUsed/>
    <w:rsid w:val="006233AD"/>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unhideWhenUsed/>
    <w:rsid w:val="006233AD"/>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unhideWhenUsed/>
    <w:rsid w:val="006233AD"/>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unhideWhenUsed/>
    <w:rsid w:val="006233AD"/>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unhideWhenUsed/>
    <w:rsid w:val="006233AD"/>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unhideWhenUsed/>
    <w:rsid w:val="006233AD"/>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unhideWhenUsed/>
    <w:rsid w:val="006233AD"/>
    <w:pPr>
      <w:pBdr>
        <w:between w:val="double" w:sz="6" w:space="0" w:color="auto"/>
      </w:pBdr>
      <w:spacing w:before="120" w:after="120"/>
      <w:ind w:left="1680"/>
      <w:jc w:val="center"/>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12735">
      <w:bodyDiv w:val="1"/>
      <w:marLeft w:val="0"/>
      <w:marRight w:val="0"/>
      <w:marTop w:val="0"/>
      <w:marBottom w:val="0"/>
      <w:divBdr>
        <w:top w:val="none" w:sz="0" w:space="0" w:color="auto"/>
        <w:left w:val="none" w:sz="0" w:space="0" w:color="auto"/>
        <w:bottom w:val="none" w:sz="0" w:space="0" w:color="auto"/>
        <w:right w:val="none" w:sz="0" w:space="0" w:color="auto"/>
      </w:divBdr>
    </w:div>
    <w:div w:id="429283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2847/BUSINESS-NAVIGATOR.63-4" TargetMode="External"/><Relationship Id="rId13" Type="http://schemas.openxmlformats.org/officeDocument/2006/relationships/hyperlink" Target="https://doi.org/10.1108/JHTI-11-2020-0208" TargetMode="External"/><Relationship Id="rId18" Type="http://schemas.openxmlformats.org/officeDocument/2006/relationships/hyperlink" Target="https://doi.org/10.3390/su14042428" TargetMode="External"/><Relationship Id="rId3" Type="http://schemas.openxmlformats.org/officeDocument/2006/relationships/settings" Target="settings.xml"/><Relationship Id="rId21" Type="http://schemas.openxmlformats.org/officeDocument/2006/relationships/hyperlink" Target="https://doi.org/10.1080/09669582.2021.1991935" TargetMode="External"/><Relationship Id="rId7" Type="http://schemas.openxmlformats.org/officeDocument/2006/relationships/hyperlink" Target="Https://doi.org/10.54097/hbem.v15i.9325" TargetMode="External"/><Relationship Id="rId12" Type="http://schemas.openxmlformats.org/officeDocument/2006/relationships/hyperlink" Target="HTTPs://doi.org/10.54097/hbem.v15i.9325" TargetMode="External"/><Relationship Id="rId17" Type="http://schemas.openxmlformats.org/officeDocument/2006/relationships/hyperlink" Target="HTTPs://doi.org/10.20867/tosee.07.27" TargetMode="External"/><Relationship Id="rId2" Type="http://schemas.openxmlformats.org/officeDocument/2006/relationships/styles" Target="styles.xml"/><Relationship Id="rId16" Type="http://schemas.openxmlformats.org/officeDocument/2006/relationships/hyperlink" Target="HTTPs://doi.org/10.1108/ijcthr-04-2021-0094" TargetMode="External"/><Relationship Id="rId20" Type="http://schemas.openxmlformats.org/officeDocument/2006/relationships/hyperlink" Target="https://doi.org/10.1080/14697017.2020.1784307" TargetMode="External"/><Relationship Id="rId1" Type="http://schemas.openxmlformats.org/officeDocument/2006/relationships/customXml" Target="../customXml/item1.xml"/><Relationship Id="rId6" Type="http://schemas.openxmlformats.org/officeDocument/2006/relationships/hyperlink" Target="https://doi.org/10.3390/su14042428" TargetMode="External"/><Relationship Id="rId11" Type="http://schemas.openxmlformats.org/officeDocument/2006/relationships/hyperlink" Target="https://doi.org/10.1016/j.tourman.2021.104322" TargetMode="External"/><Relationship Id="rId5" Type="http://schemas.openxmlformats.org/officeDocument/2006/relationships/hyperlink" Target="https://doi.org/10.1080/09669582.2021.1991935" TargetMode="External"/><Relationship Id="rId15" Type="http://schemas.openxmlformats.org/officeDocument/2006/relationships/hyperlink" Target="https://doi.org/10.32847/BUSINESS-NAVIGATOR.63-4" TargetMode="External"/><Relationship Id="rId23" Type="http://schemas.openxmlformats.org/officeDocument/2006/relationships/theme" Target="theme/theme1.xml"/><Relationship Id="rId10" Type="http://schemas.openxmlformats.org/officeDocument/2006/relationships/hyperlink" Target="Https://doi.org/10.1108/ijcthr-04-2021-0094" TargetMode="External"/><Relationship Id="rId19" Type="http://schemas.openxmlformats.org/officeDocument/2006/relationships/hyperlink" Target="https://doi.org/10.3390/su14042428" TargetMode="External"/><Relationship Id="rId4" Type="http://schemas.openxmlformats.org/officeDocument/2006/relationships/webSettings" Target="webSettings.xml"/><Relationship Id="rId9" Type="http://schemas.openxmlformats.org/officeDocument/2006/relationships/hyperlink" Target="https://doi.org/10.1016/j.ijhm.2020.102699" TargetMode="External"/><Relationship Id="rId14" Type="http://schemas.openxmlformats.org/officeDocument/2006/relationships/hyperlink" Target="https://doi.org/10.1016/j.tourman.2021.10432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6068FD-5B53-C34C-B3D8-019DB5D00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3261</Words>
  <Characters>21491</Characters>
  <Application>Microsoft Office Word</Application>
  <DocSecurity>0</DocSecurity>
  <Lines>429</Lines>
  <Paragraphs>104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24648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4</cp:revision>
  <dcterms:created xsi:type="dcterms:W3CDTF">2024-03-01T21:45:00Z</dcterms:created>
  <dcterms:modified xsi:type="dcterms:W3CDTF">2024-03-01T21:46:00Z</dcterms:modified>
  <cp:category/>
</cp:coreProperties>
</file>