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sz w:val="32"/>
          <w:szCs w:val="32"/>
        </w:rPr>
      </w:pPr>
    </w:p>
    <w:p>
      <w:pPr>
        <w:pStyle w:val="style0"/>
        <w:jc w:val="center"/>
        <w:rPr>
          <w:b/>
          <w:sz w:val="32"/>
          <w:szCs w:val="32"/>
        </w:rPr>
      </w:pPr>
      <w:r>
        <w:rPr/>
        <w:drawing>
          <wp:inline distL="114300" distT="0" distB="0" distR="114300">
            <wp:extent cx="5454650" cy="1544320"/>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2" cstate="print"/>
                    <a:srcRect l="0" t="0" r="0" b="0"/>
                    <a:stretch/>
                  </pic:blipFill>
                  <pic:spPr>
                    <a:xfrm rot="0">
                      <a:off x="0" y="0"/>
                      <a:ext cx="5454650" cy="1544320"/>
                    </a:xfrm>
                    <a:prstGeom prst="rect"/>
                  </pic:spPr>
                </pic:pic>
              </a:graphicData>
            </a:graphic>
          </wp:inline>
        </w:drawing>
      </w:r>
    </w:p>
    <w:p>
      <w:pPr>
        <w:pStyle w:val="style0"/>
        <w:jc w:val="center"/>
        <w:rPr>
          <w:b/>
          <w:sz w:val="32"/>
          <w:szCs w:val="32"/>
        </w:rPr>
      </w:pPr>
    </w:p>
    <w:p>
      <w:pPr>
        <w:pStyle w:val="style0"/>
        <w:jc w:val="center"/>
        <w:rPr>
          <w:b/>
          <w:sz w:val="32"/>
          <w:szCs w:val="32"/>
        </w:rPr>
      </w:pPr>
    </w:p>
    <w:p>
      <w:pPr>
        <w:spacing w:lineRule="auto" w:line="360"/>
        <w:jc w:val="left"/>
        <w:rPr>
          <w:b/>
          <w:sz w:val="32"/>
          <w:szCs w:val="32"/>
        </w:rPr>
      </w:pP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Subject</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name.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HUMAN RESOURCE MANAGEMENT</w:t>
      </w:r>
    </w:p>
    <w:p>
      <w:pPr>
        <w:spacing w:lineRule="auto" w:line="360"/>
        <w:jc w:val="left"/>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pP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Student</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Name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VHORA</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MOINBHAI</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IMTYAJBHAI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Student</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id.</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2227860</w:t>
      </w:r>
    </w:p>
    <w:p>
      <w:pPr>
        <w:spacing w:lineRule="auto" w:line="360"/>
        <w:jc w:val="left"/>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pP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Assignment</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name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ASSESSMENT</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-1</w:t>
      </w:r>
    </w:p>
    <w:p>
      <w:pPr>
        <w:spacing w:lineRule="auto" w:line="360"/>
        <w:jc w:val="left"/>
        <w:rPr>
          <w:b/>
          <w:sz w:val="32"/>
          <w:szCs w:val="32"/>
        </w:rPr>
      </w:pP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Professor</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Name.  :</w:t>
      </w:r>
      <w:r>
        <w:rPr>
          <w:rFonts w:ascii="Times New Roman" w:cs="Times New Roman" w:eastAsia="Times New Roman" w:hAnsi="Times New Roman" w:hint="default"/>
          <w:b/>
          <w:bCs/>
          <w:i w:val="false"/>
          <w:iCs w:val="false"/>
          <w:color w:val="auto"/>
          <w:sz w:val="40"/>
          <w:szCs w:val="24"/>
          <w:highlight w:val="none"/>
          <w:vertAlign w:val="baseline"/>
          <w:em w:val="none"/>
          <w:lang w:val="en-US" w:eastAsia="en-IN"/>
        </w:rPr>
        <w:t xml:space="preserve">  MUSHFIQUR RAHMAN</w:t>
      </w:r>
    </w:p>
    <w:p>
      <w:pPr>
        <w:pStyle w:val="style0"/>
        <w:jc w:val="left"/>
        <w:rPr>
          <w:b/>
          <w:sz w:val="32"/>
          <w:szCs w:val="32"/>
        </w:rPr>
      </w:pPr>
    </w:p>
    <w:p>
      <w:pPr>
        <w:pStyle w:val="style0"/>
        <w:jc w:val="center"/>
        <w:rPr>
          <w:b/>
          <w:sz w:val="32"/>
          <w:szCs w:val="32"/>
        </w:rPr>
      </w:pPr>
    </w:p>
    <w:p>
      <w:pPr>
        <w:pStyle w:val="style0"/>
        <w:jc w:val="center"/>
        <w:rPr>
          <w:b/>
          <w:bCs/>
          <w:color w:val="000000"/>
          <w:sz w:val="36"/>
          <w:szCs w:val="36"/>
        </w:rPr>
      </w:pPr>
      <w:r>
        <w:rPr>
          <w:b/>
          <w:bCs/>
          <w:color w:val="000000"/>
          <w:sz w:val="36"/>
          <w:szCs w:val="36"/>
        </w:rPr>
        <w:t>LCMB7000 - ASSIGNMENT 1: HUMAN RESOURCE MANAGEMENT</w:t>
      </w:r>
    </w:p>
    <w:p>
      <w:pPr>
        <w:pStyle w:val="style0"/>
        <w:rPr>
          <w:b/>
        </w:rPr>
      </w:pPr>
      <w:r>
        <w:br w:type="page"/>
      </w:r>
    </w:p>
    <w:p>
      <w:pPr>
        <w:pStyle w:val="style0"/>
        <w:jc w:val="center"/>
        <w:rPr>
          <w:b/>
          <w:sz w:val="28"/>
          <w:szCs w:val="28"/>
        </w:rPr>
      </w:pPr>
      <w:r>
        <w:rPr>
          <w:b/>
          <w:sz w:val="28"/>
          <w:szCs w:val="28"/>
        </w:rPr>
        <w:t>Table of Content</w:t>
      </w:r>
    </w:p>
    <w:p>
      <w:pPr>
        <w:pStyle w:val="style0"/>
        <w:jc w:val="center"/>
        <w:rPr>
          <w:b/>
          <w:sz w:val="28"/>
          <w:szCs w:val="28"/>
        </w:rPr>
      </w:pPr>
    </w:p>
    <w:p>
      <w:pPr>
        <w:pStyle w:val="style19"/>
        <w:tabs>
          <w:tab w:val="right" w:leader="none" w:pos="9350"/>
        </w:tabs>
        <w:rPr>
          <w:noProof/>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"_Toc132928017" </w:instrText>
      </w:r>
      <w:r>
        <w:rPr/>
        <w:fldChar w:fldCharType="separate"/>
      </w:r>
      <w:r>
        <w:rPr>
          <w:rStyle w:val="style85"/>
          <w:noProof/>
        </w:rPr>
        <w:t>1.0 Introduction</w:t>
      </w:r>
      <w:r>
        <w:rPr>
          <w:noProof/>
          <w:webHidden/>
        </w:rPr>
        <w:tab/>
      </w:r>
      <w:r>
        <w:rPr>
          <w:noProof/>
          <w:webHidden/>
        </w:rPr>
        <w:fldChar w:fldCharType="begin"/>
      </w:r>
      <w:r>
        <w:rPr>
          <w:noProof/>
          <w:webHidden/>
        </w:rPr>
        <w:instrText xml:space="preserve"> PAGEREF _Toc132928017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none" w:pos="9350"/>
        </w:tabs>
        <w:rPr>
          <w:noProof/>
        </w:rPr>
      </w:pPr>
      <w:r>
        <w:rPr/>
        <w:fldChar w:fldCharType="begin"/>
      </w:r>
      <w:r>
        <w:instrText xml:space="preserve"> HYPERLINK \l "_Toc132928018" </w:instrText>
      </w:r>
      <w:r>
        <w:rPr/>
        <w:fldChar w:fldCharType="separate"/>
      </w:r>
      <w:r>
        <w:rPr>
          <w:rStyle w:val="style85"/>
          <w:noProof/>
        </w:rPr>
        <w:t>1.1 Aim/ Objectives</w:t>
      </w:r>
      <w:r>
        <w:rPr>
          <w:noProof/>
          <w:webHidden/>
        </w:rPr>
        <w:tab/>
      </w:r>
      <w:r>
        <w:rPr>
          <w:noProof/>
          <w:webHidden/>
        </w:rPr>
        <w:fldChar w:fldCharType="begin"/>
      </w:r>
      <w:r>
        <w:rPr>
          <w:noProof/>
          <w:webHidden/>
        </w:rPr>
        <w:instrText xml:space="preserve"> PAGEREF _Toc132928018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none" w:pos="9350"/>
        </w:tabs>
        <w:rPr>
          <w:noProof/>
        </w:rPr>
      </w:pPr>
      <w:r>
        <w:rPr/>
        <w:fldChar w:fldCharType="begin"/>
      </w:r>
      <w:r>
        <w:instrText xml:space="preserve"> HYPERLINK \l "_Toc132928019" </w:instrText>
      </w:r>
      <w:r>
        <w:rPr/>
        <w:fldChar w:fldCharType="separate"/>
      </w:r>
      <w:r>
        <w:rPr>
          <w:rStyle w:val="style85"/>
          <w:noProof/>
        </w:rPr>
        <w:t>1.2 Choose the Organisation</w:t>
      </w:r>
      <w:r>
        <w:rPr>
          <w:noProof/>
          <w:webHidden/>
        </w:rPr>
        <w:tab/>
      </w:r>
      <w:r>
        <w:rPr>
          <w:noProof/>
          <w:webHidden/>
        </w:rPr>
        <w:fldChar w:fldCharType="begin"/>
      </w:r>
      <w:r>
        <w:rPr>
          <w:noProof/>
          <w:webHidden/>
        </w:rPr>
        <w:instrText xml:space="preserve"> PAGEREF _Toc132928019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none" w:pos="9350"/>
        </w:tabs>
        <w:rPr>
          <w:noProof/>
        </w:rPr>
      </w:pPr>
      <w:r>
        <w:rPr/>
        <w:fldChar w:fldCharType="begin"/>
      </w:r>
      <w:r>
        <w:instrText xml:space="preserve"> HYPERLINK \l "_Toc132928020" </w:instrText>
      </w:r>
      <w:r>
        <w:rPr/>
        <w:fldChar w:fldCharType="separate"/>
      </w:r>
      <w:r>
        <w:rPr>
          <w:rStyle w:val="style85"/>
          <w:noProof/>
        </w:rPr>
        <w:t>1.3 Policies and Procedure</w:t>
      </w:r>
      <w:r>
        <w:rPr>
          <w:noProof/>
          <w:webHidden/>
        </w:rPr>
        <w:tab/>
      </w:r>
      <w:r>
        <w:rPr>
          <w:noProof/>
          <w:webHidden/>
        </w:rPr>
        <w:fldChar w:fldCharType="begin"/>
      </w:r>
      <w:r>
        <w:rPr>
          <w:noProof/>
          <w:webHidden/>
        </w:rPr>
        <w:instrText xml:space="preserve"> PAGEREF _Toc132928020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none" w:pos="9350"/>
        </w:tabs>
        <w:rPr>
          <w:noProof/>
        </w:rPr>
      </w:pPr>
      <w:r>
        <w:rPr/>
        <w:fldChar w:fldCharType="begin"/>
      </w:r>
      <w:r>
        <w:instrText xml:space="preserve"> HYPERLINK \l "_Toc132928021" </w:instrText>
      </w:r>
      <w:r>
        <w:rPr/>
        <w:fldChar w:fldCharType="separate"/>
      </w:r>
      <w:r>
        <w:rPr>
          <w:rStyle w:val="style85"/>
          <w:noProof/>
        </w:rPr>
        <w:t>2.0 Labour Market</w:t>
      </w:r>
      <w:r>
        <w:rPr>
          <w:noProof/>
          <w:webHidden/>
        </w:rPr>
        <w:tab/>
      </w:r>
      <w:r>
        <w:rPr>
          <w:noProof/>
          <w:webHidden/>
        </w:rPr>
        <w:fldChar w:fldCharType="begin"/>
      </w:r>
      <w:r>
        <w:rPr>
          <w:noProof/>
          <w:webHidden/>
        </w:rPr>
        <w:instrText xml:space="preserve"> PAGEREF _Toc132928021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none" w:pos="9350"/>
        </w:tabs>
        <w:rPr>
          <w:noProof/>
        </w:rPr>
      </w:pPr>
      <w:r>
        <w:rPr/>
        <w:fldChar w:fldCharType="begin"/>
      </w:r>
      <w:r>
        <w:instrText xml:space="preserve"> HYPERLINK \l "_Toc132928022" </w:instrText>
      </w:r>
      <w:r>
        <w:rPr/>
        <w:fldChar w:fldCharType="separate"/>
      </w:r>
      <w:r>
        <w:rPr>
          <w:rStyle w:val="style85"/>
          <w:noProof/>
        </w:rPr>
        <w:t>2.1 The current state of the labour market in the UK, the Developed Country</w:t>
      </w:r>
      <w:r>
        <w:rPr>
          <w:noProof/>
          <w:webHidden/>
        </w:rPr>
        <w:tab/>
      </w:r>
      <w:r>
        <w:rPr>
          <w:noProof/>
          <w:webHidden/>
        </w:rPr>
        <w:fldChar w:fldCharType="begin"/>
      </w:r>
      <w:r>
        <w:rPr>
          <w:noProof/>
          <w:webHidden/>
        </w:rPr>
        <w:instrText xml:space="preserve"> PAGEREF _Toc132928022 \h </w:instrText>
      </w:r>
      <w:r>
        <w:rPr>
          <w:noProof/>
          <w:webHidden/>
        </w:rPr>
        <w:fldChar w:fldCharType="separate"/>
      </w:r>
      <w:r>
        <w:rPr>
          <w:noProof/>
          <w:webHidden/>
        </w:rPr>
        <w:t>4</w:t>
      </w:r>
      <w:r>
        <w:rPr>
          <w:noProof/>
          <w:webHidden/>
        </w:rPr>
        <w:fldChar w:fldCharType="end"/>
      </w:r>
      <w:r>
        <w:rPr/>
        <w:fldChar w:fldCharType="end"/>
      </w:r>
    </w:p>
    <w:p>
      <w:pPr>
        <w:pStyle w:val="style21"/>
        <w:tabs>
          <w:tab w:val="right" w:leader="none" w:pos="9350"/>
        </w:tabs>
        <w:rPr>
          <w:noProof/>
        </w:rPr>
      </w:pPr>
      <w:r>
        <w:rPr/>
        <w:fldChar w:fldCharType="begin"/>
      </w:r>
      <w:r>
        <w:instrText xml:space="preserve"> HYPERLINK \l "_Toc132928023" </w:instrText>
      </w:r>
      <w:r>
        <w:rPr/>
        <w:fldChar w:fldCharType="separate"/>
      </w:r>
      <w:r>
        <w:rPr>
          <w:rStyle w:val="style85"/>
          <w:noProof/>
        </w:rPr>
        <w:t>2.1.1 The emerging changes in Human Resourcing Strategies in the post-Covid, and Post-Brexit external environment</w:t>
      </w:r>
      <w:r>
        <w:rPr>
          <w:noProof/>
          <w:webHidden/>
        </w:rPr>
        <w:tab/>
      </w:r>
      <w:r>
        <w:rPr>
          <w:noProof/>
          <w:webHidden/>
        </w:rPr>
        <w:fldChar w:fldCharType="begin"/>
      </w:r>
      <w:r>
        <w:rPr>
          <w:noProof/>
          <w:webHidden/>
        </w:rPr>
        <w:instrText xml:space="preserve"> PAGEREF _Toc132928023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none" w:pos="9350"/>
        </w:tabs>
        <w:rPr>
          <w:noProof/>
        </w:rPr>
      </w:pPr>
      <w:r>
        <w:rPr/>
        <w:fldChar w:fldCharType="begin"/>
      </w:r>
      <w:r>
        <w:instrText xml:space="preserve"> HYPERLINK \l "_Toc132928024" </w:instrText>
      </w:r>
      <w:r>
        <w:rPr/>
        <w:fldChar w:fldCharType="separate"/>
      </w:r>
      <w:r>
        <w:rPr>
          <w:rStyle w:val="style85"/>
          <w:noProof/>
        </w:rPr>
        <w:t>2.2 The current state of the labour market in India, the Developing country</w:t>
      </w:r>
      <w:r>
        <w:rPr>
          <w:noProof/>
          <w:webHidden/>
        </w:rPr>
        <w:tab/>
      </w:r>
      <w:r>
        <w:rPr>
          <w:noProof/>
          <w:webHidden/>
        </w:rPr>
        <w:fldChar w:fldCharType="begin"/>
      </w:r>
      <w:r>
        <w:rPr>
          <w:noProof/>
          <w:webHidden/>
        </w:rPr>
        <w:instrText xml:space="preserve"> PAGEREF _Toc132928024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none" w:pos="9350"/>
        </w:tabs>
        <w:rPr>
          <w:noProof/>
        </w:rPr>
      </w:pPr>
      <w:r>
        <w:rPr/>
        <w:fldChar w:fldCharType="begin"/>
      </w:r>
      <w:r>
        <w:instrText xml:space="preserve"> HYPERLINK \l "_Toc132928025" </w:instrText>
      </w:r>
      <w:r>
        <w:rPr/>
        <w:fldChar w:fldCharType="separate"/>
      </w:r>
      <w:r>
        <w:rPr>
          <w:rStyle w:val="style85"/>
          <w:noProof/>
        </w:rPr>
        <w:t>3.0 Evaluate managerial and business environments</w:t>
      </w:r>
      <w:r>
        <w:rPr>
          <w:noProof/>
          <w:webHidden/>
        </w:rPr>
        <w:tab/>
      </w:r>
      <w:r>
        <w:rPr>
          <w:noProof/>
          <w:webHidden/>
        </w:rPr>
        <w:fldChar w:fldCharType="begin"/>
      </w:r>
      <w:r>
        <w:rPr>
          <w:noProof/>
          <w:webHidden/>
        </w:rPr>
        <w:instrText xml:space="preserve"> PAGEREF _Toc132928025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none" w:pos="9350"/>
        </w:tabs>
        <w:rPr>
          <w:noProof/>
        </w:rPr>
      </w:pPr>
      <w:r>
        <w:rPr/>
        <w:fldChar w:fldCharType="begin"/>
      </w:r>
      <w:r>
        <w:instrText xml:space="preserve"> HYPERLINK \l "_Toc132928026" </w:instrText>
      </w:r>
      <w:r>
        <w:rPr/>
        <w:fldChar w:fldCharType="separate"/>
      </w:r>
      <w:r>
        <w:rPr>
          <w:rStyle w:val="style85"/>
          <w:noProof/>
        </w:rPr>
        <w:t>3.1 Analyse how resourcing in an organisation is affected and informed by internal factors that in turn serve to influence the policies, procedures and processes adopted by the organisation- use SWOT</w:t>
      </w:r>
      <w:r>
        <w:rPr>
          <w:noProof/>
          <w:webHidden/>
        </w:rPr>
        <w:tab/>
      </w:r>
      <w:r>
        <w:rPr>
          <w:noProof/>
          <w:webHidden/>
        </w:rPr>
        <w:fldChar w:fldCharType="begin"/>
      </w:r>
      <w:r>
        <w:rPr>
          <w:noProof/>
          <w:webHidden/>
        </w:rPr>
        <w:instrText xml:space="preserve"> PAGEREF _Toc132928026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none" w:pos="9350"/>
        </w:tabs>
        <w:rPr>
          <w:noProof/>
        </w:rPr>
      </w:pPr>
      <w:r>
        <w:rPr/>
        <w:fldChar w:fldCharType="begin"/>
      </w:r>
      <w:r>
        <w:instrText xml:space="preserve"> HYPERLINK \l "_Toc132928027" </w:instrText>
      </w:r>
      <w:r>
        <w:rPr/>
        <w:fldChar w:fldCharType="separate"/>
      </w:r>
      <w:r>
        <w:rPr>
          <w:rStyle w:val="style85"/>
          <w:noProof/>
        </w:rPr>
        <w:t>3.2 Analyse how resourcing in an organisation is affected and informed by external factors that in turn serve to influence the policies, procedures and processes - use PESTLE</w:t>
      </w:r>
      <w:r>
        <w:rPr>
          <w:noProof/>
          <w:webHidden/>
        </w:rPr>
        <w:tab/>
      </w:r>
      <w:r>
        <w:rPr>
          <w:noProof/>
          <w:webHidden/>
        </w:rPr>
        <w:fldChar w:fldCharType="begin"/>
      </w:r>
      <w:r>
        <w:rPr>
          <w:noProof/>
          <w:webHidden/>
        </w:rPr>
        <w:instrText xml:space="preserve"> PAGEREF _Toc132928027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none" w:pos="9350"/>
        </w:tabs>
        <w:rPr>
          <w:noProof/>
        </w:rPr>
      </w:pPr>
      <w:r>
        <w:rPr/>
        <w:fldChar w:fldCharType="begin"/>
      </w:r>
      <w:r>
        <w:instrText xml:space="preserve"> HYPERLINK \l "_Toc132928028" </w:instrText>
      </w:r>
      <w:r>
        <w:rPr/>
        <w:fldChar w:fldCharType="separate"/>
      </w:r>
      <w:r>
        <w:rPr>
          <w:rStyle w:val="style85"/>
          <w:noProof/>
        </w:rPr>
        <w:t>3.2 Theory of Internal Labour Market</w:t>
      </w:r>
      <w:r>
        <w:rPr>
          <w:noProof/>
          <w:webHidden/>
        </w:rPr>
        <w:tab/>
      </w:r>
      <w:r>
        <w:rPr>
          <w:noProof/>
          <w:webHidden/>
        </w:rPr>
        <w:fldChar w:fldCharType="begin"/>
      </w:r>
      <w:r>
        <w:rPr>
          <w:noProof/>
          <w:webHidden/>
        </w:rPr>
        <w:instrText xml:space="preserve"> PAGEREF _Toc132928028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none" w:pos="9350"/>
        </w:tabs>
        <w:rPr>
          <w:noProof/>
        </w:rPr>
      </w:pPr>
      <w:r>
        <w:rPr/>
        <w:fldChar w:fldCharType="begin"/>
      </w:r>
      <w:r>
        <w:instrText xml:space="preserve"> HYPERLINK \l "_Toc132928029" </w:instrText>
      </w:r>
      <w:r>
        <w:rPr/>
        <w:fldChar w:fldCharType="separate"/>
      </w:r>
      <w:r>
        <w:rPr>
          <w:rStyle w:val="style85"/>
          <w:noProof/>
        </w:rPr>
        <w:t>4.0 Conclusion</w:t>
      </w:r>
      <w:r>
        <w:rPr>
          <w:noProof/>
          <w:webHidden/>
        </w:rPr>
        <w:tab/>
      </w:r>
      <w:r>
        <w:rPr>
          <w:noProof/>
          <w:webHidden/>
        </w:rPr>
        <w:fldChar w:fldCharType="begin"/>
      </w:r>
      <w:r>
        <w:rPr>
          <w:noProof/>
          <w:webHidden/>
        </w:rPr>
        <w:instrText xml:space="preserve"> PAGEREF _Toc132928029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none" w:pos="9350"/>
        </w:tabs>
        <w:rPr>
          <w:noProof/>
        </w:rPr>
      </w:pPr>
      <w:r>
        <w:rPr/>
        <w:fldChar w:fldCharType="begin"/>
      </w:r>
      <w:r>
        <w:instrText xml:space="preserve"> HYPERLINK \l "_Toc132928030"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_Toc132928030 \h </w:instrText>
      </w:r>
      <w:r>
        <w:rPr>
          <w:noProof/>
          <w:webHidden/>
        </w:rPr>
        <w:fldChar w:fldCharType="separate"/>
      </w:r>
      <w:r>
        <w:rPr>
          <w:noProof/>
          <w:webHidden/>
        </w:rPr>
        <w:t>10</w:t>
      </w:r>
      <w:r>
        <w:rPr>
          <w:noProof/>
          <w:webHidden/>
        </w:rPr>
        <w:fldChar w:fldCharType="end"/>
      </w:r>
      <w:r>
        <w:rPr/>
        <w:fldChar w:fldCharType="end"/>
      </w:r>
    </w:p>
    <w:p>
      <w:pPr>
        <w:pStyle w:val="style0"/>
        <w:widowControl w:val="false"/>
        <w:tabs>
          <w:tab w:val="right" w:leader="none" w:pos="9360"/>
        </w:tabs>
        <w:spacing w:before="60" w:lineRule="auto" w:line="240"/>
        <w:jc w:val="left"/>
        <w:rPr>
          <w:b/>
          <w:color w:val="000000"/>
        </w:rPr>
      </w:pPr>
      <w:r>
        <w:rPr/>
        <w:fldChar w:fldCharType="end"/>
      </w:r>
    </w:p>
    <w:p>
      <w:pPr>
        <w:pStyle w:val="style0"/>
        <w:jc w:val="center"/>
        <w:rPr>
          <w:b/>
          <w:sz w:val="28"/>
          <w:szCs w:val="28"/>
        </w:rPr>
      </w:pPr>
    </w:p>
    <w:p>
      <w:pPr>
        <w:pStyle w:val="style0"/>
        <w:rPr>
          <w:b/>
        </w:rPr>
      </w:pPr>
      <w:r>
        <w:br w:type="page"/>
      </w:r>
    </w:p>
    <w:bookmarkStart w:id="0" w:name="_Toc132928017"/>
    <w:p>
      <w:pPr>
        <w:pStyle w:val="style1"/>
        <w:rPr/>
      </w:pPr>
      <w:r>
        <w:t>1.0 Introduction</w:t>
      </w:r>
      <w:bookmarkEnd w:id="0"/>
    </w:p>
    <w:p>
      <w:pPr>
        <w:pStyle w:val="style0"/>
        <w:rPr/>
      </w:pPr>
      <w:r>
        <w:t xml:space="preserve">Human resource management is the strategic approach of practising the appropriate method of recruiting, hiring, selecting the right candidate, sustaining them, deploying effective HR policies and managing the overall task of managing the people within the organisation. In the current report how HR policies get updated within an organisation based on the current internal and external forces of the labour market is going to be discussed.  </w:t>
      </w:r>
    </w:p>
    <w:bookmarkStart w:id="1" w:name="_Toc132928018"/>
    <w:p>
      <w:pPr>
        <w:pStyle w:val="style2"/>
        <w:rPr/>
      </w:pPr>
      <w:r>
        <w:t>1.1 Aim/ Objectives</w:t>
      </w:r>
      <w:bookmarkEnd w:id="1"/>
    </w:p>
    <w:p>
      <w:pPr>
        <w:pStyle w:val="style0"/>
        <w:rPr/>
      </w:pPr>
      <w:r>
        <w:t>The main aim of this report is to understand how human resource management and HR policies are being affected by internal and external factors in the labour market. For this purpose, the primary objectives are to analyse the current state of the labour market of the UK and how post-Brexit and Post-</w:t>
      </w:r>
      <w:r>
        <w:t>Covid</w:t>
      </w:r>
      <w:r>
        <w:t xml:space="preserve"> incidents influence changes in the HRM practice in the UK. </w:t>
      </w:r>
    </w:p>
    <w:bookmarkStart w:id="2" w:name="_Toc132928019"/>
    <w:p>
      <w:pPr>
        <w:pStyle w:val="style2"/>
        <w:rPr/>
      </w:pPr>
      <w:r>
        <w:t>1.2 Choose the Organisation</w:t>
      </w:r>
      <w:bookmarkEnd w:id="2"/>
    </w:p>
    <w:p>
      <w:pPr>
        <w:pStyle w:val="style0"/>
        <w:rPr/>
      </w:pPr>
      <w:r>
        <w:t>Sainsbury's has been chosen to understand how the company is complying with the Stanadrad HR policies of the UK corporation sector in general. As mentioned by Lai</w:t>
      </w:r>
      <w:r>
        <w:rPr>
          <w:i/>
        </w:rPr>
        <w:t xml:space="preserve"> et al</w:t>
      </w:r>
      <w:r>
        <w:t>. (2017</w:t>
      </w:r>
      <w:r>
        <w:t>)  configurational</w:t>
      </w:r>
      <w:r>
        <w:t xml:space="preserve"> approach of HRM concludes both the “best practice and contingent approach” and suggested that within the HR system, both the “ both horizontal and vertical fit” need to be balanced to achieve a synergistic output. Horizontal fit is the internal consistency that prevails within the organisation’s HR practices and the vertical fit is the harmony between the HR system and the current organisational context. Under the Employment Rights Act 1996, all UK organisations that have more than five employees should have basic HR policies, including a “Disciplinary and Dismissal Policy. Grievance Policy. Health and Safety Policy”.</w:t>
      </w:r>
    </w:p>
    <w:bookmarkStart w:id="3" w:name="_Toc132928020"/>
    <w:p>
      <w:pPr>
        <w:pStyle w:val="style2"/>
        <w:rPr/>
      </w:pPr>
      <w:r>
        <w:t>1.3 Policies and Procedure</w:t>
      </w:r>
      <w:bookmarkEnd w:id="3"/>
      <w:r>
        <w:t xml:space="preserve"> </w:t>
      </w:r>
    </w:p>
    <w:p>
      <w:pPr>
        <w:pStyle w:val="style0"/>
        <w:rPr/>
      </w:pPr>
      <w:r>
        <w:t xml:space="preserve">In order to abide by this legal requirement, Sainsbury's has introduced HR policies based on human rights. Having followed the “International Bill of Human Rights, UN Guiding Principles on Business and Human Rights and the International labour organisation's Declaration on Fundamental Principles and Rights at Work”, the company has pledged to Equality Policy where each employee will be treated fairly and in an equal manner. To control Human rights abuse, the company has its own Zero Tolerance Policy to reduce adverse impacts on the human rights of the employees (Sainsburys, 2020).  </w:t>
      </w:r>
    </w:p>
    <w:bookmarkStart w:id="4" w:name="_Toc132928021"/>
    <w:p>
      <w:pPr>
        <w:pStyle w:val="style1"/>
        <w:rPr/>
      </w:pPr>
      <w:r>
        <w:t>2.0 Labour Market</w:t>
      </w:r>
      <w:bookmarkEnd w:id="4"/>
    </w:p>
    <w:bookmarkStart w:id="5" w:name="_Toc132928022"/>
    <w:p>
      <w:pPr>
        <w:pStyle w:val="style2"/>
        <w:rPr/>
      </w:pPr>
      <w:r>
        <w:t>2.1 The current state of the labour market in the UK, the Developed Country</w:t>
      </w:r>
      <w:bookmarkEnd w:id="5"/>
      <w:r>
        <w:t xml:space="preserve"> </w:t>
      </w:r>
    </w:p>
    <w:p>
      <w:pPr>
        <w:pStyle w:val="style0"/>
        <w:rPr/>
      </w:pPr>
      <w:r>
        <w:t xml:space="preserve">The CIPD report 20222 revealed that the difference between employers expecting to scale up the staff levels and those expecting to reduce staff levels in the upcoming three months, known as the net employment balance, remained positive at +28, indicating that employers plan to increase staff numbers in the three months leading up to March 2023. The current scenario of the UK labour market is thus, that 57% of employers find it difficult to fill the vacancies and 29% of them anticipate that they have to face certain challenges in filling the vacancies in the coming six months of 2023. Primary and utilities (82%), healthcare (78%) and education (77%) are the industries with the most open hard-to-fill positions (CIPD, 2022). Employers who are stating the issue of finding it hard to fill the vacancies informed that 40% of the vaccines are there because of lacking skilled labour. Either the applicant does not understand the required skills and job role or lacks the technical skills that are in demand (CIPD, 2022). Therefore, it can be said that the current labour market in the UK is tight due to “strikes, high rates of inflation and rising interest rates”. This recruitment struggle is likely to sustain for the next few years and to address this issue, employers have decided to increase 5% in the “expected pay awards” despite the higher inflation rate to motivate employees. </w:t>
      </w:r>
    </w:p>
    <w:p>
      <w:pPr>
        <w:pStyle w:val="style0"/>
        <w:rPr/>
      </w:pPr>
      <w:r>
        <w:t xml:space="preserve">According to the annual report published by ONS in 2022, it was declared officially the UK labour market remained to be tight, ever in history, especially since 2012 and the indication is towards the poor economic condition. It has been identified that in November </w:t>
      </w:r>
      <w:r>
        <w:t>2022,</w:t>
      </w:r>
      <w:r>
        <w:t xml:space="preserve"> the Unemployment rate remained to be the lowest at 3.7%. However, this percentage was 0.2% up in comparison to the previous three-four months. Though the unemployment rate is decreasing, the average weekly working hours are decreasing and the probable reason is poor economic output. As employers are paying more attention to supporting employees during challenging economic environments and uncertainties, and hence, the redundancy rate has increased to 3.4 per 1,000 employees in November 2022 since the 2008 recession (IGD, 2023). However, in the overall scenario, job vacancies are higher </w:t>
      </w:r>
      <w:r>
        <w:t xml:space="preserve">and in comparison, </w:t>
      </w:r>
      <w:r>
        <w:t xml:space="preserve">to that, the redundancy rate is very low and this is the reason that companies are paying attention to attracting labour instead of cutting off excess labour. </w:t>
      </w:r>
      <w:r>
        <w:tab/>
      </w:r>
      <w:r>
        <w:t xml:space="preserve">  </w:t>
      </w:r>
    </w:p>
    <w:p>
      <w:pPr>
        <w:pStyle w:val="style0"/>
        <w:rPr/>
      </w:pPr>
      <w:r>
        <w:t xml:space="preserve">Refugees and the UK Labour Market is also interesting area of concern. In 2017, it was marked that around 374,000 foreign-born individuals migrated to the UK and the startling fact is that the </w:t>
      </w:r>
      <w:r>
        <w:t xml:space="preserve">asylum migrants do not share equal rights in the UK labour market (Kone </w:t>
      </w:r>
      <w:r>
        <w:rPr>
          <w:i/>
        </w:rPr>
        <w:t>et al</w:t>
      </w:r>
      <w:r>
        <w:t xml:space="preserve">. 2017). They earn less and also work fewer hours. Therefore, in the field of HR policy debate, this integration of refugees into the labour market is a serious issue that needs to be addressed.  </w:t>
      </w:r>
      <w:r>
        <w:tab/>
      </w:r>
      <w:r>
        <w:tab/>
      </w:r>
    </w:p>
    <w:bookmarkStart w:id="6" w:name="_Toc132928023"/>
    <w:p>
      <w:pPr>
        <w:pStyle w:val="style3"/>
        <w:rPr/>
      </w:pPr>
      <w:r>
        <w:t>2.1.1 The emerging changes in Human Resourcing Strategies in the post-Covid, and Post-Brexit external environment</w:t>
      </w:r>
      <w:bookmarkEnd w:id="6"/>
      <w:r>
        <w:t xml:space="preserve"> </w:t>
      </w:r>
    </w:p>
    <w:p>
      <w:pPr>
        <w:pStyle w:val="style0"/>
        <w:rPr/>
      </w:pPr>
      <w:r>
        <w:t xml:space="preserve">The main effect of Brexit is the challenge to resources across national boundaries. The greatest adverse impact of Brexit on HR resourcing is getting hands on the “right talent and labour supply”. Europe’s high contingency was due to Brexit and the compilation was intensified further because of price increases and increasing fluctuations in the labour market. In order to resolve this issue, the UK government issues certain guidance for employers to update the HR policy so that in the initial stage, employees who are permanent residents of “The EU, EEA or Swiss citizens” get a chance to continue to work (Pay Data, 2022). Reformation of immigration policy is required to shape the labour market post-Brexit situation (Wadsworth, 2018). The new HR policy demanded all the employees show their ‘permanent residence documents’ living in the UK for the last five years. If required the employees apply for </w:t>
      </w:r>
      <w:r>
        <w:t>the  EU</w:t>
      </w:r>
      <w:r>
        <w:t xml:space="preserve"> Settlement Scheme or  British citizenship. Thus, the UK government has taken some serious measures to protect the workforce and the talents from the impact of Brexit.  </w:t>
      </w:r>
    </w:p>
    <w:p>
      <w:pPr>
        <w:pStyle w:val="style0"/>
        <w:rPr/>
      </w:pPr>
      <w:r>
        <w:t xml:space="preserve">After Brexit, Covid-19 hit the UK economy in 2020. As mentioned by Oseghale </w:t>
      </w:r>
      <w:r>
        <w:rPr>
          <w:i/>
        </w:rPr>
        <w:t>et al</w:t>
      </w:r>
      <w:r>
        <w:t xml:space="preserve">. 2022. Due to the WHO guideline, immediately the organisations need to shift remote working. Thus, during and post-covid state, traditional Human Resource Management (HRM) practices need to integrate reconfiguration to keep pace with </w:t>
      </w:r>
      <w:r>
        <w:t>the “</w:t>
      </w:r>
      <w:r>
        <w:t xml:space="preserve">new normal”. The hybrid work policy should be introduced. Importance is given to deploying “agile human resource management practices” within the HR system and changes will be done in “hiring, employment relations, performance review, technology training and mental health and well-being” (Oseghale </w:t>
      </w:r>
      <w:r>
        <w:rPr>
          <w:i/>
        </w:rPr>
        <w:t>et al</w:t>
      </w:r>
      <w:r>
        <w:t xml:space="preserve">. 2022). Special attention will be given to “compensation, a different place to work, working conditions, employee relations, performance management, training, plan for employee assistance, and layoffs during a crisis”. </w:t>
      </w:r>
      <w:r>
        <w:tab/>
      </w:r>
    </w:p>
    <w:bookmarkStart w:id="7" w:name="_Toc132928024"/>
    <w:p>
      <w:pPr>
        <w:pStyle w:val="style2"/>
        <w:rPr/>
      </w:pPr>
      <w:r>
        <w:t>2.2 The current state of the labour market in India, the Developing country</w:t>
      </w:r>
      <w:bookmarkEnd w:id="7"/>
      <w:r>
        <w:t xml:space="preserve"> </w:t>
      </w:r>
    </w:p>
    <w:p>
      <w:pPr>
        <w:pStyle w:val="style0"/>
        <w:rPr/>
      </w:pPr>
      <w:r>
        <w:t xml:space="preserve">In 2016, India’s economic growth was around 8.0%. However, since 2017, a sharp decline in GDP was noticed. In fact, the Central Statistical Office (CSO) declared that GDP has dropped </w:t>
      </w:r>
      <w:r>
        <w:t>by 7.1</w:t>
      </w:r>
      <w:r>
        <w:t xml:space="preserve">%. The total workforce in India reached 1.1 million </w:t>
      </w:r>
      <w:r>
        <w:t>in 2011</w:t>
      </w:r>
      <w:r>
        <w:t xml:space="preserve">-12. In urban areas, the increased private sector resulted in a 57.2% growth in employment. In the Indian labour market, the contribution of </w:t>
      </w:r>
      <w:r>
        <w:t xml:space="preserve">the women workforce is very less. The agricultural sector contributed 48.9% of employment and the services sector marked 53.7% of employment in 2016-17 (ILO, 2017).  However, one of the biggest problems of the Indian labour market is informal employment in the unorganised sector and the percentage of this type of employment is 82.2% </w:t>
      </w:r>
      <w:r>
        <w:t>in  2011</w:t>
      </w:r>
      <w:r>
        <w:t xml:space="preserve">-12. Child labour is the second biggest issue in 2011-12, with 10.1 million children ging between 5-14 YO engaged in child labour (ILO, 2017). However, in recent times, the covid-crisis has badly impacted the Indian labour market. Due to the unreasonable cut-off of employment, people are now becoming pessimist about their current job/ employment conditions (Deloitte, 2022). Youth unemployment is a serious concern for India.  Therefore, the Indian government should look into this matter to generate a strong workforce for the future and economic development.   </w:t>
      </w:r>
    </w:p>
    <w:bookmarkStart w:id="8" w:name="_Toc132928025"/>
    <w:p>
      <w:pPr>
        <w:pStyle w:val="style1"/>
        <w:rPr/>
      </w:pPr>
      <w:r>
        <w:t>3.0 Evaluate managerial and business environments</w:t>
      </w:r>
      <w:bookmarkEnd w:id="8"/>
    </w:p>
    <w:bookmarkStart w:id="9" w:name="_Toc132928026"/>
    <w:p>
      <w:pPr>
        <w:pStyle w:val="style2"/>
        <w:rPr/>
      </w:pPr>
      <w:r>
        <w:t>3.1 Analyse how resourcing in an organisation is affected and informed by internal factors that in turn serve to influence the policies, procedures and processes adopted by the organisation- use SWOT</w:t>
      </w:r>
      <w:bookmarkEnd w:id="9"/>
      <w:r>
        <w:t xml:space="preserve"> </w:t>
      </w:r>
    </w:p>
    <w:p>
      <w:pPr>
        <w:pStyle w:val="style0"/>
        <w:rPr/>
      </w:pPr>
      <w:r>
        <w:t xml:space="preserve">Following is the SWOT Analysis for Sainsbury’s UK to understand how the company has been working on its human resource management so that employees remain satisfied.  </w:t>
      </w:r>
    </w:p>
    <w:p>
      <w:pPr>
        <w:pStyle w:val="style0"/>
        <w:rPr/>
      </w:pPr>
      <w:r>
        <w:rPr>
          <w:b/>
          <w:i/>
        </w:rPr>
        <w:t xml:space="preserve">Strength: </w:t>
      </w:r>
      <w:r>
        <w:t>Globalisation has led to an enhanced workforce practice within the organisation through effective diversity. It has deployed the</w:t>
      </w:r>
      <w:r>
        <w:rPr>
          <w:b/>
          <w:i/>
        </w:rPr>
        <w:t xml:space="preserve"> Employment Equity Program</w:t>
      </w:r>
      <w:r>
        <w:t xml:space="preserve">, where candidates of any gender get the </w:t>
      </w:r>
      <w:r>
        <w:rPr>
          <w:b/>
          <w:i/>
        </w:rPr>
        <w:t>equal opportunity</w:t>
      </w:r>
      <w:r>
        <w:t xml:space="preserve"> (Tamzid and Parves, 2017). Sainsbury's also has HR diversity activities that aim to support disabled and women employees through various work facilities. The materiality assessment in 2019 this company showed that has successfully practised a sustainability strategy within the system and the company abides by the investors in people (IIP) standards when it comes to proving training to the employees. The benefit of having a</w:t>
      </w:r>
      <w:r>
        <w:rPr>
          <w:b/>
          <w:i/>
        </w:rPr>
        <w:t xml:space="preserve"> diverse workforce</w:t>
      </w:r>
      <w:r>
        <w:t xml:space="preserve"> is that employees learn to respect each other's differences and work together as a team. This increases both employee and organisational productivity by driving a greater collection of concepts and knowledge from different employees and resolving an issue successfully. </w:t>
      </w:r>
    </w:p>
    <w:p>
      <w:pPr>
        <w:pStyle w:val="style0"/>
        <w:rPr/>
      </w:pPr>
      <w:r>
        <w:rPr>
          <w:b/>
          <w:i/>
        </w:rPr>
        <w:t xml:space="preserve">Weaknesses: </w:t>
      </w:r>
      <w:r>
        <w:t xml:space="preserve">As the company is famous for its equal treatment in the HR policy, the company tried to apply the early conciliation (EC) certificate in terms of claiming equality in wages among the employees working in the warehouse and floor workers. The claim was that the wage rates of floor workers, who are mostly female workers and the wages of warehouses, where, mostly male workers work should be equal (Personnel Today, 2023). However, the court rejected this appeal </w:t>
      </w:r>
      <w:r>
        <w:t xml:space="preserve">for equal pay because they found it unreasonable. However, the company should monitor that such an unreasonable act does not occur because it will hamper the brand's reputation. </w:t>
      </w:r>
    </w:p>
    <w:p>
      <w:pPr>
        <w:pStyle w:val="style0"/>
        <w:rPr/>
      </w:pPr>
      <w:r>
        <w:rPr>
          <w:b/>
          <w:i/>
        </w:rPr>
        <w:t xml:space="preserve">Opportunities: </w:t>
      </w:r>
      <w:r>
        <w:t xml:space="preserve">Sainsbury's has a great scope for agility in human resource management and improving HR policies.  As a result, during Covid-crisis, the HR department emphasises employees’ mental well-being and provided “mental health and well-being support” by establishing Wellbeing Steering Committee. The company also collaborated with Clo Moriarty, the company’s official Operating Board sponsor for Wellbeing to monitor employee well-being (Sainsburys, 2023). </w:t>
      </w:r>
      <w:r>
        <w:t>Thus,</w:t>
      </w:r>
      <w:r>
        <w:t xml:space="preserve"> the company showed a great opportunity to practice a holistic approach to well-being, where all three aspects -Mental, Physical and Financial well-being were taken into consideration.  </w:t>
      </w:r>
    </w:p>
    <w:p>
      <w:pPr>
        <w:pStyle w:val="style0"/>
        <w:rPr/>
      </w:pPr>
      <w:r>
        <w:rPr>
          <w:b/>
          <w:i/>
        </w:rPr>
        <w:t xml:space="preserve">Threats: </w:t>
      </w:r>
      <w:r>
        <w:t>The biggest threat during the pandemic was job cut-offs. Employee layoffs were real and the company decided to cut down “hundreds of management roles” to cope with financial loss due to Lockdown. The leadership teams were reduced by 20%, which the company said was unfortunate but the only way left for them (Reuters, 2020). This proves that the company’s HR policy was not easy for any sudden risks or uncertainties because of which the workforce has to suffer. Hence, this needs to be improved so that the maximum impact on HRM can be controlled.</w:t>
      </w:r>
      <w:r>
        <w:tab/>
      </w:r>
    </w:p>
    <w:bookmarkStart w:id="10" w:name="_Toc132928027"/>
    <w:p>
      <w:pPr>
        <w:pStyle w:val="style2"/>
        <w:rPr/>
      </w:pPr>
      <w:r>
        <w:t>3.2 Analyse how resourcing in an organisation is affected and informed by external factors that in turn serve to influence the policies, procedures and processes - use PESTLE</w:t>
      </w:r>
      <w:bookmarkEnd w:id="10"/>
    </w:p>
    <w:bookmarkStart w:id="11" w:name="_ew2l9je7tdrx" w:colFirst="0" w:colLast="0"/>
    <w:bookmarkEnd w:id="11"/>
    <w:p>
      <w:pPr>
        <w:pStyle w:val="style2"/>
        <w:rPr/>
      </w:pPr>
    </w:p>
    <w:tbl>
      <w:tblPr>
        <w:tblStyle w:val="style409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3405"/>
        <w:gridCol w:w="3645"/>
      </w:tblGrid>
      <w:tr>
        <w:trPr/>
        <w:tc>
          <w:tcPr>
            <w:tcW w:w="2310" w:type="dxa"/>
            <w:tcBorders/>
            <w:shd w:val="clear" w:color="auto" w:fill="auto"/>
            <w:tcMar>
              <w:top w:w="100" w:type="dxa"/>
              <w:left w:w="100" w:type="dxa"/>
              <w:bottom w:w="100" w:type="dxa"/>
              <w:right w:w="100" w:type="dxa"/>
            </w:tcMar>
          </w:tcPr>
          <w:p>
            <w:pPr>
              <w:pStyle w:val="style0"/>
              <w:widowControl w:val="false"/>
              <w:jc w:val="center"/>
              <w:rPr>
                <w:b/>
              </w:rPr>
            </w:pPr>
            <w:r>
              <w:rPr>
                <w:b/>
              </w:rPr>
              <w:t xml:space="preserve">External factors </w:t>
            </w:r>
          </w:p>
        </w:tc>
        <w:tc>
          <w:tcPr>
            <w:tcW w:w="3405" w:type="dxa"/>
            <w:tcBorders/>
            <w:shd w:val="clear" w:color="auto" w:fill="auto"/>
            <w:tcMar>
              <w:top w:w="100" w:type="dxa"/>
              <w:left w:w="100" w:type="dxa"/>
              <w:bottom w:w="100" w:type="dxa"/>
              <w:right w:w="100" w:type="dxa"/>
            </w:tcMar>
          </w:tcPr>
          <w:p>
            <w:pPr>
              <w:pStyle w:val="style0"/>
              <w:widowControl w:val="false"/>
              <w:jc w:val="center"/>
              <w:rPr>
                <w:b/>
              </w:rPr>
            </w:pPr>
            <w:r>
              <w:rPr>
                <w:b/>
              </w:rPr>
              <w:t>UK</w:t>
            </w:r>
          </w:p>
        </w:tc>
        <w:tc>
          <w:tcPr>
            <w:tcW w:w="3645" w:type="dxa"/>
            <w:tcBorders/>
            <w:shd w:val="clear" w:color="auto" w:fill="auto"/>
            <w:tcMar>
              <w:top w:w="100" w:type="dxa"/>
              <w:left w:w="100" w:type="dxa"/>
              <w:bottom w:w="100" w:type="dxa"/>
              <w:right w:w="100" w:type="dxa"/>
            </w:tcMar>
          </w:tcPr>
          <w:p>
            <w:pPr>
              <w:pStyle w:val="style0"/>
              <w:widowControl w:val="false"/>
              <w:jc w:val="center"/>
              <w:rPr>
                <w:b/>
              </w:rPr>
            </w:pPr>
            <w:r>
              <w:rPr>
                <w:b/>
              </w:rPr>
              <w:t>India</w:t>
            </w:r>
          </w:p>
        </w:tc>
      </w:tr>
      <w:tr>
        <w:tblPrEx/>
        <w:trPr/>
        <w:tc>
          <w:tcPr>
            <w:tcW w:w="2310" w:type="dxa"/>
            <w:tcBorders/>
            <w:shd w:val="clear" w:color="auto" w:fill="auto"/>
            <w:tcMar>
              <w:top w:w="100" w:type="dxa"/>
              <w:left w:w="100" w:type="dxa"/>
              <w:bottom w:w="100" w:type="dxa"/>
              <w:right w:w="100" w:type="dxa"/>
            </w:tcMar>
          </w:tcPr>
          <w:p>
            <w:pPr>
              <w:pStyle w:val="style0"/>
              <w:widowControl w:val="false"/>
              <w:jc w:val="left"/>
              <w:rPr>
                <w:b/>
              </w:rPr>
            </w:pPr>
            <w:r>
              <w:rPr>
                <w:b/>
              </w:rPr>
              <w:t xml:space="preserve">Political </w:t>
            </w:r>
          </w:p>
        </w:tc>
        <w:tc>
          <w:tcPr>
            <w:tcW w:w="3405" w:type="dxa"/>
            <w:tcBorders/>
            <w:shd w:val="clear" w:color="auto" w:fill="auto"/>
            <w:tcMar>
              <w:top w:w="100" w:type="dxa"/>
              <w:left w:w="100" w:type="dxa"/>
              <w:bottom w:w="100" w:type="dxa"/>
              <w:right w:w="100" w:type="dxa"/>
            </w:tcMar>
          </w:tcPr>
          <w:p>
            <w:pPr>
              <w:pStyle w:val="style0"/>
              <w:widowControl w:val="false"/>
              <w:rPr/>
            </w:pPr>
            <w:r>
              <w:t xml:space="preserve">The HR policies mostly involved deploying governmental new regulations that a firm must follow, such as those relating to tax laws or employment laws. For example, the UK government set the highest rate income tax is 40%. However, in the updated policy, an additional income tax rate of 45% is set for earnings </w:t>
            </w:r>
            <w:r>
              <w:t xml:space="preserve">over £125,140 a year (BBC, 2023). Therefore, the HR department’s responsibility is to convey these terms and changes to the employees. </w:t>
            </w:r>
          </w:p>
        </w:tc>
        <w:tc>
          <w:tcPr>
            <w:tcW w:w="3645" w:type="dxa"/>
            <w:tcBorders/>
            <w:shd w:val="clear" w:color="auto" w:fill="auto"/>
            <w:tcMar>
              <w:top w:w="100" w:type="dxa"/>
              <w:left w:w="100" w:type="dxa"/>
              <w:bottom w:w="100" w:type="dxa"/>
              <w:right w:w="100" w:type="dxa"/>
            </w:tcMar>
          </w:tcPr>
          <w:p>
            <w:pPr>
              <w:pStyle w:val="style0"/>
              <w:widowControl w:val="false"/>
              <w:rPr/>
            </w:pPr>
            <w:r>
              <w:t xml:space="preserve">In India politics and HRM strategies are interlinked with each other. In order to support employment, the Indian government launched Aatmanirbhar Bharat Rojgar Yojana (ABRY) through an Employees’ Provident Fund Organisation (EPFO) so that the financial burden of the employers can be reduced to some extent (PIB </w:t>
            </w:r>
            <w:r>
              <w:t xml:space="preserve">Gov, 2020) </w:t>
            </w:r>
          </w:p>
        </w:tc>
      </w:tr>
      <w:tr>
        <w:tblPrEx/>
        <w:trPr/>
        <w:tc>
          <w:tcPr>
            <w:tcW w:w="2310" w:type="dxa"/>
            <w:tcBorders/>
            <w:shd w:val="clear" w:color="auto" w:fill="auto"/>
            <w:tcMar>
              <w:top w:w="100" w:type="dxa"/>
              <w:left w:w="100" w:type="dxa"/>
              <w:bottom w:w="100" w:type="dxa"/>
              <w:right w:w="100" w:type="dxa"/>
            </w:tcMar>
          </w:tcPr>
          <w:p>
            <w:pPr>
              <w:pStyle w:val="style0"/>
              <w:widowControl w:val="false"/>
              <w:jc w:val="left"/>
              <w:rPr>
                <w:b/>
              </w:rPr>
            </w:pPr>
            <w:r>
              <w:rPr>
                <w:b/>
              </w:rPr>
              <w:t xml:space="preserve">Economic </w:t>
            </w:r>
          </w:p>
        </w:tc>
        <w:tc>
          <w:tcPr>
            <w:tcW w:w="3405" w:type="dxa"/>
            <w:tcBorders/>
            <w:shd w:val="clear" w:color="auto" w:fill="auto"/>
            <w:tcMar>
              <w:top w:w="100" w:type="dxa"/>
              <w:left w:w="100" w:type="dxa"/>
              <w:bottom w:w="100" w:type="dxa"/>
              <w:right w:w="100" w:type="dxa"/>
            </w:tcMar>
          </w:tcPr>
          <w:p>
            <w:pPr>
              <w:pStyle w:val="style0"/>
              <w:widowControl w:val="false"/>
              <w:rPr/>
            </w:pPr>
            <w:r>
              <w:t>“Recessions, economic booms, and the general rate of inflation” are some of the economic factors that influence organisational to update their HR policies within the strategic management system. For example, during Brexit and Covid-crisis, UK’s labour market showed a labour shortage. Hence, the HR department of the organisation was focused on driving new strategies to attract the best talents.</w:t>
            </w:r>
          </w:p>
        </w:tc>
        <w:tc>
          <w:tcPr>
            <w:tcW w:w="3645" w:type="dxa"/>
            <w:tcBorders/>
            <w:shd w:val="clear" w:color="auto" w:fill="auto"/>
            <w:tcMar>
              <w:top w:w="100" w:type="dxa"/>
              <w:left w:w="100" w:type="dxa"/>
              <w:bottom w:w="100" w:type="dxa"/>
              <w:right w:w="100" w:type="dxa"/>
            </w:tcMar>
          </w:tcPr>
          <w:p>
            <w:pPr>
              <w:pStyle w:val="style0"/>
              <w:widowControl w:val="false"/>
              <w:rPr/>
            </w:pPr>
            <w:r>
              <w:t xml:space="preserve">Indian organisations always keep an eye on the economic condition of the country, because based on it, employee wages and hiring new talents get increased (Sohani, 2015). </w:t>
            </w:r>
          </w:p>
        </w:tc>
      </w:tr>
      <w:tr>
        <w:tblPrEx/>
        <w:trPr/>
        <w:tc>
          <w:tcPr>
            <w:tcW w:w="2310" w:type="dxa"/>
            <w:tcBorders/>
            <w:shd w:val="clear" w:color="auto" w:fill="auto"/>
            <w:tcMar>
              <w:top w:w="100" w:type="dxa"/>
              <w:left w:w="100" w:type="dxa"/>
              <w:bottom w:w="100" w:type="dxa"/>
              <w:right w:w="100" w:type="dxa"/>
            </w:tcMar>
          </w:tcPr>
          <w:p>
            <w:pPr>
              <w:pStyle w:val="style0"/>
              <w:widowControl w:val="false"/>
              <w:jc w:val="left"/>
              <w:rPr>
                <w:b/>
              </w:rPr>
            </w:pPr>
            <w:r>
              <w:rPr>
                <w:b/>
              </w:rPr>
              <w:t xml:space="preserve">Social </w:t>
            </w:r>
          </w:p>
        </w:tc>
        <w:tc>
          <w:tcPr>
            <w:tcW w:w="3405" w:type="dxa"/>
            <w:tcBorders/>
            <w:shd w:val="clear" w:color="auto" w:fill="auto"/>
            <w:tcMar>
              <w:top w:w="100" w:type="dxa"/>
              <w:left w:w="100" w:type="dxa"/>
              <w:bottom w:w="100" w:type="dxa"/>
              <w:right w:w="100" w:type="dxa"/>
            </w:tcMar>
          </w:tcPr>
          <w:p>
            <w:pPr>
              <w:pStyle w:val="style0"/>
              <w:widowControl w:val="false"/>
              <w:rPr/>
            </w:pPr>
            <w:r>
              <w:t xml:space="preserve">Social factors like, “work ethic, attitude towards work, and employee motivation” certainly have a direct impact on HR policies. During the Lockdown, as the employees were suffering from mental health issues, most of the organisations updated their HR policy and emphasised employee well-being. </w:t>
            </w:r>
          </w:p>
        </w:tc>
        <w:tc>
          <w:tcPr>
            <w:tcW w:w="3645" w:type="dxa"/>
            <w:tcBorders/>
            <w:shd w:val="clear" w:color="auto" w:fill="auto"/>
            <w:tcMar>
              <w:top w:w="100" w:type="dxa"/>
              <w:left w:w="100" w:type="dxa"/>
              <w:bottom w:w="100" w:type="dxa"/>
              <w:right w:w="100" w:type="dxa"/>
            </w:tcMar>
          </w:tcPr>
          <w:p>
            <w:pPr>
              <w:pStyle w:val="style0"/>
              <w:widowControl w:val="false"/>
              <w:rPr/>
            </w:pPr>
            <w:r>
              <w:t xml:space="preserve">A similar approach is found in the Indian economy also. As India is a diverse cultural place, hence, the companies promote diverse work cultures through effective HR policies and deploying The Equal Remuneration Act, of 1976 to promote equality (India Briefing, 2019).   </w:t>
            </w:r>
          </w:p>
        </w:tc>
      </w:tr>
      <w:tr>
        <w:tblPrEx/>
        <w:trPr/>
        <w:tc>
          <w:tcPr>
            <w:tcW w:w="2310" w:type="dxa"/>
            <w:tcBorders/>
            <w:shd w:val="clear" w:color="auto" w:fill="auto"/>
            <w:tcMar>
              <w:top w:w="100" w:type="dxa"/>
              <w:left w:w="100" w:type="dxa"/>
              <w:bottom w:w="100" w:type="dxa"/>
              <w:right w:w="100" w:type="dxa"/>
            </w:tcMar>
          </w:tcPr>
          <w:p>
            <w:pPr>
              <w:pStyle w:val="style0"/>
              <w:widowControl w:val="false"/>
              <w:jc w:val="left"/>
              <w:rPr>
                <w:b/>
              </w:rPr>
            </w:pPr>
            <w:r>
              <w:rPr>
                <w:b/>
              </w:rPr>
              <w:t xml:space="preserve">Technological </w:t>
            </w:r>
          </w:p>
        </w:tc>
        <w:tc>
          <w:tcPr>
            <w:tcW w:w="3405" w:type="dxa"/>
            <w:tcBorders/>
            <w:shd w:val="clear" w:color="auto" w:fill="auto"/>
            <w:tcMar>
              <w:top w:w="100" w:type="dxa"/>
              <w:left w:w="100" w:type="dxa"/>
              <w:bottom w:w="100" w:type="dxa"/>
              <w:right w:w="100" w:type="dxa"/>
            </w:tcMar>
          </w:tcPr>
          <w:p>
            <w:pPr>
              <w:pStyle w:val="style0"/>
              <w:widowControl w:val="false"/>
              <w:rPr/>
            </w:pPr>
            <w:r>
              <w:t xml:space="preserve">HR departments now use </w:t>
            </w:r>
            <w:r>
              <w:t xml:space="preserve">technology to communicate with employees, maintain personnel records, and evaluate employee performance. In order to equip employees with updated technical knowledge, HR strategies in the UK include on-job training to enhance their technical skills.  </w:t>
            </w:r>
          </w:p>
        </w:tc>
        <w:tc>
          <w:tcPr>
            <w:tcW w:w="3645" w:type="dxa"/>
            <w:tcBorders/>
            <w:shd w:val="clear" w:color="auto" w:fill="auto"/>
            <w:tcMar>
              <w:top w:w="100" w:type="dxa"/>
              <w:left w:w="100" w:type="dxa"/>
              <w:bottom w:w="100" w:type="dxa"/>
              <w:right w:w="100" w:type="dxa"/>
            </w:tcMar>
          </w:tcPr>
          <w:p>
            <w:pPr>
              <w:pStyle w:val="style0"/>
              <w:widowControl w:val="false"/>
              <w:rPr/>
            </w:pPr>
            <w:r>
              <w:t xml:space="preserve">In India also, using advanced </w:t>
            </w:r>
            <w:r>
              <w:t>technology has made the work of HR practices easier and more efficient. The involvement of technology in the human resource</w:t>
            </w:r>
          </w:p>
          <w:p>
            <w:pPr>
              <w:pStyle w:val="style0"/>
              <w:widowControl w:val="false"/>
              <w:rPr/>
            </w:pPr>
            <w:r>
              <w:t xml:space="preserve">management (HRM) strategy makes employee-employer communication easier (OAJI, 2015). Also, collecting employee data to improve HR practice has largely been supported by technical intervention.  </w:t>
            </w:r>
          </w:p>
          <w:p>
            <w:pPr>
              <w:pStyle w:val="style0"/>
              <w:widowControl w:val="false"/>
              <w:rPr/>
            </w:pPr>
          </w:p>
        </w:tc>
      </w:tr>
      <w:tr>
        <w:tblPrEx/>
        <w:trPr/>
        <w:tc>
          <w:tcPr>
            <w:tcW w:w="2310" w:type="dxa"/>
            <w:tcBorders/>
            <w:shd w:val="clear" w:color="auto" w:fill="auto"/>
            <w:tcMar>
              <w:top w:w="100" w:type="dxa"/>
              <w:left w:w="100" w:type="dxa"/>
              <w:bottom w:w="100" w:type="dxa"/>
              <w:right w:w="100" w:type="dxa"/>
            </w:tcMar>
          </w:tcPr>
          <w:p>
            <w:pPr>
              <w:pStyle w:val="style0"/>
              <w:widowControl w:val="false"/>
              <w:jc w:val="left"/>
              <w:rPr>
                <w:b/>
              </w:rPr>
            </w:pPr>
            <w:r>
              <w:rPr>
                <w:b/>
              </w:rPr>
              <w:t xml:space="preserve">Legal </w:t>
            </w:r>
          </w:p>
        </w:tc>
        <w:tc>
          <w:tcPr>
            <w:tcW w:w="3405" w:type="dxa"/>
            <w:tcBorders/>
            <w:shd w:val="clear" w:color="auto" w:fill="auto"/>
            <w:tcMar>
              <w:top w:w="100" w:type="dxa"/>
              <w:left w:w="100" w:type="dxa"/>
              <w:bottom w:w="100" w:type="dxa"/>
              <w:right w:w="100" w:type="dxa"/>
            </w:tcMar>
          </w:tcPr>
          <w:p>
            <w:pPr>
              <w:pStyle w:val="style0"/>
              <w:widowControl w:val="false"/>
              <w:rPr/>
            </w:pPr>
            <w:r>
              <w:t xml:space="preserve">UK organisations follow certain basic HR policies to abide by the Employment Act 20165 which are - </w:t>
            </w:r>
            <w:r>
              <w:t>“Health</w:t>
            </w:r>
            <w:r>
              <w:t xml:space="preserve"> &amp; safety policy (if you have more than five employees). Disciplinary and dismissal policies. Grievance policy”. </w:t>
            </w:r>
          </w:p>
        </w:tc>
        <w:tc>
          <w:tcPr>
            <w:tcW w:w="3645" w:type="dxa"/>
            <w:tcBorders/>
            <w:shd w:val="clear" w:color="auto" w:fill="auto"/>
            <w:tcMar>
              <w:top w:w="100" w:type="dxa"/>
              <w:left w:w="100" w:type="dxa"/>
              <w:bottom w:w="100" w:type="dxa"/>
              <w:right w:w="100" w:type="dxa"/>
            </w:tcMar>
          </w:tcPr>
          <w:p>
            <w:pPr>
              <w:pStyle w:val="style0"/>
              <w:widowControl w:val="false"/>
              <w:rPr/>
            </w:pPr>
            <w:r>
              <w:t xml:space="preserve">In order to make the HR practice fair and transparent, Indian organisations abide by the following regulations- “The Companies Act, and the Contract Act, 1872, Minimum Wages Act, </w:t>
            </w:r>
            <w:r>
              <w:t>1948, The</w:t>
            </w:r>
            <w:r>
              <w:t xml:space="preserve"> Equal Remuneration Act, 1976, Bonded </w:t>
            </w:r>
            <w:r>
              <w:t>Labour</w:t>
            </w:r>
            <w:r>
              <w:t xml:space="preserve"> System (Abolition) Act, 1976, The Maternity Benefits (Amendment) Act, 2017, Sexual Harassment of Women at Workplace (Prevention, Prohibition, and Redressal) Act, 2013, The Payment of Gratuity Act, 1972 and others” (India Briefing, 2019). </w:t>
            </w:r>
          </w:p>
        </w:tc>
      </w:tr>
      <w:tr>
        <w:tblPrEx/>
        <w:trPr/>
        <w:tc>
          <w:tcPr>
            <w:tcW w:w="2310" w:type="dxa"/>
            <w:tcBorders/>
            <w:shd w:val="clear" w:color="auto" w:fill="auto"/>
            <w:tcMar>
              <w:top w:w="100" w:type="dxa"/>
              <w:left w:w="100" w:type="dxa"/>
              <w:bottom w:w="100" w:type="dxa"/>
              <w:right w:w="100" w:type="dxa"/>
            </w:tcMar>
          </w:tcPr>
          <w:p>
            <w:pPr>
              <w:pStyle w:val="style0"/>
              <w:widowControl w:val="false"/>
              <w:jc w:val="left"/>
              <w:rPr>
                <w:b/>
              </w:rPr>
            </w:pPr>
            <w:r>
              <w:rPr>
                <w:b/>
              </w:rPr>
              <w:t xml:space="preserve">Environmental </w:t>
            </w:r>
          </w:p>
        </w:tc>
        <w:tc>
          <w:tcPr>
            <w:tcW w:w="3405" w:type="dxa"/>
            <w:tcBorders/>
            <w:shd w:val="clear" w:color="auto" w:fill="auto"/>
            <w:tcMar>
              <w:top w:w="100" w:type="dxa"/>
              <w:left w:w="100" w:type="dxa"/>
              <w:bottom w:w="100" w:type="dxa"/>
              <w:right w:w="100" w:type="dxa"/>
            </w:tcMar>
          </w:tcPr>
          <w:p>
            <w:pPr>
              <w:pStyle w:val="style0"/>
              <w:widowControl w:val="false"/>
              <w:rPr/>
            </w:pPr>
            <w:r>
              <w:t xml:space="preserve">UK organisations must follow the </w:t>
            </w:r>
            <w:r>
              <w:t xml:space="preserve">Environment Act 2021 and take the </w:t>
            </w:r>
            <w:r>
              <w:t>pledge for</w:t>
            </w:r>
            <w:r>
              <w:t xml:space="preserve"> “net zero carbon emissions by 2050”. </w:t>
            </w:r>
          </w:p>
        </w:tc>
        <w:tc>
          <w:tcPr>
            <w:tcW w:w="3645" w:type="dxa"/>
            <w:tcBorders/>
            <w:shd w:val="clear" w:color="auto" w:fill="auto"/>
            <w:tcMar>
              <w:top w:w="100" w:type="dxa"/>
              <w:left w:w="100" w:type="dxa"/>
              <w:bottom w:w="100" w:type="dxa"/>
              <w:right w:w="100" w:type="dxa"/>
            </w:tcMar>
          </w:tcPr>
          <w:p>
            <w:pPr>
              <w:pStyle w:val="style0"/>
              <w:widowControl w:val="false"/>
              <w:rPr/>
            </w:pPr>
            <w:r>
              <w:t xml:space="preserve">Some laws which Indian </w:t>
            </w:r>
            <w:r>
              <w:t xml:space="preserve">organisation should follow are - “Water (Prevention </w:t>
            </w:r>
            <w:r>
              <w:t>And</w:t>
            </w:r>
            <w:r>
              <w:t xml:space="preserve"> Control Of Pollution) Act, 1974. Water (Prevention </w:t>
            </w:r>
            <w:r>
              <w:t>And</w:t>
            </w:r>
            <w:r>
              <w:t xml:space="preserve"> Control Of Pollution) Cess Act, 1974. Air (Prevention </w:t>
            </w:r>
            <w:r>
              <w:t>And</w:t>
            </w:r>
            <w:r>
              <w:t xml:space="preserve"> Control Of Pollution) Act, 1977”</w:t>
            </w:r>
          </w:p>
        </w:tc>
      </w:tr>
    </w:tbl>
    <w:p>
      <w:pPr>
        <w:pStyle w:val="style0"/>
        <w:jc w:val="center"/>
        <w:rPr>
          <w:b/>
        </w:rPr>
      </w:pPr>
      <w:r>
        <w:rPr>
          <w:b/>
        </w:rPr>
        <w:t>Table 1: PESTLE Analysis</w:t>
      </w:r>
    </w:p>
    <w:p>
      <w:pPr>
        <w:pStyle w:val="style0"/>
        <w:jc w:val="center"/>
        <w:rPr/>
      </w:pPr>
      <w:r>
        <w:t>(Source: Self-created)</w:t>
      </w:r>
    </w:p>
    <w:bookmarkStart w:id="12" w:name="_Toc132928028"/>
    <w:p>
      <w:pPr>
        <w:pStyle w:val="style2"/>
        <w:rPr/>
      </w:pPr>
      <w:r>
        <w:t>3.2 Theory of Internal Labour Market</w:t>
      </w:r>
      <w:bookmarkEnd w:id="12"/>
      <w:r>
        <w:t xml:space="preserve"> </w:t>
      </w:r>
    </w:p>
    <w:p>
      <w:pPr>
        <w:pStyle w:val="style0"/>
        <w:rPr/>
      </w:pPr>
      <w:r>
        <w:t xml:space="preserve">Having followed the marginal productivity theory in labour market economics, the internal labour market makes sure that within an organisation, the administrative unit successfully allocates manpower and keep a balanced pricing strategy by deploying a set of governing rules (Joll </w:t>
      </w:r>
      <w:r>
        <w:rPr>
          <w:i/>
        </w:rPr>
        <w:t xml:space="preserve">et al. </w:t>
      </w:r>
      <w:r>
        <w:t xml:space="preserve">2018). There are three factors that mostly control the flow of internal labour markets. These are “the hiring process, the promotion process and the pattern of wage setting”. Thus, this theory helps HR managers to successfully explain the expectation of wages within a designation based on their job role and responsibilities and skills. Thus, using this theory, HR managers can understand the strengths and weaknesses of the existing employees and update the HR policies accordingly to sustain them. </w:t>
      </w:r>
    </w:p>
    <w:bookmarkStart w:id="13" w:name="_Toc132928029"/>
    <w:p>
      <w:pPr>
        <w:pStyle w:val="style1"/>
        <w:rPr/>
      </w:pPr>
      <w:r>
        <w:t>4.0 Conclusion</w:t>
      </w:r>
      <w:bookmarkEnd w:id="13"/>
      <w:r>
        <w:t xml:space="preserve"> </w:t>
      </w:r>
    </w:p>
    <w:p>
      <w:pPr>
        <w:pStyle w:val="style0"/>
        <w:rPr/>
      </w:pPr>
      <w:r>
        <w:t xml:space="preserve">In light of the current discussion, it can be concluded that Human resource management is a tough task because keeping the employees satisfied is </w:t>
      </w:r>
      <w:r>
        <w:t>a  big</w:t>
      </w:r>
      <w:r>
        <w:t xml:space="preserve"> deal along with abiding by the employment laws. Therefore, HR managers need to be aware of all the internal and external factors influencing HR policies and modify existing HR strategies frequently so that no illegal or gap issue occurs. As the main objective is to keep employees satisfied, hence, the organisation never </w:t>
      </w:r>
      <w:r>
        <w:t>gives</w:t>
      </w:r>
      <w:r>
        <w:t xml:space="preserve"> a second thought to improving HR policies and strategies in a regular manner. </w:t>
      </w:r>
    </w:p>
    <w:bookmarkStart w:id="14" w:name="_Toc132928030"/>
    <w:p>
      <w:pPr>
        <w:pStyle w:val="style0"/>
        <w:rPr>
          <w:b/>
          <w:sz w:val="28"/>
          <w:szCs w:val="28"/>
        </w:rPr>
      </w:pPr>
      <w:r>
        <w:br w:type="page"/>
      </w:r>
    </w:p>
    <w:p>
      <w:pPr>
        <w:pStyle w:val="style1"/>
        <w:rPr/>
      </w:pPr>
      <w:r>
        <w:t>References</w:t>
      </w:r>
      <w:bookmarkEnd w:id="14"/>
      <w:r>
        <w:t xml:space="preserve"> </w:t>
      </w:r>
    </w:p>
    <w:p>
      <w:pPr>
        <w:pStyle w:val="style0"/>
        <w:spacing w:before="240" w:after="240"/>
        <w:rPr/>
      </w:pPr>
      <w:r>
        <w:t xml:space="preserve">BBC, 2023. </w:t>
      </w:r>
      <w:r>
        <w:rPr>
          <w:i/>
        </w:rPr>
        <w:t>Income tax: How will thresholds change and what will I pay?</w:t>
      </w:r>
      <w:r>
        <w:t xml:space="preserve"> [Online] Available at:</w:t>
      </w:r>
      <w:r>
        <w:rPr/>
        <w:fldChar w:fldCharType="begin"/>
      </w:r>
      <w:r>
        <w:instrText xml:space="preserve"> HYPERLINK "https://www.bbc.com/news/explainers-63635185" </w:instrText>
      </w:r>
      <w:r>
        <w:rPr/>
        <w:fldChar w:fldCharType="separate"/>
      </w:r>
      <w:r>
        <w:t xml:space="preserve"> </w:t>
      </w:r>
      <w:r>
        <w:rPr/>
        <w:fldChar w:fldCharType="end"/>
      </w:r>
      <w:r>
        <w:rPr/>
        <w:fldChar w:fldCharType="begin"/>
      </w:r>
      <w:r>
        <w:instrText xml:space="preserve"> HYPERLINK "https://www.bbc.com/news/explainers-63635185" </w:instrText>
      </w:r>
      <w:r>
        <w:rPr/>
        <w:fldChar w:fldCharType="separate"/>
      </w:r>
      <w:r>
        <w:rPr>
          <w:color w:val="1155cc"/>
          <w:u w:val="single"/>
        </w:rPr>
        <w:t>https://www.bbc.com/news/explainers-63635185</w:t>
      </w:r>
      <w:r>
        <w:rPr/>
        <w:fldChar w:fldCharType="end"/>
      </w:r>
      <w:r>
        <w:t xml:space="preserve"> (Accessed on 20 January 2023)</w:t>
      </w:r>
    </w:p>
    <w:p>
      <w:pPr>
        <w:pStyle w:val="style0"/>
        <w:spacing w:before="240" w:after="240"/>
        <w:rPr/>
      </w:pPr>
      <w:r>
        <w:t xml:space="preserve">CIPD, 2022. </w:t>
      </w:r>
      <w:r>
        <w:rPr>
          <w:i/>
        </w:rPr>
        <w:t>Labor Market Outlook- Views from Employers</w:t>
      </w:r>
      <w:r>
        <w:t xml:space="preserve"> [Online] Available at:</w:t>
      </w:r>
      <w:r>
        <w:rPr/>
        <w:fldChar w:fldCharType="begin"/>
      </w:r>
      <w:r>
        <w:instrText xml:space="preserve"> HYPERLINK "https://www.cipd.co.uk/Images/labour-market-outlook-winter-2022-23_tcm18-113997.pdf" </w:instrText>
      </w:r>
      <w:r>
        <w:rPr/>
        <w:fldChar w:fldCharType="separate"/>
      </w:r>
      <w:r>
        <w:t xml:space="preserve"> </w:t>
      </w:r>
      <w:r>
        <w:rPr/>
        <w:fldChar w:fldCharType="end"/>
      </w:r>
      <w:r>
        <w:rPr/>
        <w:fldChar w:fldCharType="begin"/>
      </w:r>
      <w:r>
        <w:instrText xml:space="preserve"> HYPERLINK "https://www.cipd.co.uk/Images/labour-market-outlook-winter-2022-23_tcm18-113997.pdf" </w:instrText>
      </w:r>
      <w:r>
        <w:rPr/>
        <w:fldChar w:fldCharType="separate"/>
      </w:r>
      <w:r>
        <w:rPr>
          <w:color w:val="1155cc"/>
          <w:u w:val="single"/>
        </w:rPr>
        <w:t>https://www.cipd.co.uk/Images/labour-market-outlook-winter-2022-23_tcm18-113997.pdf</w:t>
      </w:r>
      <w:r>
        <w:rPr/>
        <w:fldChar w:fldCharType="end"/>
      </w:r>
      <w:r>
        <w:t xml:space="preserve"> (Accessed on 20 January 2023)</w:t>
      </w:r>
    </w:p>
    <w:p>
      <w:pPr>
        <w:pStyle w:val="style0"/>
        <w:spacing w:before="240" w:after="240"/>
        <w:rPr/>
      </w:pPr>
      <w:r>
        <w:t xml:space="preserve">Deloitte, 2022. </w:t>
      </w:r>
      <w:r>
        <w:rPr>
          <w:i/>
        </w:rPr>
        <w:t>The elephant in the room: Creating jobs and skills of the future</w:t>
      </w:r>
      <w:r>
        <w:t xml:space="preserve"> [Online] Available at:</w:t>
      </w:r>
      <w:r>
        <w:rPr/>
        <w:fldChar w:fldCharType="begin"/>
      </w:r>
      <w:r>
        <w:instrText xml:space="preserve"> HYPERLINK "https://www2.deloitte.com/in/en/pages/about-deloitte/articles/an-analysis-of-Indias-labour-market.html" </w:instrText>
      </w:r>
      <w:r>
        <w:rPr/>
        <w:fldChar w:fldCharType="separate"/>
      </w:r>
      <w:r>
        <w:t xml:space="preserve"> </w:t>
      </w:r>
      <w:r>
        <w:rPr/>
        <w:fldChar w:fldCharType="end"/>
      </w:r>
      <w:r>
        <w:rPr/>
        <w:fldChar w:fldCharType="begin"/>
      </w:r>
      <w:r>
        <w:instrText xml:space="preserve"> HYPERLINK "https://www2.deloitte.com/in/en/pages/about-deloitte/articles/an-analysis-of-Indias-labour-market.html" </w:instrText>
      </w:r>
      <w:r>
        <w:rPr/>
        <w:fldChar w:fldCharType="separate"/>
      </w:r>
      <w:r>
        <w:rPr>
          <w:color w:val="1155cc"/>
          <w:u w:val="single"/>
        </w:rPr>
        <w:t>https://www2.deloitte.com/in/en/pages/about-deloitte/articles/an-analysis-of-Indias-labour-market.html</w:t>
      </w:r>
      <w:r>
        <w:rPr/>
        <w:fldChar w:fldCharType="end"/>
      </w:r>
      <w:r>
        <w:t xml:space="preserve"> (Accessed on 20 January 2023)</w:t>
      </w:r>
    </w:p>
    <w:p>
      <w:pPr>
        <w:pStyle w:val="style0"/>
        <w:spacing w:before="240" w:after="240"/>
        <w:rPr/>
      </w:pPr>
      <w:r>
        <w:t xml:space="preserve">IGD, 2023. </w:t>
      </w:r>
      <w:r>
        <w:rPr>
          <w:i/>
        </w:rPr>
        <w:t>UK labour market remains historically tight</w:t>
      </w:r>
      <w:r>
        <w:t xml:space="preserve"> [Online] Available at: https://www.igd.com/articles/article-viewer/t/uk-labour-market-remains-historically-tight/i/30454#:~:text=There%20are%20only%2075%2C000%20fewer,rather%20than%20cutting%20excess%20labour. (Accessed on 20 January 2023)</w:t>
      </w:r>
    </w:p>
    <w:p>
      <w:pPr>
        <w:pStyle w:val="style0"/>
        <w:spacing w:before="240" w:after="240"/>
        <w:rPr/>
      </w:pPr>
      <w:r>
        <w:t>ILO, 2017.</w:t>
      </w:r>
      <w:r>
        <w:rPr>
          <w:i/>
        </w:rPr>
        <w:t xml:space="preserve"> India Labour Market Update</w:t>
      </w:r>
      <w:r>
        <w:t xml:space="preserve"> [Online] Available at:</w:t>
      </w:r>
      <w:r>
        <w:rPr/>
        <w:fldChar w:fldCharType="begin"/>
      </w:r>
      <w:r>
        <w:instrText xml:space="preserve"> HYPERLINK "https://www.ilo.org/wcmsp5/groups/public/---asia/---ro-bangkok/---sro-new_delhi/documents/publication/wcms_568701.pdf" </w:instrText>
      </w:r>
      <w:r>
        <w:rPr/>
        <w:fldChar w:fldCharType="separate"/>
      </w:r>
      <w:r>
        <w:t xml:space="preserve"> </w:t>
      </w:r>
      <w:r>
        <w:rPr/>
        <w:fldChar w:fldCharType="end"/>
      </w:r>
      <w:r>
        <w:rPr/>
        <w:fldChar w:fldCharType="begin"/>
      </w:r>
      <w:r>
        <w:instrText xml:space="preserve"> HYPERLINK "https://www.ilo.org/wcmsp5/groups/public/---asia/---ro-bangkok/---sro-new_delhi/documents/publication/wcms_568701.pdf" </w:instrText>
      </w:r>
      <w:r>
        <w:rPr/>
        <w:fldChar w:fldCharType="separate"/>
      </w:r>
      <w:r>
        <w:rPr>
          <w:color w:val="1155cc"/>
          <w:u w:val="single"/>
        </w:rPr>
        <w:t>https://www.ilo.org/wcmsp5/groups/public/---asia/---ro-bangkok/---sro-new_delhi/documents/publication/wcms_568701.pdf</w:t>
      </w:r>
      <w:r>
        <w:rPr/>
        <w:fldChar w:fldCharType="end"/>
      </w:r>
      <w:r>
        <w:t xml:space="preserve"> (Accessed on 20 January 2023)</w:t>
      </w:r>
    </w:p>
    <w:p>
      <w:pPr>
        <w:pStyle w:val="style0"/>
        <w:spacing w:before="240" w:after="240"/>
        <w:rPr/>
      </w:pPr>
      <w:r>
        <w:t xml:space="preserve">India Briefing, 2019. </w:t>
      </w:r>
      <w:r>
        <w:rPr>
          <w:i/>
        </w:rPr>
        <w:t>HR Policies in India: 10 Best Practices for Employers</w:t>
      </w:r>
      <w:r>
        <w:t xml:space="preserve"> [Online] Available at:</w:t>
      </w:r>
      <w:r>
        <w:rPr/>
        <w:fldChar w:fldCharType="begin"/>
      </w:r>
      <w:r>
        <w:instrText xml:space="preserve"> HYPERLINK "https://www.india-briefing.com/news/hr-policies-in-india-10-best-practices-for-employers-16977.html/" </w:instrText>
      </w:r>
      <w:r>
        <w:rPr/>
        <w:fldChar w:fldCharType="separate"/>
      </w:r>
      <w:r>
        <w:t xml:space="preserve"> </w:t>
      </w:r>
      <w:r>
        <w:rPr/>
        <w:fldChar w:fldCharType="end"/>
      </w:r>
      <w:r>
        <w:rPr/>
        <w:fldChar w:fldCharType="begin"/>
      </w:r>
      <w:r>
        <w:instrText xml:space="preserve"> HYPERLINK "https://www.india-briefing.com/news/hr-policies-in-india-10-best-practices-for-employers-16977.html/" </w:instrText>
      </w:r>
      <w:r>
        <w:rPr/>
        <w:fldChar w:fldCharType="separate"/>
      </w:r>
      <w:r>
        <w:rPr>
          <w:color w:val="1155cc"/>
          <w:u w:val="single"/>
        </w:rPr>
        <w:t>https://www.india-briefing.com/news/hr-policies-in-india-10-best-practices-for-employers-16977.html/</w:t>
      </w:r>
      <w:r>
        <w:rPr/>
        <w:fldChar w:fldCharType="end"/>
      </w:r>
      <w:r>
        <w:t xml:space="preserve"> (Accessed on 20 January 2023)</w:t>
      </w:r>
    </w:p>
    <w:p>
      <w:pPr>
        <w:pStyle w:val="style0"/>
        <w:spacing w:before="240" w:after="240"/>
        <w:rPr/>
      </w:pPr>
      <w:r>
        <w:t xml:space="preserve">Joll, C., McKenna, C., McNabb, R. and Shorey, J., 2018. </w:t>
      </w:r>
      <w:r>
        <w:rPr>
          <w:i/>
        </w:rPr>
        <w:t>Developments in labour market analysis</w:t>
      </w:r>
      <w:r>
        <w:t>. Routledge.</w:t>
      </w:r>
    </w:p>
    <w:p>
      <w:pPr>
        <w:pStyle w:val="style0"/>
        <w:spacing w:before="240" w:after="240"/>
        <w:rPr>
          <w:i/>
        </w:rPr>
      </w:pPr>
      <w:r>
        <w:t>Kone, Z., Ruiz, I. and Vargas-Silva, C., 2019.</w:t>
      </w:r>
      <w:r>
        <w:rPr>
          <w:i/>
        </w:rPr>
        <w:t xml:space="preserve"> Refugees and the UK labour market. Compas Report.</w:t>
      </w:r>
    </w:p>
    <w:p>
      <w:pPr>
        <w:pStyle w:val="style0"/>
        <w:spacing w:before="240" w:after="240"/>
        <w:rPr/>
      </w:pPr>
      <w:r>
        <w:rPr>
          <w:highlight w:val="white"/>
        </w:rPr>
        <w:t xml:space="preserve">Lai, Y., Saridakis, G. and Johnstone, S., 2017. Human resource practices, employee attitudes and small firm performance. </w:t>
      </w:r>
      <w:r>
        <w:rPr>
          <w:i/>
        </w:rPr>
        <w:t>International Small Business Journal</w:t>
      </w:r>
      <w:r>
        <w:t xml:space="preserve">, </w:t>
      </w:r>
      <w:r>
        <w:rPr>
          <w:i/>
        </w:rPr>
        <w:t>35</w:t>
      </w:r>
      <w:r>
        <w:t>(4), pp.470-494.</w:t>
      </w:r>
    </w:p>
    <w:p>
      <w:pPr>
        <w:pStyle w:val="style0"/>
        <w:spacing w:before="240" w:after="240"/>
        <w:rPr/>
      </w:pPr>
      <w:r>
        <w:t xml:space="preserve">OAJI, 2015. </w:t>
      </w:r>
      <w:r>
        <w:rPr>
          <w:i/>
        </w:rPr>
        <w:t>Impact of Technology on Working of HRM in India</w:t>
      </w:r>
      <w:r>
        <w:t xml:space="preserve"> [Online] Available at:</w:t>
      </w:r>
      <w:r>
        <w:rPr/>
        <w:fldChar w:fldCharType="begin"/>
      </w:r>
      <w:r>
        <w:instrText xml:space="preserve"> HYPERLINK "https://oaji.net/articles/2015/1250-1430899236.pdf" </w:instrText>
      </w:r>
      <w:r>
        <w:rPr/>
        <w:fldChar w:fldCharType="separate"/>
      </w:r>
      <w:r>
        <w:t xml:space="preserve"> </w:t>
      </w:r>
      <w:r>
        <w:rPr/>
        <w:fldChar w:fldCharType="end"/>
      </w:r>
      <w:r>
        <w:rPr/>
        <w:fldChar w:fldCharType="begin"/>
      </w:r>
      <w:r>
        <w:instrText xml:space="preserve"> HYPERLINK "https://oaji.net/articles/2015/1250-1430899236.pdf" </w:instrText>
      </w:r>
      <w:r>
        <w:rPr/>
        <w:fldChar w:fldCharType="separate"/>
      </w:r>
      <w:r>
        <w:rPr>
          <w:color w:val="1155cc"/>
          <w:u w:val="single"/>
        </w:rPr>
        <w:t>https://oaji.net/articles/2015/1250-1430899236.pdf</w:t>
      </w:r>
      <w:r>
        <w:rPr/>
        <w:fldChar w:fldCharType="end"/>
      </w:r>
      <w:r>
        <w:t xml:space="preserve"> (Accessed on 20 January 2023)</w:t>
      </w:r>
    </w:p>
    <w:p>
      <w:pPr>
        <w:pStyle w:val="style0"/>
        <w:spacing w:before="240" w:after="240"/>
        <w:rPr/>
      </w:pPr>
      <w:r>
        <w:t xml:space="preserve">Oseghale, R., Ochie, C., Dang, M., Nyuur, R. and Debrah, Y., 2022. Human Resource Management Reconfiguration Post-COVID Crisis. In </w:t>
      </w:r>
      <w:r>
        <w:rPr>
          <w:i/>
        </w:rPr>
        <w:t>Organizational Management in Post Pandemic Crisis</w:t>
      </w:r>
      <w:r>
        <w:t xml:space="preserve"> (pp. 139-159). Cham: Springer International Publishing.</w:t>
      </w:r>
    </w:p>
    <w:p>
      <w:pPr>
        <w:pStyle w:val="style0"/>
        <w:spacing w:before="240" w:after="240"/>
        <w:rPr/>
      </w:pPr>
      <w:r>
        <w:t xml:space="preserve">Pay Data, 2022. </w:t>
      </w:r>
      <w:r>
        <w:rPr>
          <w:i/>
        </w:rPr>
        <w:t>Brexit’s impact on HR</w:t>
      </w:r>
      <w:r>
        <w:rPr>
          <w:b/>
        </w:rPr>
        <w:t xml:space="preserve"> </w:t>
      </w:r>
      <w:r>
        <w:t>[Online] Available at:</w:t>
      </w:r>
      <w:r>
        <w:rPr/>
        <w:fldChar w:fldCharType="begin"/>
      </w:r>
      <w:r>
        <w:instrText xml:space="preserve"> HYPERLINK "https://www.paydata.co.uk/hr-hub/blogs/research-insights-and-publications/brexits-impact-on-hr/" \l ":~:text=Labour%20and%20skills%20shortage&amp;text=There%20is%20a%20high%20contingent,the%20UK%20from%20January%202021" </w:instrText>
      </w:r>
      <w:r>
        <w:rPr/>
        <w:fldChar w:fldCharType="separate"/>
      </w:r>
      <w:r>
        <w:t xml:space="preserve"> </w:t>
      </w:r>
      <w:r>
        <w:rPr/>
        <w:fldChar w:fldCharType="end"/>
      </w:r>
      <w:r>
        <w:rPr/>
        <w:fldChar w:fldCharType="begin"/>
      </w:r>
      <w:r>
        <w:instrText xml:space="preserve"> HYPERLINK "https://www.paydata.co.uk/hr-hub/blogs/research-insights-and-publications/brexits-impact-on-hr/" \l ":~:text=Labour%20and%20skills%20shortage&amp;text=There%20is%20a%20high%20contingent,the%20UK%20from%20January%202021" </w:instrText>
      </w:r>
      <w:r>
        <w:rPr/>
        <w:fldChar w:fldCharType="separate"/>
      </w:r>
      <w:r>
        <w:rPr>
          <w:color w:val="1155cc"/>
          <w:u w:val="single"/>
        </w:rPr>
        <w:t>https://www.paydata.co.uk/hr-hub/blogs/research-insights-and-publications/brexits-impact-on-hr/#:~:text=Labour%20and%20skills%20shortage&amp;text=There%20is%20a%20high%20contingent,the%20UK%20from%20January%202021</w:t>
      </w:r>
      <w:r>
        <w:rPr/>
        <w:fldChar w:fldCharType="end"/>
      </w:r>
      <w:r>
        <w:t>. (Accessed on 20 January 2023)</w:t>
      </w:r>
    </w:p>
    <w:p>
      <w:pPr>
        <w:pStyle w:val="style0"/>
        <w:spacing w:before="240" w:after="240"/>
        <w:rPr/>
      </w:pPr>
      <w:r>
        <w:t xml:space="preserve">Personnel Today, 2023. </w:t>
      </w:r>
      <w:r>
        <w:rPr>
          <w:i/>
        </w:rPr>
        <w:t>Sainsbury’s loses bid to throw out equal pay claim</w:t>
      </w:r>
      <w:r>
        <w:t xml:space="preserve"> [Online] Available at:</w:t>
      </w:r>
      <w:r>
        <w:rPr/>
        <w:fldChar w:fldCharType="begin"/>
      </w:r>
      <w:r>
        <w:instrText xml:space="preserve"> HYPERLINK "https://www.personneltoday.com/hr/sainsburys-equal-pay-claim-court-of-appeal/" </w:instrText>
      </w:r>
      <w:r>
        <w:rPr/>
        <w:fldChar w:fldCharType="separate"/>
      </w:r>
      <w:r>
        <w:t xml:space="preserve"> </w:t>
      </w:r>
      <w:r>
        <w:rPr/>
        <w:fldChar w:fldCharType="end"/>
      </w:r>
      <w:r>
        <w:rPr/>
        <w:fldChar w:fldCharType="begin"/>
      </w:r>
      <w:r>
        <w:instrText xml:space="preserve"> HYPERLINK "https://www.personneltoday.com/hr/sainsburys-equal-pay-claim-court-of-appeal/" </w:instrText>
      </w:r>
      <w:r>
        <w:rPr/>
        <w:fldChar w:fldCharType="separate"/>
      </w:r>
      <w:r>
        <w:rPr>
          <w:color w:val="1155cc"/>
          <w:u w:val="single"/>
        </w:rPr>
        <w:t>https://www.personneltoday.com/hr/sainsburys-equal-pay-claim-court-of-appeal/</w:t>
      </w:r>
      <w:r>
        <w:rPr/>
        <w:fldChar w:fldCharType="end"/>
      </w:r>
      <w:r>
        <w:t xml:space="preserve"> (Accessed on 20 January 2023)</w:t>
      </w:r>
    </w:p>
    <w:p>
      <w:pPr>
        <w:pStyle w:val="style0"/>
        <w:spacing w:before="240" w:after="240"/>
        <w:rPr/>
      </w:pPr>
      <w:r>
        <w:t xml:space="preserve">PIB Gov, 2020. </w:t>
      </w:r>
      <w:r>
        <w:rPr>
          <w:i/>
        </w:rPr>
        <w:t>Employment Generation During Covid Period</w:t>
      </w:r>
      <w:r>
        <w:t xml:space="preserve"> [Online] Available at:</w:t>
      </w:r>
      <w:r>
        <w:rPr/>
        <w:fldChar w:fldCharType="begin"/>
      </w:r>
      <w:r>
        <w:instrText xml:space="preserve"> HYPERLINK "https://pib.gov.in/Pressreleaseshare.aspx?PRID=1782220" \l ":~:text=Aatmanirbhar%20Bharat%20Rojgar%20Yojana%20(ABRY,employment%20during%20Covid%2D19%20pandemic" </w:instrText>
      </w:r>
      <w:r>
        <w:rPr/>
        <w:fldChar w:fldCharType="separate"/>
      </w:r>
      <w:r>
        <w:t xml:space="preserve"> </w:t>
      </w:r>
      <w:r>
        <w:rPr/>
        <w:fldChar w:fldCharType="end"/>
      </w:r>
      <w:r>
        <w:rPr/>
        <w:fldChar w:fldCharType="begin"/>
      </w:r>
      <w:r>
        <w:instrText xml:space="preserve"> HYPERLINK "https://pib.gov.in/Pressreleaseshare.aspx?PRID=1782220" \l ":~:text=Aatmanirbhar%20Bharat%20Rojgar%20Yojana%20(ABRY,employment%20during%20Covid%2D19%20pandemic" </w:instrText>
      </w:r>
      <w:r>
        <w:rPr/>
        <w:fldChar w:fldCharType="separate"/>
      </w:r>
      <w:r>
        <w:rPr>
          <w:color w:val="1155cc"/>
          <w:u w:val="single"/>
        </w:rPr>
        <w:t>https://pib.gov.in/Pressreleaseshare.aspx?PRID=1782220#:~:text=Aatmanirbhar%20Bharat%20Rojgar%20Yojana%20(ABRY,employment%20during%20Covid%2D19%20pandemic</w:t>
      </w:r>
      <w:r>
        <w:rPr/>
        <w:fldChar w:fldCharType="end"/>
      </w:r>
      <w:r>
        <w:t>.  (Accessed on 20 January 2023)</w:t>
      </w:r>
    </w:p>
    <w:p>
      <w:pPr>
        <w:pStyle w:val="style0"/>
        <w:spacing w:before="240" w:after="240"/>
        <w:rPr/>
      </w:pPr>
      <w:r>
        <w:t xml:space="preserve">Reuters, 2020. </w:t>
      </w:r>
      <w:r>
        <w:rPr>
          <w:i/>
        </w:rPr>
        <w:t>Britain's Sainsbury's to cut "hundreds" of management roles</w:t>
      </w:r>
      <w:r>
        <w:rPr>
          <w:b/>
        </w:rPr>
        <w:t xml:space="preserve"> </w:t>
      </w:r>
      <w:r>
        <w:t>[Online] Available at:</w:t>
      </w:r>
      <w:r>
        <w:rPr/>
        <w:fldChar w:fldCharType="begin"/>
      </w:r>
      <w:r>
        <w:instrText xml:space="preserve"> HYPERLINK "https://www.reuters.com/article/sainsburys-layoffs-idUSL8N29Q4ZO" </w:instrText>
      </w:r>
      <w:r>
        <w:rPr/>
        <w:fldChar w:fldCharType="separate"/>
      </w:r>
      <w:r>
        <w:t xml:space="preserve"> </w:t>
      </w:r>
      <w:r>
        <w:rPr/>
        <w:fldChar w:fldCharType="end"/>
      </w:r>
      <w:r>
        <w:rPr/>
        <w:fldChar w:fldCharType="begin"/>
      </w:r>
      <w:r>
        <w:instrText xml:space="preserve"> HYPERLINK "https://www.reuters.com/article/sainsburys-layoffs-idUSL8N29Q4ZO" </w:instrText>
      </w:r>
      <w:r>
        <w:rPr/>
        <w:fldChar w:fldCharType="separate"/>
      </w:r>
      <w:r>
        <w:rPr>
          <w:color w:val="1155cc"/>
          <w:u w:val="single"/>
        </w:rPr>
        <w:t>https://www.reuters.com/article/sainsburys-layoffs-idUSL8N29Q4ZO</w:t>
      </w:r>
      <w:r>
        <w:rPr/>
        <w:fldChar w:fldCharType="end"/>
      </w:r>
      <w:r>
        <w:t xml:space="preserve"> (Accessed on 20 January 2023)</w:t>
      </w:r>
    </w:p>
    <w:p>
      <w:pPr>
        <w:pStyle w:val="style0"/>
        <w:spacing w:before="240" w:after="240"/>
        <w:rPr/>
      </w:pPr>
      <w:r>
        <w:t xml:space="preserve">Sainsburys, 2019. </w:t>
      </w:r>
      <w:r>
        <w:rPr>
          <w:i/>
        </w:rPr>
        <w:t>Materiality and governance</w:t>
      </w:r>
      <w:r>
        <w:t xml:space="preserve"> [Online] Available at:</w:t>
      </w:r>
      <w:r>
        <w:rPr/>
        <w:fldChar w:fldCharType="begin"/>
      </w:r>
      <w:r>
        <w:instrText xml:space="preserve"> HYPERLINK "https://www.about.sainsburys.co.uk/sustainability/plan-for-better/materiality-and-governance" </w:instrText>
      </w:r>
      <w:r>
        <w:rPr/>
        <w:fldChar w:fldCharType="separate"/>
      </w:r>
      <w:r>
        <w:t xml:space="preserve"> </w:t>
      </w:r>
      <w:r>
        <w:rPr/>
        <w:fldChar w:fldCharType="end"/>
      </w:r>
      <w:r>
        <w:rPr/>
        <w:fldChar w:fldCharType="begin"/>
      </w:r>
      <w:r>
        <w:instrText xml:space="preserve"> HYPERLINK "https://www.about.sainsburys.co.uk/sustainability/plan-for-better/materiality-and-governance" </w:instrText>
      </w:r>
      <w:r>
        <w:rPr/>
        <w:fldChar w:fldCharType="separate"/>
      </w:r>
      <w:r>
        <w:rPr>
          <w:color w:val="1155cc"/>
          <w:u w:val="single"/>
        </w:rPr>
        <w:t>https://www.about.sainsburys.co.uk/sustainability/plan-for-better/materiality-and-governance</w:t>
      </w:r>
      <w:r>
        <w:rPr/>
        <w:fldChar w:fldCharType="end"/>
      </w:r>
      <w:r>
        <w:t xml:space="preserve"> (Accessed on 20 January 2023)</w:t>
      </w:r>
    </w:p>
    <w:p>
      <w:pPr>
        <w:pStyle w:val="style0"/>
        <w:spacing w:before="240" w:after="240"/>
        <w:rPr/>
      </w:pPr>
      <w:r>
        <w:t xml:space="preserve">Sainsburys, 2020. </w:t>
      </w:r>
      <w:r>
        <w:rPr>
          <w:i/>
        </w:rPr>
        <w:t>Our Policy on Human Rights</w:t>
      </w:r>
      <w:r>
        <w:t xml:space="preserve"> [Online] Available at:</w:t>
      </w:r>
      <w:r>
        <w:rPr/>
        <w:fldChar w:fldCharType="begin"/>
      </w:r>
      <w:r>
        <w:instrText xml:space="preserve"> HYPERLINK "https://www.about.sainsburys.co.uk/~/media/Files/S/Sainsburys/CRS%20Policies%20and%20Reports/Human%20Rights%20policy%20April%202020.pdf" </w:instrText>
      </w:r>
      <w:r>
        <w:rPr/>
        <w:fldChar w:fldCharType="separate"/>
      </w:r>
      <w:r>
        <w:t xml:space="preserve"> </w:t>
      </w:r>
      <w:r>
        <w:rPr/>
        <w:fldChar w:fldCharType="end"/>
      </w:r>
      <w:r>
        <w:rPr/>
        <w:fldChar w:fldCharType="begin"/>
      </w:r>
      <w:r>
        <w:instrText xml:space="preserve"> HYPERLINK "https://www.about.sainsburys.co.uk/~/media/Files/S/Sainsburys/CRS%20Policies%20and%20Reports/Human%20Rights%20policy%20April%202020.pdf" </w:instrText>
      </w:r>
      <w:r>
        <w:rPr/>
        <w:fldChar w:fldCharType="separate"/>
      </w:r>
      <w:r>
        <w:rPr>
          <w:color w:val="1155cc"/>
          <w:u w:val="single"/>
        </w:rPr>
        <w:t>https://www.about.sainsburys.co.uk/~/media/Files/S/Sainsburys/CRS%20Policies%20and%20Reports/Human%20Rights%20policy%20April%202020.pdf</w:t>
      </w:r>
      <w:r>
        <w:rPr/>
        <w:fldChar w:fldCharType="end"/>
      </w:r>
      <w:r>
        <w:t xml:space="preserve"> (Accessed on 20 January 2023)</w:t>
      </w:r>
    </w:p>
    <w:p>
      <w:pPr>
        <w:pStyle w:val="style0"/>
        <w:spacing w:before="240" w:after="240"/>
        <w:rPr/>
      </w:pPr>
      <w:r>
        <w:t xml:space="preserve">Sainsburys, 2023. </w:t>
      </w:r>
      <w:r>
        <w:rPr>
          <w:i/>
        </w:rPr>
        <w:t>Colleague mental health and wellbeing</w:t>
      </w:r>
      <w:r>
        <w:t xml:space="preserve"> [Online] Available at:</w:t>
      </w:r>
      <w:r>
        <w:rPr/>
        <w:fldChar w:fldCharType="begin"/>
      </w:r>
      <w:r>
        <w:instrText xml:space="preserve"> HYPERLINK "https://www.about.sainsburys.co.uk/sustainability/plan-for-better/our-stories/2022/colleague-mental-health-and-wellbeing" </w:instrText>
      </w:r>
      <w:r>
        <w:rPr/>
        <w:fldChar w:fldCharType="separate"/>
      </w:r>
      <w:r>
        <w:t xml:space="preserve"> </w:t>
      </w:r>
      <w:r>
        <w:rPr/>
        <w:fldChar w:fldCharType="end"/>
      </w:r>
      <w:r>
        <w:rPr/>
        <w:fldChar w:fldCharType="begin"/>
      </w:r>
      <w:r>
        <w:instrText xml:space="preserve"> HYPERLINK "https://www.about.sainsburys.co.uk/sustainability/plan-for-better/our-stories/2022/colleague-mental-health-and-wellbeing" </w:instrText>
      </w:r>
      <w:r>
        <w:rPr/>
        <w:fldChar w:fldCharType="separate"/>
      </w:r>
      <w:r>
        <w:rPr>
          <w:color w:val="1155cc"/>
          <w:u w:val="single"/>
        </w:rPr>
        <w:t>https://www.about.sainsburys.co.uk/sustainability/plan-for-better/our-stories/2022/colleague-mental-health-and-wellbeing</w:t>
      </w:r>
      <w:r>
        <w:rPr/>
        <w:fldChar w:fldCharType="end"/>
      </w:r>
      <w:r>
        <w:t xml:space="preserve"> (Accessed on 20 January 2023)</w:t>
      </w:r>
    </w:p>
    <w:p>
      <w:pPr>
        <w:pStyle w:val="style0"/>
        <w:spacing w:before="240" w:after="240"/>
        <w:rPr/>
      </w:pPr>
      <w:r>
        <w:t xml:space="preserve">Sohani, S.S., 2015. Changes in the Indian economy: impact on HR practices &amp; industrial relations. </w:t>
      </w:r>
      <w:r>
        <w:rPr>
          <w:i/>
        </w:rPr>
        <w:t>Indian Journal of Industrial Relations</w:t>
      </w:r>
      <w:r>
        <w:t>, pp.137-149.</w:t>
      </w:r>
    </w:p>
    <w:p>
      <w:pPr>
        <w:pStyle w:val="style0"/>
        <w:spacing w:before="240" w:after="240"/>
        <w:rPr/>
      </w:pPr>
      <w:r>
        <w:t xml:space="preserve">Tamzid, M. and Parves, M.T., 2017. Human Resource Management Policies and Diversity Management (A Case Study on Sainsbury’s). </w:t>
      </w:r>
      <w:r>
        <w:rPr>
          <w:i/>
        </w:rPr>
        <w:t>Human Resource Management</w:t>
      </w:r>
      <w:r>
        <w:t xml:space="preserve">, </w:t>
      </w:r>
      <w:r>
        <w:rPr>
          <w:i/>
        </w:rPr>
        <w:t>8</w:t>
      </w:r>
      <w:r>
        <w:t>(4).</w:t>
      </w:r>
    </w:p>
    <w:p>
      <w:pPr>
        <w:pStyle w:val="style0"/>
        <w:spacing w:before="240" w:after="240"/>
        <w:rPr/>
      </w:pPr>
      <w:r>
        <w:t xml:space="preserve">Wadsworth, J., 2018. Off EU go? Brexit, the UK labour market and immigration. </w:t>
      </w:r>
      <w:r>
        <w:rPr>
          <w:i/>
        </w:rPr>
        <w:t>Fiscal Studies</w:t>
      </w:r>
      <w:r>
        <w:t xml:space="preserve">, </w:t>
      </w:r>
      <w:r>
        <w:rPr>
          <w:i/>
        </w:rPr>
        <w:t>39</w:t>
      </w:r>
      <w:r>
        <w:t>(4), pp.625-649.</w:t>
      </w:r>
    </w:p>
    <w:p>
      <w:pPr>
        <w:pStyle w:val="style0"/>
        <w:rPr/>
      </w:pPr>
    </w:p>
    <w:sectPr>
      <w:footerReference w:type="default" r:id="rId3"/>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宋体">
    <w:altName w:val="Wingdings 2"/>
    <w:panose1 w:val="05020102010007070707"/>
    <w:charset w:val="02"/>
    <w:family w:val="roman"/>
    <w:pitch w:val="default"/>
    <w:sig w:usb0="00000000" w:usb1="10000000" w:usb2="00000000" w:usb3="00000000" w:csb0="80000000"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sz w:val="28"/>
      <w:szCs w:val="28"/>
    </w:rPr>
  </w:style>
  <w:style w:type="paragraph" w:styleId="style2">
    <w:name w:val="heading 2"/>
    <w:basedOn w:val="style0"/>
    <w:next w:val="style0"/>
    <w:qFormat/>
    <w:uiPriority w:val="9"/>
    <w:pPr>
      <w:keepNext/>
      <w:keepLines/>
      <w:outlineLvl w:val="1"/>
    </w:pPr>
    <w:rPr>
      <w:b/>
    </w:rPr>
  </w:style>
  <w:style w:type="paragraph" w:styleId="style3">
    <w:name w:val="heading 3"/>
    <w:basedOn w:val="style0"/>
    <w:next w:val="style0"/>
    <w:qFormat/>
    <w:uiPriority w:val="9"/>
    <w:pPr>
      <w:keepNext/>
      <w:keepLines/>
      <w:outlineLvl w:val="2"/>
    </w:pPr>
    <w:rPr>
      <w:b/>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ascii="Arial" w:cs="Arial" w:eastAsia="Arial" w:hAnsi="Arial"/>
      <w:color w:val="666666"/>
      <w:sz w:val="30"/>
      <w:szCs w:val="30"/>
    </w:rPr>
  </w:style>
  <w:style w:type="table" w:customStyle="1" w:styleId="style4097">
    <w:basedOn w:val="style105"/>
    <w:next w:val="style4097"/>
    <w:pPr/>
    <w:rPr/>
    <w:tblPr>
      <w:tblStyleRowBandSize w:val="1"/>
      <w:tblStyleColBandSize w:val="1"/>
      <w:tblCellMar>
        <w:top w:w="100" w:type="dxa"/>
        <w:left w:w="100" w:type="dxa"/>
        <w:bottom w:w="100" w:type="dxa"/>
        <w:right w:w="100" w:type="dxa"/>
      </w:tblCellMar>
    </w:tblPr>
    <w:tcPr>
      <w:tcBorders/>
    </w:tcPr>
  </w:style>
  <w:style w:type="paragraph" w:styleId="style31">
    <w:name w:val="header"/>
    <w:basedOn w:val="style0"/>
    <w:next w:val="style31"/>
    <w:link w:val="style4098"/>
    <w:uiPriority w:val="99"/>
    <w:pPr>
      <w:tabs>
        <w:tab w:val="center" w:leader="none" w:pos="4513"/>
        <w:tab w:val="right" w:leader="none" w:pos="9026"/>
      </w:tabs>
      <w:spacing w:lineRule="auto" w:line="240"/>
    </w:pPr>
    <w:rPr/>
  </w:style>
  <w:style w:type="character" w:customStyle="1" w:styleId="style4098">
    <w:name w:val="Header Char_8c80c1f6-4fb1-4f0c-931e-925df0f81ae5"/>
    <w:basedOn w:val="style65"/>
    <w:next w:val="style4098"/>
    <w:link w:val="style31"/>
    <w:uiPriority w:val="99"/>
  </w:style>
  <w:style w:type="paragraph" w:styleId="style32">
    <w:name w:val="footer"/>
    <w:basedOn w:val="style0"/>
    <w:next w:val="style32"/>
    <w:link w:val="style4099"/>
    <w:uiPriority w:val="99"/>
    <w:pPr>
      <w:tabs>
        <w:tab w:val="center" w:leader="none" w:pos="4513"/>
        <w:tab w:val="right" w:leader="none" w:pos="9026"/>
      </w:tabs>
      <w:spacing w:lineRule="auto" w:line="240"/>
    </w:pPr>
    <w:rPr/>
  </w:style>
  <w:style w:type="character" w:customStyle="1" w:styleId="style4099">
    <w:name w:val="Footer Char_6de76da6-3e46-4d9d-b80e-22202513fccb"/>
    <w:basedOn w:val="style65"/>
    <w:next w:val="style4099"/>
    <w:link w:val="style32"/>
    <w:uiPriority w:val="99"/>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000ff"/>
      <w:u w:val="single"/>
    </w:rPr>
  </w:style>
  <w:style w:type="paragraph" w:customStyle="1" w:styleId="style4100">
    <w:name w:val="&quot;normal&quot;"/>
    <w:next w:val="style4094"/>
    <w:pPr/>
  </w:style>
  <w:style w:type="paragraph" w:styleId="style266">
    <w:name w:val="TOC Heading"/>
    <w:basedOn w:val="style1"/>
    <w:next w:val="style4094"/>
    <w:qFormat/>
    <w:pPr>
      <w:keepNext/>
      <w:keepLines/>
      <w:widowControl w:val="false"/>
      <w:spacing w:before="480" w:after="0" w:lineRule="auto" w:line="276"/>
      <w:ind w:left="0" w:right="0"/>
      <w:jc w:val="left"/>
      <w:outlineLvl w:val="9"/>
    </w:pPr>
    <w:rPr>
      <w:rFonts w:ascii="Calibri" w:cs="宋体" w:eastAsia="宋体" w:hAnsi="Calibri"/>
      <w:b/>
      <w:bCs/>
      <w:color w:val="365f91"/>
      <w:sz w:val="28"/>
      <w:szCs w:val="28"/>
      <w:lang w:val="en-US" w:eastAsia="en-U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Words>3255</Words>
  <Pages>13</Pages>
  <Characters>19230</Characters>
  <Application>WPS Office</Application>
  <DocSecurity>0</DocSecurity>
  <Paragraphs>121</Paragraphs>
  <ScaleCrop>false</ScaleCrop>
  <LinksUpToDate>false</LinksUpToDate>
  <CharactersWithSpaces>22470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2023-04-20T18:36:00Z</dcterms:created>
  <dc:creator>WPS Office</dc:creator>
  <lastModifiedBy>RMX1921</lastModifiedBy>
  <dcterms:modified xsi:type="dcterms:W3CDTF">2023-05-09T11:04:38Z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53232097808e4eaea8980246eb5312dc</vt:lpwstr>
  </property>
</Properties>
</file>