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319895" w14:textId="4D9848EB" w:rsidR="00606DD8" w:rsidRDefault="00C023B6" w:rsidP="00C22A37">
      <w:pPr>
        <w:rPr>
          <w:lang w:val="en-GB"/>
        </w:rPr>
      </w:pPr>
      <w:bookmarkStart w:id="0" w:name="_Hlk34722950"/>
      <w:r>
        <w:rPr>
          <w:lang w:val="en-GB"/>
        </w:rPr>
        <w:t>David Call</w:t>
      </w:r>
      <w:r w:rsidR="00065A90">
        <w:rPr>
          <w:lang w:val="en-GB"/>
        </w:rPr>
        <w:t>a</w:t>
      </w:r>
      <w:r>
        <w:rPr>
          <w:lang w:val="en-GB"/>
        </w:rPr>
        <w:t>nder</w:t>
      </w:r>
      <w:r w:rsidR="008734BB" w:rsidRPr="008734BB">
        <w:rPr>
          <w:lang w:val="en-GB"/>
        </w:rPr>
        <w:t xml:space="preserve">, </w:t>
      </w:r>
      <w:r w:rsidR="008734BB" w:rsidRPr="00C023B6">
        <w:rPr>
          <w:i/>
          <w:iCs/>
          <w:lang w:val="en-GB"/>
        </w:rPr>
        <w:t>Dissonant Neighbours</w:t>
      </w:r>
      <w:r w:rsidR="008734BB" w:rsidRPr="008734BB">
        <w:rPr>
          <w:lang w:val="en-GB"/>
        </w:rPr>
        <w:t xml:space="preserve">, </w:t>
      </w:r>
      <w:r>
        <w:rPr>
          <w:lang w:val="en-GB"/>
        </w:rPr>
        <w:t xml:space="preserve">Narrative Progress in Early Welsh and English Poetry, </w:t>
      </w:r>
      <w:r w:rsidR="008734BB" w:rsidRPr="008734BB">
        <w:rPr>
          <w:lang w:val="en-GB"/>
        </w:rPr>
        <w:t>University of Wales Press, Cardiff, 2019</w:t>
      </w:r>
      <w:r w:rsidR="00205CAF">
        <w:rPr>
          <w:lang w:val="en-GB"/>
        </w:rPr>
        <w:t>, pp. 258, ISBN No 978-1-78683-398-3</w:t>
      </w:r>
    </w:p>
    <w:bookmarkEnd w:id="0"/>
    <w:p w14:paraId="44B78896" w14:textId="12A4C8D5" w:rsidR="008734BB" w:rsidRDefault="008734BB" w:rsidP="00C22A37">
      <w:pPr>
        <w:rPr>
          <w:lang w:val="en-GB"/>
        </w:rPr>
      </w:pPr>
      <w:r>
        <w:rPr>
          <w:lang w:val="en-GB"/>
        </w:rPr>
        <w:t>A Review</w:t>
      </w:r>
      <w:r w:rsidRPr="008734BB">
        <w:rPr>
          <w:lang w:val="en-GB"/>
        </w:rPr>
        <w:t xml:space="preserve"> </w:t>
      </w:r>
      <w:r>
        <w:rPr>
          <w:lang w:val="en-GB"/>
        </w:rPr>
        <w:t xml:space="preserve">for submission to </w:t>
      </w:r>
      <w:r w:rsidR="00205CAF" w:rsidRPr="00F361E1">
        <w:rPr>
          <w:i/>
          <w:iCs/>
          <w:lang w:val="en-GB"/>
        </w:rPr>
        <w:t>Studia Celtica</w:t>
      </w:r>
    </w:p>
    <w:p w14:paraId="1F39ADF4" w14:textId="0921466E" w:rsidR="00606DD8" w:rsidRDefault="00606DD8" w:rsidP="0076082F">
      <w:pPr>
        <w:ind w:left="2832"/>
        <w:rPr>
          <w:lang w:val="en-GB"/>
        </w:rPr>
      </w:pPr>
    </w:p>
    <w:p w14:paraId="02D32104" w14:textId="7911B084" w:rsidR="005F441A" w:rsidRDefault="00606DD8" w:rsidP="005C211F">
      <w:pPr>
        <w:jc w:val="both"/>
        <w:rPr>
          <w:lang w:val="en-GB"/>
        </w:rPr>
      </w:pPr>
      <w:r>
        <w:rPr>
          <w:lang w:val="en-GB"/>
        </w:rPr>
        <w:t>In</w:t>
      </w:r>
      <w:r w:rsidR="008532BA">
        <w:rPr>
          <w:lang w:val="en-GB"/>
        </w:rPr>
        <w:t xml:space="preserve"> this </w:t>
      </w:r>
      <w:r w:rsidR="00260007">
        <w:rPr>
          <w:lang w:val="en-GB"/>
        </w:rPr>
        <w:t xml:space="preserve">methodologically </w:t>
      </w:r>
      <w:r w:rsidR="008532BA">
        <w:rPr>
          <w:lang w:val="en-GB"/>
        </w:rPr>
        <w:t>innovative work</w:t>
      </w:r>
      <w:r>
        <w:rPr>
          <w:lang w:val="en-GB"/>
        </w:rPr>
        <w:t xml:space="preserve">, </w:t>
      </w:r>
      <w:r w:rsidR="00C977FE">
        <w:rPr>
          <w:lang w:val="en-GB"/>
        </w:rPr>
        <w:t>David Callander sets out to compare and</w:t>
      </w:r>
      <w:r w:rsidR="000331A9">
        <w:rPr>
          <w:lang w:val="en-GB"/>
        </w:rPr>
        <w:t xml:space="preserve">, in particular, </w:t>
      </w:r>
      <w:r w:rsidR="00C977FE">
        <w:rPr>
          <w:lang w:val="en-GB"/>
        </w:rPr>
        <w:t xml:space="preserve">contrast the way in which what he refers to as “narrative progression”, i.e. how the </w:t>
      </w:r>
      <w:r w:rsidR="00A048A6">
        <w:rPr>
          <w:lang w:val="en-GB"/>
        </w:rPr>
        <w:t>story</w:t>
      </w:r>
      <w:r w:rsidR="00C977FE">
        <w:rPr>
          <w:lang w:val="en-GB"/>
        </w:rPr>
        <w:t xml:space="preserve"> moves forward</w:t>
      </w:r>
      <w:r w:rsidR="008734BB">
        <w:rPr>
          <w:lang w:val="en-GB"/>
        </w:rPr>
        <w:t xml:space="preserve">, is </w:t>
      </w:r>
      <w:r w:rsidR="00A048A6">
        <w:rPr>
          <w:lang w:val="en-GB"/>
        </w:rPr>
        <w:t>generated, notably</w:t>
      </w:r>
      <w:r w:rsidR="008734BB">
        <w:rPr>
          <w:lang w:val="en-GB"/>
        </w:rPr>
        <w:t xml:space="preserve"> through various types of narrative sequence</w:t>
      </w:r>
      <w:r w:rsidR="00A048A6">
        <w:rPr>
          <w:lang w:val="en-GB"/>
        </w:rPr>
        <w:t>,</w:t>
      </w:r>
      <w:r w:rsidR="008734BB">
        <w:rPr>
          <w:lang w:val="en-GB"/>
        </w:rPr>
        <w:t xml:space="preserve"> in </w:t>
      </w:r>
      <w:r w:rsidR="008734BB" w:rsidRPr="008734BB">
        <w:rPr>
          <w:lang w:val="en-GB"/>
        </w:rPr>
        <w:t>early Welsh and</w:t>
      </w:r>
      <w:r w:rsidR="008734BB">
        <w:rPr>
          <w:lang w:val="en-GB"/>
        </w:rPr>
        <w:t xml:space="preserve"> Old</w:t>
      </w:r>
      <w:r w:rsidR="008734BB" w:rsidRPr="008734BB">
        <w:rPr>
          <w:lang w:val="en-GB"/>
        </w:rPr>
        <w:t xml:space="preserve"> English poetry</w:t>
      </w:r>
      <w:r w:rsidR="00C977FE">
        <w:rPr>
          <w:lang w:val="en-GB"/>
        </w:rPr>
        <w:t>. Using a model based on</w:t>
      </w:r>
      <w:r w:rsidR="00C7432B">
        <w:rPr>
          <w:lang w:val="en-GB"/>
        </w:rPr>
        <w:t xml:space="preserve"> </w:t>
      </w:r>
      <w:r w:rsidR="00C977FE">
        <w:rPr>
          <w:lang w:val="en-GB"/>
        </w:rPr>
        <w:t>William Labov’s narrative theory, which focus</w:t>
      </w:r>
      <w:r w:rsidR="00F361E1">
        <w:rPr>
          <w:lang w:val="en-GB"/>
        </w:rPr>
        <w:t>es</w:t>
      </w:r>
      <w:r w:rsidR="00C977FE">
        <w:rPr>
          <w:lang w:val="en-GB"/>
        </w:rPr>
        <w:t xml:space="preserve"> particularly on the sequence of events, </w:t>
      </w:r>
      <w:r w:rsidR="00C7432B">
        <w:rPr>
          <w:lang w:val="en-GB"/>
        </w:rPr>
        <w:t xml:space="preserve">he applies a method based on </w:t>
      </w:r>
      <w:r w:rsidR="00705F80">
        <w:rPr>
          <w:lang w:val="en-GB"/>
        </w:rPr>
        <w:t xml:space="preserve">both </w:t>
      </w:r>
      <w:r w:rsidR="008734BB">
        <w:rPr>
          <w:lang w:val="en-GB"/>
        </w:rPr>
        <w:t>statistical</w:t>
      </w:r>
      <w:r w:rsidR="00705F80">
        <w:rPr>
          <w:lang w:val="en-GB"/>
        </w:rPr>
        <w:t xml:space="preserve"> methods (“distance reading”) and </w:t>
      </w:r>
      <w:r w:rsidR="00C7432B">
        <w:rPr>
          <w:lang w:val="en-GB"/>
        </w:rPr>
        <w:t xml:space="preserve">close reading to examples of early Welsh and English poetry in order to investigate the narrative elements </w:t>
      </w:r>
      <w:r w:rsidR="00705F80">
        <w:rPr>
          <w:lang w:val="en-GB"/>
        </w:rPr>
        <w:t xml:space="preserve">present </w:t>
      </w:r>
      <w:r w:rsidR="00C7432B">
        <w:rPr>
          <w:lang w:val="en-GB"/>
        </w:rPr>
        <w:t>and th</w:t>
      </w:r>
      <w:r w:rsidR="00705F80">
        <w:rPr>
          <w:lang w:val="en-GB"/>
        </w:rPr>
        <w:t>eir role in</w:t>
      </w:r>
      <w:r w:rsidR="00C7432B">
        <w:rPr>
          <w:lang w:val="en-GB"/>
        </w:rPr>
        <w:t xml:space="preserve"> </w:t>
      </w:r>
      <w:r w:rsidR="00705F80">
        <w:rPr>
          <w:lang w:val="en-GB"/>
        </w:rPr>
        <w:t xml:space="preserve">carrying </w:t>
      </w:r>
      <w:r w:rsidR="00C7432B">
        <w:rPr>
          <w:lang w:val="en-GB"/>
        </w:rPr>
        <w:t xml:space="preserve">the story forward in time. </w:t>
      </w:r>
    </w:p>
    <w:p w14:paraId="360A983D" w14:textId="05D6B167" w:rsidR="00120332" w:rsidRPr="00120332" w:rsidRDefault="008532BA" w:rsidP="00120332">
      <w:pPr>
        <w:jc w:val="both"/>
        <w:rPr>
          <w:lang w:val="en-GB"/>
        </w:rPr>
      </w:pPr>
      <w:r>
        <w:rPr>
          <w:lang w:val="en-GB"/>
        </w:rPr>
        <w:t>Narratives are everywhere in our society: in psychology an</w:t>
      </w:r>
      <w:r w:rsidR="00A048A6">
        <w:rPr>
          <w:lang w:val="en-GB"/>
        </w:rPr>
        <w:t>d psychotherapy</w:t>
      </w:r>
      <w:r>
        <w:rPr>
          <w:lang w:val="en-GB"/>
        </w:rPr>
        <w:t xml:space="preserve">, in transitional justice (in the service of “truth and reconciliation, or not), in advertising, in interpersonal relations and perhaps most glaringly, in politics, where they can be made to serve many ends. </w:t>
      </w:r>
      <w:r w:rsidR="00A048A6" w:rsidRPr="00A048A6">
        <w:rPr>
          <w:i/>
          <w:iCs/>
          <w:lang w:val="en-GB"/>
        </w:rPr>
        <w:t>Mutatis mutandis</w:t>
      </w:r>
      <w:r w:rsidR="00A048A6">
        <w:rPr>
          <w:lang w:val="en-GB"/>
        </w:rPr>
        <w:t>, t</w:t>
      </w:r>
      <w:r>
        <w:rPr>
          <w:lang w:val="en-GB"/>
        </w:rPr>
        <w:t>he same could be said of past societies, where religious and political narratives undoubtedly played an important part in people’s lives,</w:t>
      </w:r>
      <w:r w:rsidR="00120332">
        <w:rPr>
          <w:lang w:val="en-GB"/>
        </w:rPr>
        <w:t xml:space="preserve"> </w:t>
      </w:r>
      <w:r>
        <w:rPr>
          <w:lang w:val="en-GB"/>
        </w:rPr>
        <w:t>in the form of poems, stories, homilies and religious expressions, in oral form in preliterate societies and, with the advent of writing</w:t>
      </w:r>
      <w:r w:rsidR="005F0904">
        <w:rPr>
          <w:lang w:val="en-GB"/>
        </w:rPr>
        <w:t>,</w:t>
      </w:r>
      <w:r>
        <w:rPr>
          <w:lang w:val="en-GB"/>
        </w:rPr>
        <w:t xml:space="preserve"> in the form of what we can broadly call literature. </w:t>
      </w:r>
      <w:r w:rsidR="00120332">
        <w:rPr>
          <w:lang w:val="en-GB"/>
        </w:rPr>
        <w:t xml:space="preserve">The interdisciplinary Project Narrative launched by the Ohio State University English Department in 2006 has been an important vector for the </w:t>
      </w:r>
      <w:r w:rsidR="00413462">
        <w:rPr>
          <w:lang w:val="en-GB"/>
        </w:rPr>
        <w:t xml:space="preserve">expansion of </w:t>
      </w:r>
      <w:r w:rsidR="00120332" w:rsidRPr="00120332">
        <w:rPr>
          <w:lang w:val="en-GB"/>
        </w:rPr>
        <w:t xml:space="preserve">Narrative </w:t>
      </w:r>
      <w:r w:rsidR="00120332">
        <w:rPr>
          <w:lang w:val="en-GB"/>
        </w:rPr>
        <w:t>T</w:t>
      </w:r>
      <w:r w:rsidR="00120332" w:rsidRPr="00120332">
        <w:rPr>
          <w:lang w:val="en-GB"/>
        </w:rPr>
        <w:t>heory, which has its roots in sociology and sociolinguistics, in</w:t>
      </w:r>
      <w:r w:rsidR="00413462">
        <w:rPr>
          <w:lang w:val="en-GB"/>
        </w:rPr>
        <w:t>to</w:t>
      </w:r>
      <w:r w:rsidR="00120332" w:rsidRPr="00120332">
        <w:rPr>
          <w:lang w:val="en-GB"/>
        </w:rPr>
        <w:t xml:space="preserve"> many </w:t>
      </w:r>
      <w:r w:rsidR="00500654">
        <w:rPr>
          <w:lang w:val="en-GB"/>
        </w:rPr>
        <w:t>academic fields</w:t>
      </w:r>
      <w:r w:rsidR="00120332" w:rsidRPr="00120332">
        <w:rPr>
          <w:lang w:val="en-GB"/>
        </w:rPr>
        <w:t>, notably as a new tool in the armoury of literary criticism</w:t>
      </w:r>
      <w:r w:rsidR="00A048A6">
        <w:rPr>
          <w:lang w:val="en-GB"/>
        </w:rPr>
        <w:t xml:space="preserve"> and comparative literature</w:t>
      </w:r>
      <w:r w:rsidR="00F361E1">
        <w:rPr>
          <w:lang w:val="en-GB"/>
        </w:rPr>
        <w:t>.</w:t>
      </w:r>
    </w:p>
    <w:p w14:paraId="27CA1767" w14:textId="405821AA" w:rsidR="00BA0044" w:rsidRDefault="00BA0044" w:rsidP="00500654">
      <w:pPr>
        <w:jc w:val="both"/>
        <w:rPr>
          <w:lang w:val="en-GB"/>
        </w:rPr>
      </w:pPr>
      <w:r>
        <w:rPr>
          <w:lang w:val="en-GB"/>
        </w:rPr>
        <w:t xml:space="preserve">In this book, </w:t>
      </w:r>
      <w:r w:rsidR="005F0904">
        <w:rPr>
          <w:lang w:val="en-GB"/>
        </w:rPr>
        <w:t>David Call</w:t>
      </w:r>
      <w:r w:rsidR="00065A90">
        <w:rPr>
          <w:lang w:val="en-GB"/>
        </w:rPr>
        <w:t>a</w:t>
      </w:r>
      <w:r w:rsidR="005F0904">
        <w:rPr>
          <w:lang w:val="en-GB"/>
        </w:rPr>
        <w:t xml:space="preserve">nder adopts a transverse approach to traditional categories of Welsh verse, selecting </w:t>
      </w:r>
      <w:r w:rsidR="00691983">
        <w:rPr>
          <w:lang w:val="en-GB"/>
        </w:rPr>
        <w:t>for investigation</w:t>
      </w:r>
      <w:r w:rsidR="000331A9">
        <w:rPr>
          <w:lang w:val="en-GB"/>
        </w:rPr>
        <w:t xml:space="preserve"> </w:t>
      </w:r>
      <w:r w:rsidR="005F0904">
        <w:rPr>
          <w:lang w:val="en-GB"/>
        </w:rPr>
        <w:t>poems from four broad thematic categories, secular and religious: battle poems, poems relating to the Day of Judgment, poems recounting the birth and early years of Christ, and poems that contain some form of list or catalogue.</w:t>
      </w:r>
      <w:r w:rsidR="000331A9" w:rsidRPr="000331A9">
        <w:rPr>
          <w:lang w:val="en-GB"/>
        </w:rPr>
        <w:t xml:space="preserve"> </w:t>
      </w:r>
      <w:r w:rsidR="000331A9">
        <w:rPr>
          <w:lang w:val="en-GB"/>
        </w:rPr>
        <w:t>These he compares</w:t>
      </w:r>
      <w:r w:rsidR="000331A9" w:rsidRPr="000331A9">
        <w:rPr>
          <w:lang w:val="en-GB"/>
        </w:rPr>
        <w:t xml:space="preserve"> with Anglo-Saxon and Old French poems on similar themes</w:t>
      </w:r>
      <w:r w:rsidR="000331A9">
        <w:rPr>
          <w:lang w:val="en-GB"/>
        </w:rPr>
        <w:t xml:space="preserve"> using narrative theory.</w:t>
      </w:r>
      <w:r w:rsidR="00691983">
        <w:rPr>
          <w:lang w:val="en-GB"/>
        </w:rPr>
        <w:t xml:space="preserve"> Each category is dealt with in one of the four </w:t>
      </w:r>
      <w:r w:rsidR="0070360F">
        <w:rPr>
          <w:lang w:val="en-GB"/>
        </w:rPr>
        <w:t>chapters</w:t>
      </w:r>
      <w:r w:rsidR="00691983">
        <w:rPr>
          <w:lang w:val="en-GB"/>
        </w:rPr>
        <w:t xml:space="preserve"> making up the body of the book.</w:t>
      </w:r>
      <w:r w:rsidR="005F0904">
        <w:rPr>
          <w:lang w:val="en-GB"/>
        </w:rPr>
        <w:t xml:space="preserve"> </w:t>
      </w:r>
      <w:r w:rsidR="002A6094">
        <w:rPr>
          <w:lang w:val="en-GB"/>
        </w:rPr>
        <w:t>In selecting</w:t>
      </w:r>
      <w:r w:rsidR="00386B14">
        <w:rPr>
          <w:lang w:val="en-GB"/>
        </w:rPr>
        <w:t xml:space="preserve"> for examination</w:t>
      </w:r>
      <w:r w:rsidR="002A6094">
        <w:rPr>
          <w:lang w:val="en-GB"/>
        </w:rPr>
        <w:t xml:space="preserve"> poems that present a high degree of narrativity (“in the traditional, not to say old-fashioned, sense”)</w:t>
      </w:r>
      <w:r w:rsidR="00691983">
        <w:rPr>
          <w:lang w:val="en-GB"/>
        </w:rPr>
        <w:t xml:space="preserve">, the author </w:t>
      </w:r>
      <w:r w:rsidR="00386B14">
        <w:rPr>
          <w:lang w:val="en-GB"/>
        </w:rPr>
        <w:t xml:space="preserve">considers that he </w:t>
      </w:r>
      <w:r w:rsidR="00691983">
        <w:rPr>
          <w:lang w:val="en-GB"/>
        </w:rPr>
        <w:t xml:space="preserve">is taking a first step towards a more wide-ranging narratological study of early Welsh poetry as a whole. </w:t>
      </w:r>
      <w:r w:rsidR="00EC27DA">
        <w:rPr>
          <w:lang w:val="en-GB"/>
        </w:rPr>
        <w:t xml:space="preserve">It is worthy of note that </w:t>
      </w:r>
      <w:r w:rsidR="00EC27DA" w:rsidRPr="00EC27DA">
        <w:rPr>
          <w:lang w:val="en-GB"/>
        </w:rPr>
        <w:t>Call</w:t>
      </w:r>
      <w:r w:rsidR="00065A90">
        <w:rPr>
          <w:lang w:val="en-GB"/>
        </w:rPr>
        <w:t>a</w:t>
      </w:r>
      <w:r w:rsidR="00EC27DA" w:rsidRPr="00EC27DA">
        <w:rPr>
          <w:lang w:val="en-GB"/>
        </w:rPr>
        <w:t>nder takes a more flexible approach than Labov</w:t>
      </w:r>
      <w:r w:rsidR="00A26ED3">
        <w:rPr>
          <w:lang w:val="en-GB"/>
        </w:rPr>
        <w:t>, whose work mainly focuses on narratives of personal (and hence past) experience,</w:t>
      </w:r>
      <w:r w:rsidR="00EC27DA">
        <w:rPr>
          <w:lang w:val="en-GB"/>
        </w:rPr>
        <w:t xml:space="preserve"> </w:t>
      </w:r>
      <w:r w:rsidR="00EC27DA" w:rsidRPr="00EC27DA">
        <w:rPr>
          <w:lang w:val="en-GB"/>
        </w:rPr>
        <w:t>in</w:t>
      </w:r>
      <w:r w:rsidR="00EC27DA">
        <w:rPr>
          <w:lang w:val="en-GB"/>
        </w:rPr>
        <w:t xml:space="preserve"> that, for the purposes of his model,</w:t>
      </w:r>
      <w:r w:rsidR="00EC27DA" w:rsidRPr="00EC27DA">
        <w:rPr>
          <w:lang w:val="en-GB"/>
        </w:rPr>
        <w:t xml:space="preserve"> the categorisation of segments of the poetry as narrative </w:t>
      </w:r>
      <w:r w:rsidR="00EC27DA">
        <w:rPr>
          <w:lang w:val="en-GB"/>
        </w:rPr>
        <w:t>do</w:t>
      </w:r>
      <w:r w:rsidR="00EC27DA" w:rsidRPr="00EC27DA">
        <w:rPr>
          <w:lang w:val="en-GB"/>
        </w:rPr>
        <w:t>es not depend solely on tense or time references.</w:t>
      </w:r>
    </w:p>
    <w:p w14:paraId="78A652D8" w14:textId="7A3925FF" w:rsidR="00705F80" w:rsidRDefault="00691983" w:rsidP="005C211F">
      <w:pPr>
        <w:jc w:val="both"/>
        <w:rPr>
          <w:lang w:val="en-GB"/>
        </w:rPr>
      </w:pPr>
      <w:r>
        <w:rPr>
          <w:lang w:val="en-GB"/>
        </w:rPr>
        <w:t>In t</w:t>
      </w:r>
      <w:r w:rsidR="00A24EC4">
        <w:rPr>
          <w:lang w:val="en-GB"/>
        </w:rPr>
        <w:t>he</w:t>
      </w:r>
      <w:r w:rsidR="00327B9B">
        <w:rPr>
          <w:lang w:val="en-GB"/>
        </w:rPr>
        <w:t xml:space="preserve"> </w:t>
      </w:r>
      <w:r w:rsidR="00A26ED3">
        <w:rPr>
          <w:lang w:val="en-GB"/>
        </w:rPr>
        <w:t xml:space="preserve">first </w:t>
      </w:r>
      <w:r w:rsidR="002B7902">
        <w:rPr>
          <w:lang w:val="en-GB"/>
        </w:rPr>
        <w:t>chapter</w:t>
      </w:r>
      <w:r>
        <w:rPr>
          <w:lang w:val="en-GB"/>
        </w:rPr>
        <w:t xml:space="preserve"> on battle poems, which, in this review’s view, is the most convincing in terms of the </w:t>
      </w:r>
      <w:r w:rsidR="005C3A0B">
        <w:rPr>
          <w:lang w:val="en-GB"/>
        </w:rPr>
        <w:t>insights arising out of</w:t>
      </w:r>
      <w:r>
        <w:rPr>
          <w:lang w:val="en-GB"/>
        </w:rPr>
        <w:t xml:space="preserve"> the methodology, Call</w:t>
      </w:r>
      <w:r w:rsidR="00065A90">
        <w:rPr>
          <w:lang w:val="en-GB"/>
        </w:rPr>
        <w:t>a</w:t>
      </w:r>
      <w:r>
        <w:rPr>
          <w:lang w:val="en-GB"/>
        </w:rPr>
        <w:t xml:space="preserve">nder </w:t>
      </w:r>
      <w:r w:rsidR="00327B9B">
        <w:rPr>
          <w:lang w:val="en-GB"/>
        </w:rPr>
        <w:t xml:space="preserve">compares </w:t>
      </w:r>
      <w:r>
        <w:rPr>
          <w:lang w:val="en-GB"/>
        </w:rPr>
        <w:t xml:space="preserve">a selection of </w:t>
      </w:r>
      <w:r w:rsidR="00327B9B">
        <w:rPr>
          <w:lang w:val="en-GB"/>
        </w:rPr>
        <w:t xml:space="preserve">Old English poems (notably </w:t>
      </w:r>
      <w:r w:rsidR="00327B9B" w:rsidRPr="00BA0044">
        <w:rPr>
          <w:i/>
          <w:iCs/>
          <w:lang w:val="en-GB"/>
        </w:rPr>
        <w:t xml:space="preserve">Maldon </w:t>
      </w:r>
      <w:r w:rsidR="00327B9B">
        <w:rPr>
          <w:lang w:val="en-GB"/>
        </w:rPr>
        <w:t xml:space="preserve">and </w:t>
      </w:r>
      <w:r w:rsidR="00327B9B" w:rsidRPr="00BA0044">
        <w:rPr>
          <w:i/>
          <w:iCs/>
          <w:lang w:val="en-GB"/>
        </w:rPr>
        <w:t>Brunanburh</w:t>
      </w:r>
      <w:r w:rsidR="00327B9B">
        <w:rPr>
          <w:lang w:val="en-GB"/>
        </w:rPr>
        <w:t>) with several Welsh ones (</w:t>
      </w:r>
      <w:r w:rsidR="00327B9B" w:rsidRPr="00790DA2">
        <w:rPr>
          <w:i/>
          <w:iCs/>
          <w:lang w:val="en-GB"/>
        </w:rPr>
        <w:t>Gweith Argoet Llwyfein, Gweith Gwen Ystrat, Ar vn blyned and Kad Godau</w:t>
      </w:r>
      <w:r w:rsidR="00327B9B">
        <w:rPr>
          <w:lang w:val="en-GB"/>
        </w:rPr>
        <w:t>), which have been the object of comparative work by other scholars and notably David Klausner</w:t>
      </w:r>
      <w:r w:rsidR="0068763F">
        <w:rPr>
          <w:lang w:val="en-GB"/>
        </w:rPr>
        <w:t xml:space="preserve">. In </w:t>
      </w:r>
      <w:r w:rsidR="00327B9B">
        <w:rPr>
          <w:lang w:val="en-GB"/>
        </w:rPr>
        <w:t>Call</w:t>
      </w:r>
      <w:r w:rsidR="00065A90">
        <w:rPr>
          <w:lang w:val="en-GB"/>
        </w:rPr>
        <w:t>a</w:t>
      </w:r>
      <w:r w:rsidR="00327B9B">
        <w:rPr>
          <w:lang w:val="en-GB"/>
        </w:rPr>
        <w:t>nder</w:t>
      </w:r>
      <w:r w:rsidR="0068763F">
        <w:rPr>
          <w:lang w:val="en-GB"/>
        </w:rPr>
        <w:t>’s view</w:t>
      </w:r>
      <w:r w:rsidR="00327B9B">
        <w:rPr>
          <w:lang w:val="en-GB"/>
        </w:rPr>
        <w:t xml:space="preserve">, </w:t>
      </w:r>
      <w:r w:rsidR="000331A9">
        <w:rPr>
          <w:lang w:val="en-GB"/>
        </w:rPr>
        <w:t xml:space="preserve">Klausner </w:t>
      </w:r>
      <w:r w:rsidR="00327B9B">
        <w:rPr>
          <w:lang w:val="en-GB"/>
        </w:rPr>
        <w:t>“de-emphasises the dissonances between these groups</w:t>
      </w:r>
      <w:r w:rsidR="00C31172">
        <w:rPr>
          <w:lang w:val="en-GB"/>
        </w:rPr>
        <w:t>”, the</w:t>
      </w:r>
      <w:r w:rsidR="00327B9B">
        <w:rPr>
          <w:lang w:val="en-GB"/>
        </w:rPr>
        <w:t xml:space="preserve"> very dissonances that </w:t>
      </w:r>
      <w:r w:rsidR="00971B1A">
        <w:rPr>
          <w:lang w:val="en-GB"/>
        </w:rPr>
        <w:t>he himself</w:t>
      </w:r>
      <w:r w:rsidR="00327B9B">
        <w:rPr>
          <w:lang w:val="en-GB"/>
        </w:rPr>
        <w:t xml:space="preserve"> seeks to bring to light</w:t>
      </w:r>
      <w:r>
        <w:rPr>
          <w:lang w:val="en-GB"/>
        </w:rPr>
        <w:t>, as expressed in the title of the work</w:t>
      </w:r>
      <w:r w:rsidR="00327B9B">
        <w:rPr>
          <w:lang w:val="en-GB"/>
        </w:rPr>
        <w:t>.</w:t>
      </w:r>
      <w:r w:rsidR="005F441A">
        <w:rPr>
          <w:lang w:val="en-GB"/>
        </w:rPr>
        <w:t xml:space="preserve"> </w:t>
      </w:r>
      <w:r w:rsidR="0070360F">
        <w:rPr>
          <w:lang w:val="en-GB"/>
        </w:rPr>
        <w:t>The results of h</w:t>
      </w:r>
      <w:r>
        <w:rPr>
          <w:lang w:val="en-GB"/>
        </w:rPr>
        <w:t>is</w:t>
      </w:r>
      <w:r w:rsidR="000331A9">
        <w:rPr>
          <w:lang w:val="en-GB"/>
        </w:rPr>
        <w:t xml:space="preserve"> narratological</w:t>
      </w:r>
      <w:r>
        <w:rPr>
          <w:lang w:val="en-GB"/>
        </w:rPr>
        <w:t xml:space="preserve"> method leads him to conclude </w:t>
      </w:r>
      <w:r w:rsidR="005F441A">
        <w:rPr>
          <w:lang w:val="en-GB"/>
        </w:rPr>
        <w:t xml:space="preserve">that, while </w:t>
      </w:r>
      <w:r>
        <w:rPr>
          <w:lang w:val="en-GB"/>
        </w:rPr>
        <w:t xml:space="preserve">the </w:t>
      </w:r>
      <w:r w:rsidR="005F441A">
        <w:rPr>
          <w:lang w:val="en-GB"/>
        </w:rPr>
        <w:t>Welsh poems do not make</w:t>
      </w:r>
      <w:r w:rsidR="00A24EC4">
        <w:rPr>
          <w:lang w:val="en-GB"/>
        </w:rPr>
        <w:t xml:space="preserve"> as much</w:t>
      </w:r>
      <w:r w:rsidR="005F441A">
        <w:rPr>
          <w:lang w:val="en-GB"/>
        </w:rPr>
        <w:t xml:space="preserve"> use of some of the more prominent narrative features of</w:t>
      </w:r>
      <w:r w:rsidR="000331A9">
        <w:rPr>
          <w:lang w:val="en-GB"/>
        </w:rPr>
        <w:t xml:space="preserve"> the equivalent</w:t>
      </w:r>
      <w:r w:rsidR="005F441A">
        <w:rPr>
          <w:lang w:val="en-GB"/>
        </w:rPr>
        <w:t xml:space="preserve"> Old English poe</w:t>
      </w:r>
      <w:r w:rsidR="000331A9">
        <w:rPr>
          <w:lang w:val="en-GB"/>
        </w:rPr>
        <w:t>ms</w:t>
      </w:r>
      <w:r w:rsidR="005F441A">
        <w:rPr>
          <w:lang w:val="en-GB"/>
        </w:rPr>
        <w:t xml:space="preserve">, </w:t>
      </w:r>
      <w:r w:rsidR="002F1F57">
        <w:rPr>
          <w:lang w:val="en-GB"/>
        </w:rPr>
        <w:t>which have “far more progressive narrative currents”</w:t>
      </w:r>
      <w:r w:rsidR="000331A9">
        <w:rPr>
          <w:lang w:val="en-GB"/>
        </w:rPr>
        <w:t>,</w:t>
      </w:r>
      <w:r w:rsidR="002F1F57">
        <w:rPr>
          <w:lang w:val="en-GB"/>
        </w:rPr>
        <w:t xml:space="preserve"> </w:t>
      </w:r>
      <w:r w:rsidR="005F441A">
        <w:rPr>
          <w:lang w:val="en-GB"/>
        </w:rPr>
        <w:t xml:space="preserve">they make use of direct speech, for example, in a more </w:t>
      </w:r>
      <w:r w:rsidR="00A24EC4">
        <w:rPr>
          <w:lang w:val="en-GB"/>
        </w:rPr>
        <w:t xml:space="preserve">narrative-furthering </w:t>
      </w:r>
      <w:r w:rsidR="002F1F57">
        <w:rPr>
          <w:lang w:val="en-GB"/>
        </w:rPr>
        <w:t xml:space="preserve">(and didactic) </w:t>
      </w:r>
      <w:r w:rsidR="00A24EC4">
        <w:rPr>
          <w:lang w:val="en-GB"/>
        </w:rPr>
        <w:t xml:space="preserve">way than the Old English poems with which they are compared. </w:t>
      </w:r>
    </w:p>
    <w:p w14:paraId="1FC511BF" w14:textId="3896A0E0" w:rsidR="00705F80" w:rsidRDefault="002F1F57" w:rsidP="005C211F">
      <w:pPr>
        <w:jc w:val="both"/>
        <w:rPr>
          <w:lang w:val="en-GB"/>
        </w:rPr>
      </w:pPr>
      <w:r>
        <w:rPr>
          <w:lang w:val="en-GB"/>
        </w:rPr>
        <w:lastRenderedPageBreak/>
        <w:t xml:space="preserve">The second chapter addresses </w:t>
      </w:r>
      <w:r w:rsidR="00E842F3">
        <w:rPr>
          <w:lang w:val="en-GB"/>
        </w:rPr>
        <w:t>e</w:t>
      </w:r>
      <w:r>
        <w:rPr>
          <w:lang w:val="en-GB"/>
        </w:rPr>
        <w:t>schat</w:t>
      </w:r>
      <w:r w:rsidR="004A4445">
        <w:rPr>
          <w:lang w:val="en-GB"/>
        </w:rPr>
        <w:t>o</w:t>
      </w:r>
      <w:r>
        <w:rPr>
          <w:lang w:val="en-GB"/>
        </w:rPr>
        <w:t>logical verse relating to the Day of Judg</w:t>
      </w:r>
      <w:r w:rsidR="00C31172">
        <w:rPr>
          <w:lang w:val="en-GB"/>
        </w:rPr>
        <w:t>e</w:t>
      </w:r>
      <w:r>
        <w:rPr>
          <w:lang w:val="en-GB"/>
        </w:rPr>
        <w:t xml:space="preserve">ment. </w:t>
      </w:r>
      <w:r w:rsidR="000F60BF" w:rsidRPr="000F60BF">
        <w:rPr>
          <w:lang w:val="en-GB"/>
        </w:rPr>
        <w:t xml:space="preserve">The Welsh poems </w:t>
      </w:r>
      <w:r w:rsidR="000F60BF" w:rsidRPr="000F60BF">
        <w:rPr>
          <w:i/>
          <w:iCs/>
          <w:lang w:val="en-GB"/>
        </w:rPr>
        <w:t>Arwydon</w:t>
      </w:r>
      <w:r w:rsidR="000F60BF" w:rsidRPr="000F60BF">
        <w:rPr>
          <w:lang w:val="en-GB"/>
        </w:rPr>
        <w:t xml:space="preserve"> and </w:t>
      </w:r>
      <w:r w:rsidR="000F60BF" w:rsidRPr="000F60BF">
        <w:rPr>
          <w:i/>
          <w:iCs/>
          <w:lang w:val="en-GB"/>
        </w:rPr>
        <w:t>Yrymes Detbrawt</w:t>
      </w:r>
      <w:r w:rsidR="000F60BF" w:rsidRPr="000F60BF">
        <w:rPr>
          <w:lang w:val="en-GB"/>
        </w:rPr>
        <w:t xml:space="preserve"> are compared notably with </w:t>
      </w:r>
      <w:r w:rsidR="000F60BF" w:rsidRPr="000F60BF">
        <w:rPr>
          <w:i/>
          <w:iCs/>
          <w:lang w:val="en-GB"/>
        </w:rPr>
        <w:t>Christ III</w:t>
      </w:r>
      <w:r w:rsidR="000F60BF">
        <w:rPr>
          <w:i/>
          <w:iCs/>
          <w:lang w:val="en-GB"/>
        </w:rPr>
        <w:t xml:space="preserve"> </w:t>
      </w:r>
      <w:r w:rsidR="000F60BF" w:rsidRPr="000F60BF">
        <w:rPr>
          <w:lang w:val="en-GB"/>
        </w:rPr>
        <w:t>and</w:t>
      </w:r>
      <w:r w:rsidR="000F60BF">
        <w:rPr>
          <w:i/>
          <w:iCs/>
          <w:lang w:val="en-GB"/>
        </w:rPr>
        <w:t xml:space="preserve"> Judgement Day I</w:t>
      </w:r>
      <w:r w:rsidR="000F60BF" w:rsidRPr="000F60BF">
        <w:rPr>
          <w:lang w:val="en-GB"/>
        </w:rPr>
        <w:t xml:space="preserve">. </w:t>
      </w:r>
      <w:r w:rsidR="00C31172">
        <w:rPr>
          <w:lang w:val="en-GB"/>
        </w:rPr>
        <w:t>Referring to Chase’s Judgement Day narrative model</w:t>
      </w:r>
      <w:r w:rsidR="000401E8">
        <w:rPr>
          <w:lang w:val="en-GB"/>
        </w:rPr>
        <w:t>,</w:t>
      </w:r>
      <w:r w:rsidR="00C31172">
        <w:rPr>
          <w:lang w:val="en-GB"/>
        </w:rPr>
        <w:t xml:space="preserve"> </w:t>
      </w:r>
      <w:r w:rsidR="00E842F3">
        <w:rPr>
          <w:lang w:val="en-GB"/>
        </w:rPr>
        <w:t>Call</w:t>
      </w:r>
      <w:r w:rsidR="00065A90">
        <w:rPr>
          <w:lang w:val="en-GB"/>
        </w:rPr>
        <w:t>a</w:t>
      </w:r>
      <w:r w:rsidR="00E842F3">
        <w:rPr>
          <w:lang w:val="en-GB"/>
        </w:rPr>
        <w:t>nder demonstrates that t</w:t>
      </w:r>
      <w:r w:rsidR="00446210">
        <w:rPr>
          <w:lang w:val="en-GB"/>
        </w:rPr>
        <w:t>he Old English poems use devices such as parallel narratives to cope with the movements in time between, for example, the Crucifixion and the Day of Judgment, building up tension while emphasising the inevitable nature of the Day of Judgment, for example through repetition</w:t>
      </w:r>
      <w:r w:rsidR="000331A9">
        <w:rPr>
          <w:lang w:val="en-GB"/>
        </w:rPr>
        <w:t>. However, t</w:t>
      </w:r>
      <w:r w:rsidR="00446210">
        <w:rPr>
          <w:lang w:val="en-GB"/>
        </w:rPr>
        <w:t>he Welsh poems in this instance show an exceptionally progressive degree of narrative</w:t>
      </w:r>
      <w:r w:rsidR="000F60BF">
        <w:rPr>
          <w:lang w:val="en-GB"/>
        </w:rPr>
        <w:t xml:space="preserve">, which in the case of </w:t>
      </w:r>
      <w:r w:rsidR="000F60BF" w:rsidRPr="000F60BF">
        <w:rPr>
          <w:i/>
          <w:iCs/>
          <w:lang w:val="en-GB"/>
        </w:rPr>
        <w:t>Yrymes Detbrawt</w:t>
      </w:r>
      <w:r w:rsidR="000F60BF" w:rsidRPr="000F60BF">
        <w:rPr>
          <w:lang w:val="en-GB"/>
        </w:rPr>
        <w:t xml:space="preserve"> </w:t>
      </w:r>
      <w:r w:rsidR="000F60BF">
        <w:rPr>
          <w:lang w:val="en-GB"/>
        </w:rPr>
        <w:t xml:space="preserve">does not appear to be influenced by its sources. </w:t>
      </w:r>
      <w:r w:rsidR="00446210">
        <w:rPr>
          <w:lang w:val="en-GB"/>
        </w:rPr>
        <w:t>Call</w:t>
      </w:r>
      <w:r w:rsidR="00065A90">
        <w:rPr>
          <w:lang w:val="en-GB"/>
        </w:rPr>
        <w:t>a</w:t>
      </w:r>
      <w:r w:rsidR="00446210">
        <w:rPr>
          <w:lang w:val="en-GB"/>
        </w:rPr>
        <w:t xml:space="preserve">nder uses these findings to reinforce his proposition that Old English and early Welsh poems are not, as may previously have been thought, mainly characterised by “a divide between progression and </w:t>
      </w:r>
      <w:r w:rsidR="00446210" w:rsidRPr="00E842F3">
        <w:rPr>
          <w:lang w:val="en-GB"/>
        </w:rPr>
        <w:t>stasis</w:t>
      </w:r>
      <w:r w:rsidR="00446210">
        <w:rPr>
          <w:lang w:val="en-GB"/>
        </w:rPr>
        <w:t xml:space="preserve">”. </w:t>
      </w:r>
    </w:p>
    <w:p w14:paraId="66469EBB" w14:textId="5F716316" w:rsidR="00B729C3" w:rsidRDefault="00F7175D" w:rsidP="005C211F">
      <w:pPr>
        <w:jc w:val="both"/>
        <w:rPr>
          <w:lang w:val="en-GB"/>
        </w:rPr>
      </w:pPr>
      <w:r>
        <w:rPr>
          <w:lang w:val="en-GB"/>
        </w:rPr>
        <w:t>In Chapter 3, Call</w:t>
      </w:r>
      <w:r w:rsidR="00065A90">
        <w:rPr>
          <w:lang w:val="en-GB"/>
        </w:rPr>
        <w:t>a</w:t>
      </w:r>
      <w:r>
        <w:rPr>
          <w:lang w:val="en-GB"/>
        </w:rPr>
        <w:t>nd</w:t>
      </w:r>
      <w:r w:rsidR="00C31172">
        <w:rPr>
          <w:lang w:val="en-GB"/>
        </w:rPr>
        <w:t>e</w:t>
      </w:r>
      <w:r>
        <w:rPr>
          <w:lang w:val="en-GB"/>
        </w:rPr>
        <w:t>r focuses on poems that retell Christ’s birth and early years</w:t>
      </w:r>
      <w:r w:rsidR="00CB07E0">
        <w:rPr>
          <w:lang w:val="en-GB"/>
        </w:rPr>
        <w:t xml:space="preserve">, </w:t>
      </w:r>
      <w:r w:rsidR="00394FD0">
        <w:rPr>
          <w:lang w:val="en-GB"/>
        </w:rPr>
        <w:t>examining</w:t>
      </w:r>
      <w:r w:rsidR="00CB07E0">
        <w:rPr>
          <w:lang w:val="en-GB"/>
        </w:rPr>
        <w:t xml:space="preserve"> notably</w:t>
      </w:r>
      <w:r w:rsidR="00394FD0">
        <w:rPr>
          <w:lang w:val="en-GB"/>
        </w:rPr>
        <w:t xml:space="preserve"> the interplay between tense (as a narrative marker, or not) and </w:t>
      </w:r>
      <w:r w:rsidR="00CB07E0">
        <w:rPr>
          <w:lang w:val="en-GB"/>
        </w:rPr>
        <w:t>atemporality</w:t>
      </w:r>
      <w:r w:rsidR="00386B14">
        <w:rPr>
          <w:lang w:val="en-GB"/>
        </w:rPr>
        <w:t>,</w:t>
      </w:r>
      <w:r w:rsidR="00CB07E0">
        <w:rPr>
          <w:lang w:val="en-GB"/>
        </w:rPr>
        <w:t xml:space="preserve"> reflecting </w:t>
      </w:r>
      <w:r w:rsidR="00394FD0">
        <w:rPr>
          <w:lang w:val="en-GB"/>
        </w:rPr>
        <w:t>the tension between the story of Christ’s life and the eternal nature of Christ as the (human-divine) second person of the Trinity.</w:t>
      </w:r>
      <w:r w:rsidR="00790DA2">
        <w:rPr>
          <w:lang w:val="en-GB"/>
        </w:rPr>
        <w:t xml:space="preserve"> </w:t>
      </w:r>
      <w:r w:rsidR="00CB07E0">
        <w:rPr>
          <w:lang w:val="en-GB"/>
        </w:rPr>
        <w:t xml:space="preserve">In </w:t>
      </w:r>
      <w:r w:rsidR="00B729C3" w:rsidRPr="00B729C3">
        <w:rPr>
          <w:lang w:val="en-GB"/>
        </w:rPr>
        <w:t xml:space="preserve">contrast with Wales and France, there </w:t>
      </w:r>
      <w:r w:rsidR="00CB07E0">
        <w:rPr>
          <w:lang w:val="en-GB"/>
        </w:rPr>
        <w:t xml:space="preserve">is a dearth of extant Old </w:t>
      </w:r>
      <w:r w:rsidR="00B729C3" w:rsidRPr="00B729C3">
        <w:rPr>
          <w:lang w:val="en-GB"/>
        </w:rPr>
        <w:t xml:space="preserve">English poetry of the pre-Conquest period that narrates the life of Christ. </w:t>
      </w:r>
      <w:r w:rsidR="00ED5B4B">
        <w:rPr>
          <w:lang w:val="en-GB"/>
        </w:rPr>
        <w:t xml:space="preserve">The Welsh poem </w:t>
      </w:r>
      <w:r w:rsidR="00ED5B4B" w:rsidRPr="00ED5B4B">
        <w:rPr>
          <w:i/>
          <w:iCs/>
          <w:lang w:val="en-GB"/>
        </w:rPr>
        <w:t>Iesu a Mair</w:t>
      </w:r>
      <w:r w:rsidR="00ED5B4B">
        <w:rPr>
          <w:lang w:val="en-GB"/>
        </w:rPr>
        <w:t xml:space="preserve"> is </w:t>
      </w:r>
      <w:r w:rsidR="00F96465">
        <w:rPr>
          <w:lang w:val="en-GB"/>
        </w:rPr>
        <w:t xml:space="preserve">therefore </w:t>
      </w:r>
      <w:r w:rsidR="00ED5B4B">
        <w:rPr>
          <w:lang w:val="en-GB"/>
        </w:rPr>
        <w:t xml:space="preserve">compared with a thirteen century French poem on the same subject, </w:t>
      </w:r>
      <w:r w:rsidR="00ED5B4B" w:rsidRPr="00ED5B4B">
        <w:rPr>
          <w:i/>
          <w:iCs/>
          <w:lang w:val="en-GB"/>
        </w:rPr>
        <w:t>La Vie Nostre Dame</w:t>
      </w:r>
      <w:r w:rsidR="00ED5B4B">
        <w:rPr>
          <w:lang w:val="en-GB"/>
        </w:rPr>
        <w:t>, with which it shows many similarities</w:t>
      </w:r>
      <w:r w:rsidR="00CB07E0">
        <w:rPr>
          <w:lang w:val="en-GB"/>
        </w:rPr>
        <w:t xml:space="preserve"> and some interesting differences</w:t>
      </w:r>
      <w:r w:rsidR="00ED5B4B">
        <w:rPr>
          <w:lang w:val="en-GB"/>
        </w:rPr>
        <w:t xml:space="preserve">. </w:t>
      </w:r>
      <w:r w:rsidR="00B729C3">
        <w:rPr>
          <w:lang w:val="en-GB"/>
        </w:rPr>
        <w:t>A comparison between later English and Welsh poetry (from the 13</w:t>
      </w:r>
      <w:r w:rsidR="00B729C3" w:rsidRPr="00B729C3">
        <w:rPr>
          <w:vertAlign w:val="superscript"/>
          <w:lang w:val="en-GB"/>
        </w:rPr>
        <w:t>th</w:t>
      </w:r>
      <w:r w:rsidR="00B729C3">
        <w:rPr>
          <w:lang w:val="en-GB"/>
        </w:rPr>
        <w:t xml:space="preserve"> century onwards) </w:t>
      </w:r>
      <w:r w:rsidR="009D02FA">
        <w:rPr>
          <w:lang w:val="en-GB"/>
        </w:rPr>
        <w:t xml:space="preserve">notably </w:t>
      </w:r>
      <w:r w:rsidR="009D02FA" w:rsidRPr="009D02FA">
        <w:rPr>
          <w:i/>
          <w:iCs/>
          <w:lang w:val="en-GB"/>
        </w:rPr>
        <w:t>Wolle ye iheren</w:t>
      </w:r>
      <w:r w:rsidR="009D02FA">
        <w:rPr>
          <w:lang w:val="en-GB"/>
        </w:rPr>
        <w:t xml:space="preserve"> and </w:t>
      </w:r>
      <w:r w:rsidR="009D02FA" w:rsidRPr="009D02FA">
        <w:rPr>
          <w:i/>
          <w:iCs/>
          <w:lang w:val="en-GB"/>
        </w:rPr>
        <w:t>Geni Iesu</w:t>
      </w:r>
      <w:r w:rsidR="009D02FA">
        <w:rPr>
          <w:lang w:val="en-GB"/>
        </w:rPr>
        <w:t xml:space="preserve"> shows that both make extensive use of the</w:t>
      </w:r>
      <w:r w:rsidR="00463688">
        <w:rPr>
          <w:lang w:val="en-GB"/>
        </w:rPr>
        <w:t xml:space="preserve"> historic present</w:t>
      </w:r>
      <w:r w:rsidR="009D02FA">
        <w:rPr>
          <w:lang w:val="en-GB"/>
        </w:rPr>
        <w:t xml:space="preserve">, perhaps as a result of the influence of Latin liturgical sources. </w:t>
      </w:r>
    </w:p>
    <w:p w14:paraId="2C7453E1" w14:textId="0DC4FFF0" w:rsidR="00CB07E0" w:rsidRDefault="009D02FA" w:rsidP="00500654">
      <w:pPr>
        <w:jc w:val="both"/>
        <w:rPr>
          <w:lang w:val="en-GB"/>
        </w:rPr>
      </w:pPr>
      <w:r>
        <w:rPr>
          <w:lang w:val="en-GB"/>
        </w:rPr>
        <w:t xml:space="preserve">In the final </w:t>
      </w:r>
      <w:r w:rsidR="00A7085B">
        <w:rPr>
          <w:lang w:val="en-GB"/>
        </w:rPr>
        <w:t>c</w:t>
      </w:r>
      <w:r>
        <w:rPr>
          <w:lang w:val="en-GB"/>
        </w:rPr>
        <w:t xml:space="preserve">hapter, the use of lists and their relationship to narrative are examined with reference to </w:t>
      </w:r>
      <w:r w:rsidR="00A10ACF">
        <w:rPr>
          <w:lang w:val="en-GB"/>
        </w:rPr>
        <w:t>several</w:t>
      </w:r>
      <w:r>
        <w:rPr>
          <w:lang w:val="en-GB"/>
        </w:rPr>
        <w:t xml:space="preserve"> early Welsh poems, of both the </w:t>
      </w:r>
      <w:r w:rsidRPr="00B65D4D">
        <w:rPr>
          <w:i/>
          <w:iCs/>
          <w:lang w:val="en-GB"/>
        </w:rPr>
        <w:t>Eng</w:t>
      </w:r>
      <w:r w:rsidR="00B65D4D" w:rsidRPr="00B65D4D">
        <w:rPr>
          <w:i/>
          <w:iCs/>
          <w:lang w:val="en-GB"/>
        </w:rPr>
        <w:t>l</w:t>
      </w:r>
      <w:r w:rsidRPr="00B65D4D">
        <w:rPr>
          <w:i/>
          <w:iCs/>
          <w:lang w:val="en-GB"/>
        </w:rPr>
        <w:t>y</w:t>
      </w:r>
      <w:r w:rsidR="00B65D4D" w:rsidRPr="00B65D4D">
        <w:rPr>
          <w:i/>
          <w:iCs/>
          <w:lang w:val="en-GB"/>
        </w:rPr>
        <w:t>n</w:t>
      </w:r>
      <w:r w:rsidRPr="00B65D4D">
        <w:rPr>
          <w:i/>
          <w:iCs/>
          <w:lang w:val="en-GB"/>
        </w:rPr>
        <w:t>ion</w:t>
      </w:r>
      <w:r>
        <w:rPr>
          <w:lang w:val="en-GB"/>
        </w:rPr>
        <w:t xml:space="preserve"> (</w:t>
      </w:r>
      <w:r w:rsidR="00B65D4D">
        <w:rPr>
          <w:lang w:val="en-GB"/>
        </w:rPr>
        <w:t xml:space="preserve">e.g. </w:t>
      </w:r>
      <w:r w:rsidRPr="00B65D4D">
        <w:rPr>
          <w:i/>
          <w:iCs/>
          <w:lang w:val="en-GB"/>
        </w:rPr>
        <w:t>Eng</w:t>
      </w:r>
      <w:r w:rsidR="00B65D4D" w:rsidRPr="00B65D4D">
        <w:rPr>
          <w:i/>
          <w:iCs/>
          <w:lang w:val="en-GB"/>
        </w:rPr>
        <w:t>l</w:t>
      </w:r>
      <w:r w:rsidRPr="00B65D4D">
        <w:rPr>
          <w:i/>
          <w:iCs/>
          <w:lang w:val="en-GB"/>
        </w:rPr>
        <w:t>y</w:t>
      </w:r>
      <w:r w:rsidR="00B65D4D" w:rsidRPr="00B65D4D">
        <w:rPr>
          <w:i/>
          <w:iCs/>
          <w:lang w:val="en-GB"/>
        </w:rPr>
        <w:t>n</w:t>
      </w:r>
      <w:r w:rsidRPr="00B65D4D">
        <w:rPr>
          <w:i/>
          <w:iCs/>
          <w:lang w:val="en-GB"/>
        </w:rPr>
        <w:t>ion C</w:t>
      </w:r>
      <w:r w:rsidR="00B65D4D" w:rsidRPr="00B65D4D">
        <w:rPr>
          <w:i/>
          <w:iCs/>
          <w:lang w:val="en-GB"/>
        </w:rPr>
        <w:t>ylchi Cymr</w:t>
      </w:r>
      <w:r w:rsidR="00B65D4D">
        <w:rPr>
          <w:i/>
          <w:iCs/>
          <w:lang w:val="en-GB"/>
        </w:rPr>
        <w:t>u</w:t>
      </w:r>
      <w:r w:rsidR="00B65D4D">
        <w:rPr>
          <w:lang w:val="en-GB"/>
        </w:rPr>
        <w:t>)</w:t>
      </w:r>
      <w:r>
        <w:rPr>
          <w:lang w:val="en-GB"/>
        </w:rPr>
        <w:t xml:space="preserve"> and </w:t>
      </w:r>
      <w:r w:rsidRPr="00B65D4D">
        <w:rPr>
          <w:i/>
          <w:iCs/>
          <w:lang w:val="en-GB"/>
        </w:rPr>
        <w:t>Awdl</w:t>
      </w:r>
      <w:r>
        <w:rPr>
          <w:lang w:val="en-GB"/>
        </w:rPr>
        <w:t xml:space="preserve"> </w:t>
      </w:r>
      <w:r w:rsidR="00B65D4D">
        <w:rPr>
          <w:lang w:val="en-GB"/>
        </w:rPr>
        <w:t xml:space="preserve">(e.g. </w:t>
      </w:r>
      <w:r w:rsidR="00B65D4D" w:rsidRPr="00B65D4D">
        <w:rPr>
          <w:i/>
          <w:iCs/>
          <w:lang w:val="en-GB"/>
        </w:rPr>
        <w:t>awdlau</w:t>
      </w:r>
      <w:r w:rsidR="00B65D4D">
        <w:rPr>
          <w:lang w:val="en-GB"/>
        </w:rPr>
        <w:t xml:space="preserve"> in the </w:t>
      </w:r>
      <w:r w:rsidR="00B65D4D" w:rsidRPr="00B65D4D">
        <w:rPr>
          <w:i/>
          <w:iCs/>
          <w:lang w:val="en-GB"/>
        </w:rPr>
        <w:t>Godo</w:t>
      </w:r>
      <w:r w:rsidR="00A10ACF">
        <w:rPr>
          <w:i/>
          <w:iCs/>
          <w:lang w:val="en-GB"/>
        </w:rPr>
        <w:t>d</w:t>
      </w:r>
      <w:r w:rsidR="00B65D4D" w:rsidRPr="00B65D4D">
        <w:rPr>
          <w:i/>
          <w:iCs/>
          <w:lang w:val="en-GB"/>
        </w:rPr>
        <w:t>din</w:t>
      </w:r>
      <w:r w:rsidR="00B65D4D">
        <w:rPr>
          <w:lang w:val="en-GB"/>
        </w:rPr>
        <w:t xml:space="preserve">) </w:t>
      </w:r>
      <w:r>
        <w:rPr>
          <w:lang w:val="en-GB"/>
        </w:rPr>
        <w:t>type</w:t>
      </w:r>
      <w:r w:rsidR="00B65D4D">
        <w:rPr>
          <w:lang w:val="en-GB"/>
        </w:rPr>
        <w:t xml:space="preserve">. These are compared with Old English catalogue poems such as </w:t>
      </w:r>
      <w:r w:rsidR="00B65D4D" w:rsidRPr="000F60BF">
        <w:rPr>
          <w:i/>
          <w:iCs/>
          <w:lang w:val="en-GB"/>
        </w:rPr>
        <w:t>The Gifts of Men, Precepts</w:t>
      </w:r>
      <w:r w:rsidR="00B65D4D" w:rsidRPr="00B65D4D">
        <w:rPr>
          <w:lang w:val="en-GB"/>
        </w:rPr>
        <w:t xml:space="preserve">, </w:t>
      </w:r>
      <w:r w:rsidR="00B65D4D" w:rsidRPr="00BA4DB6">
        <w:rPr>
          <w:i/>
          <w:iCs/>
          <w:lang w:val="en-GB"/>
        </w:rPr>
        <w:t>Widsith</w:t>
      </w:r>
      <w:r w:rsidR="00B65D4D" w:rsidRPr="00B65D4D">
        <w:rPr>
          <w:lang w:val="en-GB"/>
        </w:rPr>
        <w:t xml:space="preserve">, </w:t>
      </w:r>
      <w:r w:rsidR="00B65D4D" w:rsidRPr="000F60BF">
        <w:rPr>
          <w:i/>
          <w:iCs/>
          <w:lang w:val="en-GB"/>
        </w:rPr>
        <w:t>The Fortunes of Men and Maxims I and II</w:t>
      </w:r>
      <w:r w:rsidR="00B65D4D">
        <w:rPr>
          <w:lang w:val="en-GB"/>
        </w:rPr>
        <w:t xml:space="preserve">. The statistical approach is again used to quantify the use of </w:t>
      </w:r>
      <w:r w:rsidR="00CB07E0">
        <w:rPr>
          <w:lang w:val="en-GB"/>
        </w:rPr>
        <w:t xml:space="preserve">various </w:t>
      </w:r>
      <w:r w:rsidR="00B65D4D">
        <w:rPr>
          <w:lang w:val="en-GB"/>
        </w:rPr>
        <w:t xml:space="preserve">types of narrative sequence. </w:t>
      </w:r>
      <w:r w:rsidR="00B65D4D" w:rsidRPr="00B65D4D">
        <w:rPr>
          <w:i/>
          <w:iCs/>
          <w:lang w:val="en-GB"/>
        </w:rPr>
        <w:t xml:space="preserve">Y </w:t>
      </w:r>
      <w:r w:rsidR="00B65D4D" w:rsidRPr="00F96465">
        <w:rPr>
          <w:i/>
          <w:iCs/>
          <w:lang w:val="en-GB"/>
        </w:rPr>
        <w:t>gofeiss6ys Byt</w:t>
      </w:r>
      <w:r w:rsidR="00B65D4D" w:rsidRPr="00B65D4D">
        <w:rPr>
          <w:lang w:val="en-GB"/>
        </w:rPr>
        <w:t xml:space="preserve"> </w:t>
      </w:r>
      <w:r w:rsidR="00BB08A0">
        <w:rPr>
          <w:lang w:val="en-GB"/>
        </w:rPr>
        <w:t>(</w:t>
      </w:r>
      <w:r w:rsidR="00F96465">
        <w:rPr>
          <w:lang w:val="en-GB"/>
        </w:rPr>
        <w:t>‘the Contrived World’</w:t>
      </w:r>
      <w:r w:rsidR="00BB08A0">
        <w:rPr>
          <w:lang w:val="en-GB"/>
        </w:rPr>
        <w:t xml:space="preserve">, </w:t>
      </w:r>
      <w:r w:rsidR="00B65D4D" w:rsidRPr="00B65D4D">
        <w:rPr>
          <w:lang w:val="en-GB"/>
        </w:rPr>
        <w:t>the first Alexander poem from the B</w:t>
      </w:r>
      <w:r w:rsidR="00B65D4D">
        <w:rPr>
          <w:lang w:val="en-GB"/>
        </w:rPr>
        <w:t xml:space="preserve">ook of Taliesin), </w:t>
      </w:r>
      <w:r w:rsidR="004B67EC">
        <w:rPr>
          <w:lang w:val="en-GB"/>
        </w:rPr>
        <w:t>is highlighted as unusual for its use of its list in a way that Call</w:t>
      </w:r>
      <w:r w:rsidR="003D05BE">
        <w:rPr>
          <w:lang w:val="en-GB"/>
        </w:rPr>
        <w:t>a</w:t>
      </w:r>
      <w:r w:rsidR="004B67EC">
        <w:rPr>
          <w:lang w:val="en-GB"/>
        </w:rPr>
        <w:t xml:space="preserve">nder characterises as unparalleled in any other early Welsh poem, perhaps as a result of the influence of its source (Orosius). </w:t>
      </w:r>
    </w:p>
    <w:p w14:paraId="1EDF1507" w14:textId="526A2B4C" w:rsidR="00091BC4" w:rsidRDefault="00500654" w:rsidP="005C211F">
      <w:pPr>
        <w:jc w:val="both"/>
        <w:rPr>
          <w:lang w:val="en-GB"/>
        </w:rPr>
      </w:pPr>
      <w:r>
        <w:rPr>
          <w:lang w:val="en-GB"/>
        </w:rPr>
        <w:t>David Call</w:t>
      </w:r>
      <w:r w:rsidR="00065A90">
        <w:rPr>
          <w:lang w:val="en-GB"/>
        </w:rPr>
        <w:t>a</w:t>
      </w:r>
      <w:r>
        <w:rPr>
          <w:lang w:val="en-GB"/>
        </w:rPr>
        <w:t xml:space="preserve">nder’s ambitious </w:t>
      </w:r>
      <w:r w:rsidR="00BB08A0">
        <w:rPr>
          <w:lang w:val="en-GB"/>
        </w:rPr>
        <w:t xml:space="preserve">but readable </w:t>
      </w:r>
      <w:r>
        <w:rPr>
          <w:lang w:val="en-GB"/>
        </w:rPr>
        <w:t>book is notable for its explicit approach to methodology and in terms of the</w:t>
      </w:r>
      <w:r w:rsidR="006D6820">
        <w:rPr>
          <w:lang w:val="en-GB"/>
        </w:rPr>
        <w:t xml:space="preserve"> e</w:t>
      </w:r>
      <w:r w:rsidR="00065A90">
        <w:rPr>
          <w:lang w:val="en-GB"/>
        </w:rPr>
        <w:t>x</w:t>
      </w:r>
      <w:r w:rsidR="006D6820">
        <w:rPr>
          <w:lang w:val="en-GB"/>
        </w:rPr>
        <w:t>plicit</w:t>
      </w:r>
      <w:r>
        <w:rPr>
          <w:lang w:val="en-GB"/>
        </w:rPr>
        <w:t xml:space="preserve"> formulation of his aims. He sets out</w:t>
      </w:r>
      <w:r w:rsidR="00DD497C">
        <w:rPr>
          <w:lang w:val="en-GB"/>
        </w:rPr>
        <w:t xml:space="preserve"> notably</w:t>
      </w:r>
      <w:r>
        <w:rPr>
          <w:lang w:val="en-GB"/>
        </w:rPr>
        <w:t xml:space="preserve"> to prove that Welsh narrative poetry exists </w:t>
      </w:r>
      <w:r w:rsidR="00A048A6">
        <w:rPr>
          <w:lang w:val="en-GB"/>
        </w:rPr>
        <w:t>and</w:t>
      </w:r>
      <w:r w:rsidR="00BA4DB6">
        <w:rPr>
          <w:lang w:val="en-GB"/>
        </w:rPr>
        <w:t xml:space="preserve"> in this he can be said to have been successful</w:t>
      </w:r>
      <w:r w:rsidR="008F7F3B" w:rsidRPr="008F7F3B">
        <w:rPr>
          <w:lang w:val="en-GB"/>
        </w:rPr>
        <w:t>. Nor, despite his use of narrative theory and statistics, does David Callander part company with the more classic tradition of Welsh scholarship; he takes into account the role of sources, historical context and the poet’s particular place in Welsh society, adding a contextual layer to his textual analysis of the poems he examines in this book.</w:t>
      </w:r>
      <w:r w:rsidR="008F7F3B">
        <w:rPr>
          <w:lang w:val="en-GB"/>
        </w:rPr>
        <w:t xml:space="preserve"> </w:t>
      </w:r>
      <w:r w:rsidR="00091BC4" w:rsidRPr="00091BC4">
        <w:rPr>
          <w:lang w:val="en-GB"/>
        </w:rPr>
        <w:t xml:space="preserve">His transverse approach to </w:t>
      </w:r>
      <w:r w:rsidR="00091BC4">
        <w:rPr>
          <w:lang w:val="en-GB"/>
        </w:rPr>
        <w:t xml:space="preserve">poetic </w:t>
      </w:r>
      <w:r w:rsidR="00091BC4" w:rsidRPr="00091BC4">
        <w:rPr>
          <w:lang w:val="en-GB"/>
        </w:rPr>
        <w:t>genre - he notes that there has been little comparative criticism of Welsh battle poems, in particular, beyond the typological approach of Chadwick, H.M. and Chadwick Nora K.</w:t>
      </w:r>
      <w:r w:rsidR="009D1283">
        <w:rPr>
          <w:lang w:val="en-GB"/>
        </w:rPr>
        <w:t xml:space="preserve"> (Chadwick and Chadwick 1932)</w:t>
      </w:r>
      <w:r w:rsidR="00091BC4" w:rsidRPr="00091BC4">
        <w:rPr>
          <w:lang w:val="en-GB"/>
        </w:rPr>
        <w:t xml:space="preserve"> – will perhaps provide an impetus for further deconstruction of traditional Welsh poetic categories. </w:t>
      </w:r>
    </w:p>
    <w:p w14:paraId="776A7674" w14:textId="06FFDABB" w:rsidR="00C7432B" w:rsidRDefault="005F441A" w:rsidP="005C211F">
      <w:pPr>
        <w:jc w:val="both"/>
        <w:rPr>
          <w:lang w:val="en-GB"/>
        </w:rPr>
      </w:pPr>
      <w:r w:rsidRPr="005F441A">
        <w:rPr>
          <w:lang w:val="en-GB"/>
        </w:rPr>
        <w:t xml:space="preserve">At the end of the Introduction, </w:t>
      </w:r>
      <w:r w:rsidR="00BA4DB6">
        <w:rPr>
          <w:lang w:val="en-GB"/>
        </w:rPr>
        <w:t>the author</w:t>
      </w:r>
      <w:r w:rsidRPr="005F441A">
        <w:rPr>
          <w:lang w:val="en-GB"/>
        </w:rPr>
        <w:t xml:space="preserve"> provides a glossary of the terms used in his model to identify principally the various types of narrative sequence he identifies in his investigation. </w:t>
      </w:r>
      <w:r w:rsidR="00BA4DB6">
        <w:rPr>
          <w:lang w:val="en-GB"/>
        </w:rPr>
        <w:t xml:space="preserve">He also provides </w:t>
      </w:r>
      <w:r w:rsidR="00EC27DA" w:rsidRPr="00EC27DA">
        <w:rPr>
          <w:lang w:val="en-GB"/>
        </w:rPr>
        <w:t xml:space="preserve">in the Appendices </w:t>
      </w:r>
      <w:r w:rsidR="00DD497C">
        <w:rPr>
          <w:lang w:val="en-GB"/>
        </w:rPr>
        <w:t xml:space="preserve">full </w:t>
      </w:r>
      <w:r w:rsidR="005C211F">
        <w:rPr>
          <w:lang w:val="en-GB"/>
        </w:rPr>
        <w:t>texts and translations</w:t>
      </w:r>
      <w:r w:rsidR="00DD497C">
        <w:rPr>
          <w:lang w:val="en-GB"/>
        </w:rPr>
        <w:t xml:space="preserve"> (his own)</w:t>
      </w:r>
      <w:r w:rsidR="005C211F">
        <w:rPr>
          <w:lang w:val="en-GB"/>
        </w:rPr>
        <w:t xml:space="preserve"> </w:t>
      </w:r>
      <w:r w:rsidR="00EC27DA">
        <w:rPr>
          <w:lang w:val="en-GB"/>
        </w:rPr>
        <w:t xml:space="preserve">of the main poems examined in the book. </w:t>
      </w:r>
    </w:p>
    <w:p w14:paraId="2076DBE7" w14:textId="77777777" w:rsidR="00FD01C8" w:rsidRDefault="00FD01C8" w:rsidP="005C211F">
      <w:pPr>
        <w:jc w:val="both"/>
        <w:rPr>
          <w:lang w:val="en-GB"/>
        </w:rPr>
      </w:pPr>
    </w:p>
    <w:p w14:paraId="58F1B11B" w14:textId="77777777" w:rsidR="00C023B6" w:rsidRPr="00C023B6" w:rsidRDefault="00C023B6" w:rsidP="00C023B6">
      <w:pPr>
        <w:ind w:left="7080" w:firstLine="708"/>
        <w:jc w:val="both"/>
        <w:rPr>
          <w:lang w:val="en-GB"/>
        </w:rPr>
      </w:pPr>
      <w:r w:rsidRPr="00C023B6">
        <w:rPr>
          <w:lang w:val="en-GB"/>
        </w:rPr>
        <w:t>Ruth Griffiths</w:t>
      </w:r>
    </w:p>
    <w:p w14:paraId="07365777" w14:textId="6D5259C1" w:rsidR="00246B5A" w:rsidRDefault="00246B5A">
      <w:pPr>
        <w:rPr>
          <w:lang w:val="en-GB"/>
        </w:rPr>
      </w:pPr>
      <w:r>
        <w:rPr>
          <w:lang w:val="en-GB"/>
        </w:rPr>
        <w:br w:type="page"/>
      </w:r>
    </w:p>
    <w:p w14:paraId="6D206CD5" w14:textId="77777777" w:rsidR="00295A03" w:rsidRPr="00295A03" w:rsidRDefault="00295A03" w:rsidP="00295A03">
      <w:pPr>
        <w:jc w:val="both"/>
        <w:rPr>
          <w:lang w:val="en-GB"/>
        </w:rPr>
      </w:pPr>
      <w:r w:rsidRPr="00295A03">
        <w:rPr>
          <w:lang w:val="en-GB"/>
        </w:rPr>
        <w:lastRenderedPageBreak/>
        <w:t>Entry for the Encyclopedia of Celtic Culture</w:t>
      </w:r>
    </w:p>
    <w:p w14:paraId="0FFC069E" w14:textId="77777777" w:rsidR="00295A03" w:rsidRPr="00295A03" w:rsidRDefault="00295A03" w:rsidP="00295A03">
      <w:pPr>
        <w:jc w:val="both"/>
        <w:rPr>
          <w:b/>
          <w:bCs/>
          <w:lang w:val="en-GB"/>
        </w:rPr>
      </w:pPr>
      <w:r w:rsidRPr="00295A03">
        <w:rPr>
          <w:b/>
          <w:bCs/>
          <w:lang w:val="en-GB"/>
        </w:rPr>
        <w:t>Beasts of Battle in early Welsh poetry</w:t>
      </w:r>
    </w:p>
    <w:p w14:paraId="529689C7" w14:textId="77777777" w:rsidR="00295A03" w:rsidRPr="00295A03" w:rsidRDefault="00295A03" w:rsidP="00295A03">
      <w:pPr>
        <w:jc w:val="both"/>
        <w:rPr>
          <w:lang w:val="en-GB"/>
        </w:rPr>
      </w:pPr>
      <w:r w:rsidRPr="00295A03">
        <w:rPr>
          <w:lang w:val="en-GB"/>
        </w:rPr>
        <w:t xml:space="preserve">The core Beasts of Battle are the </w:t>
      </w:r>
      <w:r w:rsidRPr="00295A03">
        <w:rPr>
          <w:b/>
          <w:bCs/>
          <w:lang w:val="en-GB"/>
        </w:rPr>
        <w:t>Raven</w:t>
      </w:r>
      <w:r w:rsidRPr="00295A03">
        <w:rPr>
          <w:lang w:val="en-GB"/>
        </w:rPr>
        <w:t xml:space="preserve">, the </w:t>
      </w:r>
      <w:r w:rsidRPr="00295A03">
        <w:rPr>
          <w:b/>
          <w:bCs/>
          <w:lang w:val="en-GB"/>
        </w:rPr>
        <w:t>Eagle</w:t>
      </w:r>
      <w:r w:rsidRPr="00295A03">
        <w:rPr>
          <w:lang w:val="en-GB"/>
        </w:rPr>
        <w:t xml:space="preserve"> and the </w:t>
      </w:r>
      <w:r w:rsidRPr="00295A03">
        <w:rPr>
          <w:b/>
          <w:bCs/>
          <w:lang w:val="en-GB"/>
        </w:rPr>
        <w:t>Wolf</w:t>
      </w:r>
      <w:r w:rsidRPr="00295A03">
        <w:rPr>
          <w:lang w:val="en-GB"/>
        </w:rPr>
        <w:t xml:space="preserve">. In Old English poetry they often appear together, as in lines 60-5a of </w:t>
      </w:r>
      <w:r w:rsidRPr="00295A03">
        <w:rPr>
          <w:i/>
          <w:iCs/>
          <w:lang w:val="en-GB"/>
        </w:rPr>
        <w:t>The Battle of Brunanburh,</w:t>
      </w:r>
      <w:r w:rsidRPr="00295A03">
        <w:rPr>
          <w:lang w:val="en-GB"/>
        </w:rPr>
        <w:t xml:space="preserve"> composed between the date of the battle in 947 AD and the early 13</w:t>
      </w:r>
      <w:r w:rsidRPr="00295A03">
        <w:rPr>
          <w:vertAlign w:val="superscript"/>
          <w:lang w:val="en-GB"/>
        </w:rPr>
        <w:t>th</w:t>
      </w:r>
      <w:r w:rsidRPr="00295A03">
        <w:rPr>
          <w:lang w:val="en-GB"/>
        </w:rPr>
        <w:t xml:space="preserve"> century: </w:t>
      </w:r>
    </w:p>
    <w:p w14:paraId="743081D7" w14:textId="77777777" w:rsidR="00295A03" w:rsidRPr="00295A03" w:rsidRDefault="00295A03" w:rsidP="00295A03">
      <w:pPr>
        <w:jc w:val="both"/>
        <w:rPr>
          <w:i/>
          <w:iCs/>
          <w:lang w:val="en-GB"/>
        </w:rPr>
      </w:pPr>
      <w:r w:rsidRPr="00295A03">
        <w:rPr>
          <w:i/>
          <w:iCs/>
          <w:lang w:val="en-GB"/>
        </w:rPr>
        <w:t>‘They left behind them to share the corpses</w:t>
      </w:r>
    </w:p>
    <w:p w14:paraId="03F1FA30" w14:textId="77777777" w:rsidR="00295A03" w:rsidRPr="00295A03" w:rsidRDefault="00295A03" w:rsidP="00295A03">
      <w:pPr>
        <w:jc w:val="both"/>
        <w:rPr>
          <w:i/>
          <w:iCs/>
          <w:lang w:val="en-GB"/>
        </w:rPr>
      </w:pPr>
      <w:r w:rsidRPr="00295A03">
        <w:rPr>
          <w:i/>
          <w:iCs/>
          <w:lang w:val="en-GB"/>
        </w:rPr>
        <w:t xml:space="preserve">the dark-coated one, the black </w:t>
      </w:r>
      <w:r w:rsidRPr="00295A03">
        <w:rPr>
          <w:b/>
          <w:bCs/>
          <w:i/>
          <w:iCs/>
          <w:lang w:val="en-GB"/>
        </w:rPr>
        <w:t>raven</w:t>
      </w:r>
    </w:p>
    <w:p w14:paraId="7517B842" w14:textId="77777777" w:rsidR="00295A03" w:rsidRPr="00295A03" w:rsidRDefault="00295A03" w:rsidP="00295A03">
      <w:pPr>
        <w:jc w:val="both"/>
        <w:rPr>
          <w:i/>
          <w:iCs/>
          <w:lang w:val="en-GB"/>
        </w:rPr>
      </w:pPr>
      <w:r w:rsidRPr="00295A03">
        <w:rPr>
          <w:i/>
          <w:iCs/>
          <w:lang w:val="en-GB"/>
        </w:rPr>
        <w:t xml:space="preserve">with the horned bill, and the dusky-coated one, </w:t>
      </w:r>
    </w:p>
    <w:p w14:paraId="2A04BE5A" w14:textId="77777777" w:rsidR="00295A03" w:rsidRPr="00295A03" w:rsidRDefault="00295A03" w:rsidP="00295A03">
      <w:pPr>
        <w:jc w:val="both"/>
        <w:rPr>
          <w:i/>
          <w:iCs/>
          <w:lang w:val="en-GB"/>
        </w:rPr>
      </w:pPr>
      <w:r w:rsidRPr="00295A03">
        <w:rPr>
          <w:i/>
          <w:iCs/>
          <w:lang w:val="en-GB"/>
        </w:rPr>
        <w:t xml:space="preserve">the white-tailed </w:t>
      </w:r>
      <w:r w:rsidRPr="00295A03">
        <w:rPr>
          <w:b/>
          <w:bCs/>
          <w:i/>
          <w:iCs/>
          <w:lang w:val="en-GB"/>
        </w:rPr>
        <w:t>eagle</w:t>
      </w:r>
      <w:r w:rsidRPr="00295A03">
        <w:rPr>
          <w:i/>
          <w:iCs/>
          <w:lang w:val="en-GB"/>
        </w:rPr>
        <w:t>, the greedy war-hawk,</w:t>
      </w:r>
    </w:p>
    <w:p w14:paraId="13075EA3" w14:textId="77777777" w:rsidR="00295A03" w:rsidRPr="00295A03" w:rsidRDefault="00295A03" w:rsidP="00295A03">
      <w:pPr>
        <w:jc w:val="both"/>
        <w:rPr>
          <w:i/>
          <w:iCs/>
          <w:lang w:val="en-GB"/>
        </w:rPr>
      </w:pPr>
      <w:r w:rsidRPr="00295A03">
        <w:rPr>
          <w:i/>
          <w:iCs/>
          <w:lang w:val="en-GB"/>
        </w:rPr>
        <w:t>to enjoy the carrion, and that grey beast,</w:t>
      </w:r>
    </w:p>
    <w:p w14:paraId="1CC641D3" w14:textId="77777777" w:rsidR="00295A03" w:rsidRPr="00295A03" w:rsidRDefault="00295A03" w:rsidP="00295A03">
      <w:pPr>
        <w:jc w:val="both"/>
        <w:rPr>
          <w:lang w:val="en-GB"/>
        </w:rPr>
      </w:pPr>
      <w:r w:rsidRPr="00295A03">
        <w:rPr>
          <w:i/>
          <w:iCs/>
          <w:lang w:val="en-GB"/>
        </w:rPr>
        <w:t xml:space="preserve">the </w:t>
      </w:r>
      <w:r w:rsidRPr="00295A03">
        <w:rPr>
          <w:b/>
          <w:bCs/>
          <w:i/>
          <w:iCs/>
          <w:lang w:val="en-GB"/>
        </w:rPr>
        <w:t>wolf</w:t>
      </w:r>
      <w:r w:rsidRPr="00295A03">
        <w:rPr>
          <w:i/>
          <w:iCs/>
          <w:lang w:val="en-GB"/>
        </w:rPr>
        <w:t xml:space="preserve"> in the forest</w:t>
      </w:r>
      <w:r w:rsidRPr="00295A03">
        <w:rPr>
          <w:lang w:val="en-GB"/>
        </w:rPr>
        <w:t xml:space="preserve">.’ </w:t>
      </w:r>
    </w:p>
    <w:p w14:paraId="7CD7EE60" w14:textId="77777777" w:rsidR="00295A03" w:rsidRPr="00295A03" w:rsidRDefault="00295A03" w:rsidP="00295A03">
      <w:pPr>
        <w:jc w:val="both"/>
        <w:rPr>
          <w:lang w:val="en-GB"/>
        </w:rPr>
      </w:pPr>
    </w:p>
    <w:p w14:paraId="02E0D7F5" w14:textId="77777777" w:rsidR="00295A03" w:rsidRPr="00295A03" w:rsidRDefault="00295A03" w:rsidP="00295A03">
      <w:pPr>
        <w:jc w:val="both"/>
        <w:rPr>
          <w:lang w:val="en-GB"/>
        </w:rPr>
      </w:pPr>
      <w:r w:rsidRPr="00295A03">
        <w:rPr>
          <w:lang w:val="en-GB"/>
        </w:rPr>
        <w:t xml:space="preserve">This excerpt illustrates the three main elements in the Old English topos: more than one beast, a verb of eating or sharing food, and a verb of enjoyment or anticipation.  </w:t>
      </w:r>
    </w:p>
    <w:p w14:paraId="06C987E2" w14:textId="77777777" w:rsidR="00295A03" w:rsidRPr="00295A03" w:rsidRDefault="00295A03" w:rsidP="00295A03">
      <w:pPr>
        <w:jc w:val="both"/>
        <w:rPr>
          <w:lang w:val="en-GB"/>
        </w:rPr>
      </w:pPr>
      <w:r w:rsidRPr="00295A03">
        <w:rPr>
          <w:lang w:val="en-GB"/>
        </w:rPr>
        <w:t xml:space="preserve">In early WELSH POETRY, the beasts generally appear individually rather than together. The warrior is often described, after his death, as having fed the birds in battle by slaying his enemy. In the GODODDIN, the trope occurs several times: </w:t>
      </w:r>
      <w:r w:rsidRPr="00295A03">
        <w:rPr>
          <w:i/>
          <w:iCs/>
          <w:lang w:val="en-GB"/>
        </w:rPr>
        <w:t>Bwyd i eryr erysmygai</w:t>
      </w:r>
      <w:r w:rsidRPr="00295A03">
        <w:rPr>
          <w:lang w:val="en-GB"/>
        </w:rPr>
        <w:t xml:space="preserve"> ‘He made food for </w:t>
      </w:r>
      <w:r w:rsidRPr="00295A03">
        <w:rPr>
          <w:b/>
          <w:bCs/>
          <w:lang w:val="en-GB"/>
        </w:rPr>
        <w:t>eagles</w:t>
      </w:r>
      <w:r w:rsidRPr="00295A03">
        <w:rPr>
          <w:lang w:val="en-GB"/>
        </w:rPr>
        <w:t xml:space="preserve">’ (lines 214-5) and again, in line 630, </w:t>
      </w:r>
      <w:bookmarkStart w:id="1" w:name="_Hlk34743431"/>
      <w:r w:rsidRPr="00295A03">
        <w:rPr>
          <w:i/>
          <w:iCs/>
          <w:lang w:val="en-GB"/>
        </w:rPr>
        <w:t>Rhifesid ei loflen pen eryron llwyd; Yn annwyd gworeu bwyd I sglyfon</w:t>
      </w:r>
      <w:r w:rsidRPr="00295A03">
        <w:rPr>
          <w:lang w:val="en-GB"/>
        </w:rPr>
        <w:t xml:space="preserve"> ‘The beaks of grey </w:t>
      </w:r>
      <w:r w:rsidRPr="00295A03">
        <w:rPr>
          <w:b/>
          <w:bCs/>
          <w:lang w:val="en-GB"/>
        </w:rPr>
        <w:t xml:space="preserve">eagles </w:t>
      </w:r>
      <w:r w:rsidRPr="00295A03">
        <w:rPr>
          <w:lang w:val="en-GB"/>
        </w:rPr>
        <w:t>esteemed his hand</w:t>
      </w:r>
      <w:bookmarkEnd w:id="1"/>
      <w:r w:rsidRPr="00295A03">
        <w:rPr>
          <w:lang w:val="en-GB"/>
        </w:rPr>
        <w:t xml:space="preserve">, in his fury he fed birds of prey.’ In lines 970-1, </w:t>
      </w:r>
      <w:r w:rsidRPr="00295A03">
        <w:rPr>
          <w:i/>
          <w:iCs/>
          <w:lang w:val="en-GB"/>
        </w:rPr>
        <w:t xml:space="preserve">Gwawrddur, </w:t>
      </w:r>
      <w:r w:rsidRPr="00295A03">
        <w:rPr>
          <w:lang w:val="en-GB"/>
        </w:rPr>
        <w:t>it is said</w:t>
      </w:r>
      <w:r w:rsidRPr="00295A03">
        <w:rPr>
          <w:i/>
          <w:iCs/>
          <w:lang w:val="en-GB"/>
        </w:rPr>
        <w:t>, Gochorai brain du ar fur caer Cyn ni bai ef Arthur</w:t>
      </w:r>
      <w:r w:rsidRPr="00295A03">
        <w:rPr>
          <w:lang w:val="en-GB"/>
        </w:rPr>
        <w:t xml:space="preserve"> ‘fed black </w:t>
      </w:r>
      <w:r w:rsidRPr="00295A03">
        <w:rPr>
          <w:b/>
          <w:bCs/>
          <w:lang w:val="en-GB"/>
        </w:rPr>
        <w:t>ravens</w:t>
      </w:r>
      <w:r w:rsidRPr="00295A03">
        <w:rPr>
          <w:lang w:val="en-GB"/>
        </w:rPr>
        <w:t xml:space="preserve"> on the rampart of a fortress, though he was no ARTHUR’.  In the </w:t>
      </w:r>
      <w:r w:rsidRPr="00295A03">
        <w:rPr>
          <w:i/>
          <w:iCs/>
          <w:lang w:val="en-GB"/>
        </w:rPr>
        <w:t>Gorchan Cynfelyn,</w:t>
      </w:r>
      <w:r w:rsidRPr="00295A03">
        <w:rPr>
          <w:lang w:val="en-GB"/>
        </w:rPr>
        <w:t xml:space="preserve"> the warrior is referred to as </w:t>
      </w:r>
      <w:r w:rsidRPr="00295A03">
        <w:rPr>
          <w:i/>
          <w:iCs/>
          <w:lang w:val="en-GB"/>
        </w:rPr>
        <w:t>Goborthiad adar Ar ddynin adwyar</w:t>
      </w:r>
      <w:r w:rsidRPr="00295A03">
        <w:rPr>
          <w:lang w:val="en-GB"/>
        </w:rPr>
        <w:t xml:space="preserve"> ‘feeder of birds on bloody corpses’. </w:t>
      </w:r>
    </w:p>
    <w:p w14:paraId="7C6E8D37" w14:textId="77777777" w:rsidR="00295A03" w:rsidRPr="00295A03" w:rsidRDefault="00295A03" w:rsidP="00295A03">
      <w:pPr>
        <w:jc w:val="both"/>
        <w:rPr>
          <w:lang w:val="en-GB"/>
        </w:rPr>
      </w:pPr>
      <w:r w:rsidRPr="00295A03">
        <w:rPr>
          <w:lang w:val="en-GB"/>
        </w:rPr>
        <w:t xml:space="preserve">In lines 25-26 of the GODODDIN, Ywain is described as </w:t>
      </w:r>
      <w:r w:rsidRPr="00295A03">
        <w:rPr>
          <w:i/>
          <w:iCs/>
          <w:lang w:val="en-GB"/>
        </w:rPr>
        <w:t>Cynt I fwyd brain Nog I argyfrain</w:t>
      </w:r>
      <w:r w:rsidRPr="00295A03">
        <w:rPr>
          <w:lang w:val="en-GB"/>
        </w:rPr>
        <w:t xml:space="preserve"> ‘Quicker to the </w:t>
      </w:r>
      <w:r w:rsidRPr="00295A03">
        <w:rPr>
          <w:b/>
          <w:bCs/>
          <w:lang w:val="en-GB"/>
        </w:rPr>
        <w:t>raven’s</w:t>
      </w:r>
      <w:r w:rsidRPr="00295A03">
        <w:rPr>
          <w:lang w:val="en-GB"/>
        </w:rPr>
        <w:t xml:space="preserve"> feast than to a burial’. This has also been interpreted (in K. Jackson’s translation) as ‘He would soon have been food for ravens than get due burial’. However, the same simile is used in relation to wolves in lines 65 and 66, where </w:t>
      </w:r>
      <w:r w:rsidRPr="00295A03">
        <w:rPr>
          <w:i/>
          <w:iCs/>
          <w:lang w:val="en-GB"/>
        </w:rPr>
        <w:t>Hyfaidd Hir</w:t>
      </w:r>
      <w:r w:rsidRPr="00295A03">
        <w:rPr>
          <w:lang w:val="en-GB"/>
        </w:rPr>
        <w:t xml:space="preserve"> is described as </w:t>
      </w:r>
      <w:r w:rsidRPr="00295A03">
        <w:rPr>
          <w:i/>
          <w:iCs/>
          <w:lang w:val="en-GB"/>
        </w:rPr>
        <w:t>Cynt I gig blaidd nogyd I neithiawr, Cynt i fudd brân nogyd i allawr</w:t>
      </w:r>
      <w:r w:rsidRPr="00295A03">
        <w:rPr>
          <w:lang w:val="en-GB"/>
        </w:rPr>
        <w:t xml:space="preserve"> ‘Quicker to a </w:t>
      </w:r>
      <w:r w:rsidRPr="00295A03">
        <w:rPr>
          <w:b/>
          <w:bCs/>
          <w:lang w:val="en-GB"/>
        </w:rPr>
        <w:t>wolf-feast</w:t>
      </w:r>
      <w:r w:rsidRPr="00295A03">
        <w:rPr>
          <w:lang w:val="en-GB"/>
        </w:rPr>
        <w:t xml:space="preserve"> than to a nuptial, Quicker to the </w:t>
      </w:r>
      <w:r w:rsidRPr="00295A03">
        <w:rPr>
          <w:b/>
          <w:bCs/>
          <w:lang w:val="en-GB"/>
        </w:rPr>
        <w:t>raven’s</w:t>
      </w:r>
      <w:r w:rsidRPr="00295A03">
        <w:rPr>
          <w:lang w:val="en-GB"/>
        </w:rPr>
        <w:t xml:space="preserve"> gain than to the altar’, suggesting that he would rather go into battle to kill (rather than be killed) than marry. </w:t>
      </w:r>
    </w:p>
    <w:p w14:paraId="382C7CF2" w14:textId="77777777" w:rsidR="00295A03" w:rsidRPr="00295A03" w:rsidRDefault="00295A03" w:rsidP="00295A03">
      <w:pPr>
        <w:jc w:val="both"/>
        <w:rPr>
          <w:lang w:val="en-GB"/>
        </w:rPr>
      </w:pPr>
      <w:r w:rsidRPr="00295A03">
        <w:rPr>
          <w:lang w:val="en-GB"/>
        </w:rPr>
        <w:t xml:space="preserve">This idea is also present In the Saga poems (e.g. </w:t>
      </w:r>
      <w:r w:rsidRPr="00295A03">
        <w:rPr>
          <w:i/>
          <w:iCs/>
          <w:lang w:val="en-GB"/>
        </w:rPr>
        <w:t>Englynion Cadwallon</w:t>
      </w:r>
      <w:r w:rsidRPr="00295A03">
        <w:rPr>
          <w:lang w:val="en-GB"/>
        </w:rPr>
        <w:t xml:space="preserve">, stanza 14: </w:t>
      </w:r>
      <w:r w:rsidRPr="00295A03">
        <w:rPr>
          <w:i/>
          <w:iCs/>
          <w:lang w:val="en-GB"/>
        </w:rPr>
        <w:t>gnaeth eryron y llawn. gwedy trin dynineu dawn</w:t>
      </w:r>
      <w:r w:rsidRPr="00295A03">
        <w:rPr>
          <w:lang w:val="en-GB"/>
        </w:rPr>
        <w:t xml:space="preserve"> ‘he made </w:t>
      </w:r>
      <w:r w:rsidRPr="00295A03">
        <w:rPr>
          <w:b/>
          <w:bCs/>
          <w:lang w:val="en-GB"/>
        </w:rPr>
        <w:t>eagles</w:t>
      </w:r>
      <w:r w:rsidRPr="00295A03">
        <w:rPr>
          <w:lang w:val="en-GB"/>
        </w:rPr>
        <w:t xml:space="preserve"> full; after battle corpses were their reward’ and in the </w:t>
      </w:r>
      <w:r w:rsidRPr="00295A03">
        <w:rPr>
          <w:i/>
          <w:iCs/>
          <w:lang w:val="en-GB"/>
        </w:rPr>
        <w:t>Marwnad</w:t>
      </w:r>
      <w:r w:rsidRPr="00295A03">
        <w:rPr>
          <w:lang w:val="en-GB"/>
        </w:rPr>
        <w:t xml:space="preserve"> </w:t>
      </w:r>
      <w:r w:rsidRPr="00295A03">
        <w:rPr>
          <w:i/>
          <w:iCs/>
          <w:lang w:val="en-GB"/>
        </w:rPr>
        <w:t xml:space="preserve">Cynddylan </w:t>
      </w:r>
      <w:r w:rsidRPr="00295A03">
        <w:rPr>
          <w:lang w:val="en-GB"/>
        </w:rPr>
        <w:t>(an AWDL</w:t>
      </w:r>
      <w:r w:rsidRPr="00295A03">
        <w:rPr>
          <w:i/>
          <w:iCs/>
          <w:lang w:val="en-GB"/>
        </w:rPr>
        <w:t xml:space="preserve"> </w:t>
      </w:r>
      <w:r w:rsidRPr="00295A03">
        <w:rPr>
          <w:lang w:val="en-GB"/>
        </w:rPr>
        <w:t xml:space="preserve">poem), where CYNDDYLAN’s men </w:t>
      </w:r>
      <w:r w:rsidRPr="00295A03">
        <w:rPr>
          <w:i/>
          <w:iCs/>
          <w:lang w:val="en-GB"/>
        </w:rPr>
        <w:t>neis digonsyn crau y dan brain</w:t>
      </w:r>
      <w:r w:rsidRPr="00295A03">
        <w:rPr>
          <w:lang w:val="en-GB"/>
        </w:rPr>
        <w:t xml:space="preserve"> ‘caused gore under r</w:t>
      </w:r>
      <w:r w:rsidRPr="00295A03">
        <w:rPr>
          <w:b/>
          <w:bCs/>
          <w:lang w:val="en-GB"/>
        </w:rPr>
        <w:t>avens</w:t>
      </w:r>
      <w:r w:rsidRPr="00295A03">
        <w:rPr>
          <w:lang w:val="en-GB"/>
        </w:rPr>
        <w:t xml:space="preserve">’ (lines 48-9). </w:t>
      </w:r>
    </w:p>
    <w:p w14:paraId="1DC211EE" w14:textId="77777777" w:rsidR="00295A03" w:rsidRPr="00295A03" w:rsidRDefault="00295A03" w:rsidP="00295A03">
      <w:pPr>
        <w:jc w:val="both"/>
        <w:rPr>
          <w:lang w:val="en-GB"/>
        </w:rPr>
      </w:pPr>
      <w:r w:rsidRPr="00295A03">
        <w:rPr>
          <w:lang w:val="en-GB"/>
        </w:rPr>
        <w:t>In contrast to the Anglo-Saxon examples, in some of the extant Old Welsh ENGLYNION, SAGA poems, notably the HELEDD</w:t>
      </w:r>
      <w:r w:rsidRPr="00295A03">
        <w:rPr>
          <w:i/>
          <w:iCs/>
          <w:lang w:val="en-GB"/>
        </w:rPr>
        <w:t xml:space="preserve"> </w:t>
      </w:r>
      <w:r w:rsidRPr="00295A03">
        <w:rPr>
          <w:lang w:val="en-GB"/>
        </w:rPr>
        <w:t xml:space="preserve">cycle, and particularly </w:t>
      </w:r>
      <w:r w:rsidRPr="00295A03">
        <w:rPr>
          <w:i/>
          <w:iCs/>
          <w:lang w:val="en-GB"/>
        </w:rPr>
        <w:t>Eryr Pengwern</w:t>
      </w:r>
      <w:r w:rsidRPr="00295A03">
        <w:rPr>
          <w:lang w:val="en-GB"/>
        </w:rPr>
        <w:t xml:space="preserve">, the trope is turned around as if in a mirror; the fallen warriors of the poet’s own camp feed the carrion birds with their own flesh. The HELEDD narrator describes the </w:t>
      </w:r>
      <w:r w:rsidRPr="00295A03">
        <w:rPr>
          <w:b/>
          <w:bCs/>
          <w:lang w:val="en-GB"/>
        </w:rPr>
        <w:t>eagle</w:t>
      </w:r>
      <w:r w:rsidRPr="00295A03">
        <w:rPr>
          <w:lang w:val="en-GB"/>
        </w:rPr>
        <w:t xml:space="preserve"> as </w:t>
      </w:r>
      <w:r w:rsidRPr="00295A03">
        <w:rPr>
          <w:i/>
          <w:iCs/>
          <w:lang w:val="en-GB"/>
        </w:rPr>
        <w:t>eidic am gic a garaf</w:t>
      </w:r>
      <w:r w:rsidRPr="00295A03">
        <w:rPr>
          <w:lang w:val="en-GB"/>
        </w:rPr>
        <w:t xml:space="preserve"> ‘greedy for flesh I love’. In the poem </w:t>
      </w:r>
      <w:r w:rsidRPr="00295A03">
        <w:rPr>
          <w:i/>
          <w:iCs/>
          <w:lang w:val="en-GB"/>
        </w:rPr>
        <w:t>Pen Urien</w:t>
      </w:r>
      <w:r w:rsidRPr="00295A03">
        <w:rPr>
          <w:lang w:val="en-GB"/>
        </w:rPr>
        <w:t xml:space="preserve"> (the Head of Urien), the narrator, who has carried the warrior’s head away from the battlefield, leaving the corpse behind, says </w:t>
      </w:r>
      <w:r w:rsidRPr="00295A03">
        <w:rPr>
          <w:i/>
          <w:iCs/>
          <w:lang w:val="en-GB"/>
        </w:rPr>
        <w:t>ar a vronn wen vrein ae hys</w:t>
      </w:r>
      <w:r w:rsidRPr="00295A03">
        <w:rPr>
          <w:lang w:val="en-GB"/>
        </w:rPr>
        <w:t xml:space="preserve"> ‘</w:t>
      </w:r>
      <w:r w:rsidRPr="00295A03">
        <w:rPr>
          <w:b/>
          <w:bCs/>
          <w:lang w:val="en-GB"/>
        </w:rPr>
        <w:t>ravens</w:t>
      </w:r>
      <w:r w:rsidRPr="00295A03">
        <w:rPr>
          <w:lang w:val="en-GB"/>
        </w:rPr>
        <w:t xml:space="preserve"> on his white breast consume him’. In the GODODDIN (line 272), the hero is described as </w:t>
      </w:r>
      <w:r w:rsidRPr="00295A03">
        <w:rPr>
          <w:i/>
          <w:iCs/>
          <w:lang w:val="en-GB"/>
        </w:rPr>
        <w:t>bwyd I frain</w:t>
      </w:r>
      <w:r w:rsidRPr="00295A03">
        <w:rPr>
          <w:lang w:val="en-GB"/>
        </w:rPr>
        <w:t xml:space="preserve"> ‘food for </w:t>
      </w:r>
      <w:r w:rsidRPr="00295A03">
        <w:rPr>
          <w:b/>
          <w:bCs/>
          <w:lang w:val="en-GB"/>
        </w:rPr>
        <w:t>ravens</w:t>
      </w:r>
      <w:r w:rsidRPr="00295A03">
        <w:rPr>
          <w:lang w:val="en-GB"/>
        </w:rPr>
        <w:t xml:space="preserve">’ and </w:t>
      </w:r>
      <w:r w:rsidRPr="00295A03">
        <w:rPr>
          <w:i/>
          <w:iCs/>
          <w:lang w:val="en-GB"/>
        </w:rPr>
        <w:t>budd I frân</w:t>
      </w:r>
      <w:r w:rsidRPr="00295A03">
        <w:rPr>
          <w:lang w:val="en-GB"/>
        </w:rPr>
        <w:t xml:space="preserve"> ‘benefit to the crow’. </w:t>
      </w:r>
    </w:p>
    <w:p w14:paraId="39368BE9" w14:textId="77777777" w:rsidR="00295A03" w:rsidRPr="00295A03" w:rsidRDefault="00295A03" w:rsidP="00295A03">
      <w:pPr>
        <w:jc w:val="both"/>
        <w:rPr>
          <w:lang w:val="en-GB"/>
        </w:rPr>
      </w:pPr>
      <w:r w:rsidRPr="00295A03">
        <w:rPr>
          <w:lang w:val="en-GB"/>
        </w:rPr>
        <w:lastRenderedPageBreak/>
        <w:t xml:space="preserve">The </w:t>
      </w:r>
      <w:r w:rsidRPr="00295A03">
        <w:rPr>
          <w:b/>
          <w:bCs/>
          <w:lang w:val="en-GB"/>
        </w:rPr>
        <w:t xml:space="preserve">raven </w:t>
      </w:r>
      <w:r w:rsidRPr="00295A03">
        <w:rPr>
          <w:lang w:val="en-GB"/>
        </w:rPr>
        <w:t xml:space="preserve">is almost exclusively a carrion bird and does not carry the connotation of nobility and hunting and warlike prowess that is associated with the </w:t>
      </w:r>
      <w:r w:rsidRPr="00295A03">
        <w:rPr>
          <w:b/>
          <w:bCs/>
          <w:lang w:val="en-GB"/>
        </w:rPr>
        <w:t xml:space="preserve">eagle </w:t>
      </w:r>
      <w:r w:rsidRPr="00295A03">
        <w:rPr>
          <w:lang w:val="en-GB"/>
        </w:rPr>
        <w:t xml:space="preserve">and, to some extent, the </w:t>
      </w:r>
      <w:r w:rsidRPr="00295A03">
        <w:rPr>
          <w:b/>
          <w:bCs/>
          <w:lang w:val="en-GB"/>
        </w:rPr>
        <w:t>wolf</w:t>
      </w:r>
      <w:r w:rsidRPr="00295A03">
        <w:rPr>
          <w:lang w:val="en-GB"/>
        </w:rPr>
        <w:t xml:space="preserve">. The colour black is a striking feature of this bird in the lines in the poem Saga poem </w:t>
      </w:r>
      <w:r w:rsidRPr="00295A03">
        <w:rPr>
          <w:i/>
          <w:iCs/>
          <w:lang w:val="en-GB"/>
        </w:rPr>
        <w:t>Pen Urien</w:t>
      </w:r>
      <w:r w:rsidRPr="00295A03">
        <w:rPr>
          <w:lang w:val="en-GB"/>
        </w:rPr>
        <w:t xml:space="preserve"> (the head of Urien), where the black </w:t>
      </w:r>
      <w:r w:rsidRPr="00295A03">
        <w:rPr>
          <w:b/>
          <w:bCs/>
          <w:lang w:val="en-GB"/>
        </w:rPr>
        <w:t>raven</w:t>
      </w:r>
      <w:r w:rsidRPr="00295A03">
        <w:rPr>
          <w:lang w:val="en-GB"/>
        </w:rPr>
        <w:t xml:space="preserve"> (</w:t>
      </w:r>
      <w:r w:rsidRPr="00295A03">
        <w:rPr>
          <w:i/>
          <w:iCs/>
          <w:lang w:val="en-GB"/>
        </w:rPr>
        <w:t>vran du</w:t>
      </w:r>
      <w:r w:rsidRPr="00295A03">
        <w:rPr>
          <w:lang w:val="en-GB"/>
        </w:rPr>
        <w:t>) is contrasted with the white breast (</w:t>
      </w:r>
      <w:r w:rsidRPr="00295A03">
        <w:rPr>
          <w:i/>
          <w:iCs/>
          <w:lang w:val="en-GB"/>
        </w:rPr>
        <w:t>vronn ven</w:t>
      </w:r>
      <w:r w:rsidRPr="00295A03">
        <w:rPr>
          <w:lang w:val="en-GB"/>
        </w:rPr>
        <w:t xml:space="preserve">) of the warrior. The </w:t>
      </w:r>
      <w:r w:rsidRPr="00295A03">
        <w:rPr>
          <w:b/>
          <w:bCs/>
          <w:lang w:val="en-GB"/>
        </w:rPr>
        <w:t>raven</w:t>
      </w:r>
      <w:r w:rsidRPr="00295A03">
        <w:rPr>
          <w:lang w:val="en-GB"/>
        </w:rPr>
        <w:t xml:space="preserve"> has been associated with the god Bran. The crow is also one of the shapes adopted by the Irish war-goddess known as the MORRIGAN. In the riddling gnomic Saga poem </w:t>
      </w:r>
      <w:r w:rsidRPr="00295A03">
        <w:rPr>
          <w:i/>
          <w:iCs/>
          <w:lang w:val="en-GB"/>
        </w:rPr>
        <w:t>Mi a wum</w:t>
      </w:r>
      <w:r w:rsidRPr="00295A03">
        <w:rPr>
          <w:lang w:val="en-GB"/>
        </w:rPr>
        <w:t xml:space="preserve"> (‘I have been’), the narrator stakes a claim in the first four stanzas to have been where four different warriors, including Brân and Llachau, son of ARTHUR, were slain, and in each case the last line contains a reference to battle </w:t>
      </w:r>
      <w:r w:rsidRPr="00295A03">
        <w:rPr>
          <w:b/>
          <w:bCs/>
          <w:lang w:val="en-GB"/>
        </w:rPr>
        <w:t>ravens</w:t>
      </w:r>
      <w:r w:rsidRPr="00295A03">
        <w:rPr>
          <w:lang w:val="en-GB"/>
        </w:rPr>
        <w:t xml:space="preserve"> with slight variations. The answer may be a raven god or goddess.</w:t>
      </w:r>
    </w:p>
    <w:p w14:paraId="7CA2492D" w14:textId="77777777" w:rsidR="00295A03" w:rsidRPr="00295A03" w:rsidRDefault="00295A03" w:rsidP="00295A03">
      <w:pPr>
        <w:jc w:val="both"/>
        <w:rPr>
          <w:lang w:val="en-GB"/>
        </w:rPr>
      </w:pPr>
      <w:r w:rsidRPr="00295A03">
        <w:rPr>
          <w:lang w:val="en-GB"/>
        </w:rPr>
        <w:t xml:space="preserve">In Welsh mythology </w:t>
      </w:r>
      <w:bookmarkStart w:id="2" w:name="_Hlk34834173"/>
      <w:r w:rsidRPr="00295A03">
        <w:rPr>
          <w:lang w:val="en-GB"/>
        </w:rPr>
        <w:t>LLEU LLAW GYFFES</w:t>
      </w:r>
      <w:bookmarkEnd w:id="2"/>
      <w:r w:rsidRPr="00295A03">
        <w:rPr>
          <w:lang w:val="en-GB"/>
        </w:rPr>
        <w:t xml:space="preserve">, who is identified with the Celtic sun god Lugus/Lugh, turned into an </w:t>
      </w:r>
      <w:r w:rsidRPr="00295A03">
        <w:rPr>
          <w:b/>
          <w:bCs/>
          <w:lang w:val="en-GB"/>
        </w:rPr>
        <w:t>eagle</w:t>
      </w:r>
      <w:r w:rsidRPr="00295A03">
        <w:rPr>
          <w:lang w:val="en-GB"/>
        </w:rPr>
        <w:t xml:space="preserve"> at the moment of his murder. In early WELSH POETRY, noble warriors are frequently compared to </w:t>
      </w:r>
      <w:r w:rsidRPr="00295A03">
        <w:rPr>
          <w:b/>
          <w:bCs/>
          <w:lang w:val="en-GB"/>
        </w:rPr>
        <w:t>eagles</w:t>
      </w:r>
      <w:r w:rsidRPr="00295A03">
        <w:rPr>
          <w:lang w:val="en-GB"/>
        </w:rPr>
        <w:t xml:space="preserve"> and other birds of prey (e.g. </w:t>
      </w:r>
      <w:r w:rsidRPr="00295A03">
        <w:rPr>
          <w:i/>
          <w:iCs/>
          <w:lang w:val="en-GB"/>
        </w:rPr>
        <w:t>Marwnad Gwen</w:t>
      </w:r>
      <w:r w:rsidRPr="00295A03">
        <w:rPr>
          <w:lang w:val="en-GB"/>
        </w:rPr>
        <w:t xml:space="preserve">, stanza 19). In the eponymous cycle poem in the HELEDD cycle, CYNDDYLAN is said to have had </w:t>
      </w:r>
      <w:r w:rsidRPr="00295A03">
        <w:rPr>
          <w:i/>
          <w:iCs/>
          <w:lang w:val="en-GB"/>
        </w:rPr>
        <w:t>callon hebawc</w:t>
      </w:r>
      <w:r w:rsidRPr="00295A03">
        <w:rPr>
          <w:lang w:val="en-GB"/>
        </w:rPr>
        <w:t xml:space="preserve"> ‘the heart of a hawk’ (stanza 8). When applied to the enemy, the comparison with an </w:t>
      </w:r>
      <w:r w:rsidRPr="00295A03">
        <w:rPr>
          <w:b/>
          <w:bCs/>
          <w:lang w:val="en-GB"/>
        </w:rPr>
        <w:t xml:space="preserve">eagle </w:t>
      </w:r>
      <w:r w:rsidRPr="00295A03">
        <w:rPr>
          <w:lang w:val="en-GB"/>
        </w:rPr>
        <w:t xml:space="preserve">is a somewhat grudging compliment, for example </w:t>
      </w:r>
      <w:r w:rsidRPr="00295A03">
        <w:rPr>
          <w:i/>
          <w:iCs/>
          <w:lang w:val="en-GB"/>
        </w:rPr>
        <w:t>vryen reget greidyawl gauael eryr</w:t>
      </w:r>
      <w:r w:rsidRPr="00295A03">
        <w:rPr>
          <w:lang w:val="en-GB"/>
        </w:rPr>
        <w:t xml:space="preserve"> ‘Ardent Urien Reghed of the </w:t>
      </w:r>
      <w:r w:rsidRPr="00295A03">
        <w:rPr>
          <w:b/>
          <w:bCs/>
          <w:lang w:val="en-GB"/>
        </w:rPr>
        <w:t>eagle’s</w:t>
      </w:r>
      <w:r w:rsidRPr="00295A03">
        <w:rPr>
          <w:lang w:val="en-GB"/>
        </w:rPr>
        <w:t xml:space="preserve"> grasp’ in </w:t>
      </w:r>
      <w:r w:rsidRPr="00295A03">
        <w:rPr>
          <w:i/>
          <w:iCs/>
          <w:lang w:val="en-GB"/>
        </w:rPr>
        <w:t>Unhwch</w:t>
      </w:r>
      <w:r w:rsidRPr="00295A03">
        <w:rPr>
          <w:lang w:val="en-GB"/>
        </w:rPr>
        <w:t xml:space="preserve">, the opening poem of the </w:t>
      </w:r>
      <w:r w:rsidRPr="00295A03">
        <w:rPr>
          <w:i/>
          <w:iCs/>
          <w:lang w:val="en-GB"/>
        </w:rPr>
        <w:t>Canu Urien</w:t>
      </w:r>
      <w:r w:rsidRPr="00295A03">
        <w:rPr>
          <w:lang w:val="en-GB"/>
        </w:rPr>
        <w:t xml:space="preserve">. </w:t>
      </w:r>
    </w:p>
    <w:p w14:paraId="78DE33E3" w14:textId="77777777" w:rsidR="00295A03" w:rsidRPr="00295A03" w:rsidRDefault="00295A03" w:rsidP="00295A03">
      <w:pPr>
        <w:jc w:val="both"/>
        <w:rPr>
          <w:lang w:val="en-GB"/>
        </w:rPr>
      </w:pPr>
      <w:r w:rsidRPr="00295A03">
        <w:rPr>
          <w:lang w:val="en-GB"/>
        </w:rPr>
        <w:t>A brooch-wearing warrior in the GODODDIN</w:t>
      </w:r>
      <w:r w:rsidRPr="00295A03">
        <w:rPr>
          <w:i/>
          <w:iCs/>
          <w:lang w:val="en-GB"/>
        </w:rPr>
        <w:t xml:space="preserve"> </w:t>
      </w:r>
      <w:r w:rsidRPr="00295A03">
        <w:rPr>
          <w:lang w:val="en-GB"/>
        </w:rPr>
        <w:t xml:space="preserve">is likened to ‘the swoop of an </w:t>
      </w:r>
      <w:r w:rsidRPr="00295A03">
        <w:rPr>
          <w:b/>
          <w:bCs/>
          <w:lang w:val="en-GB"/>
        </w:rPr>
        <w:t>eagle</w:t>
      </w:r>
      <w:r w:rsidRPr="00295A03">
        <w:rPr>
          <w:lang w:val="en-GB"/>
        </w:rPr>
        <w:t xml:space="preserve"> in the estuaries when fed’ (lines 40-41). A distinction can be made between this use of the beasts and the beasts of battle topos, found elsewhere in the poem. </w:t>
      </w:r>
    </w:p>
    <w:p w14:paraId="7F798512" w14:textId="77777777" w:rsidR="00295A03" w:rsidRPr="00295A03" w:rsidRDefault="00295A03" w:rsidP="00295A03">
      <w:pPr>
        <w:jc w:val="both"/>
        <w:rPr>
          <w:lang w:val="en-GB"/>
        </w:rPr>
      </w:pPr>
      <w:r w:rsidRPr="00295A03">
        <w:rPr>
          <w:lang w:val="en-GB"/>
        </w:rPr>
        <w:t xml:space="preserve">In the HELEDD cycle, there are two poems devoted to </w:t>
      </w:r>
      <w:r w:rsidRPr="00295A03">
        <w:rPr>
          <w:b/>
          <w:bCs/>
          <w:lang w:val="en-GB"/>
        </w:rPr>
        <w:t>eagles</w:t>
      </w:r>
      <w:r w:rsidRPr="00295A03">
        <w:rPr>
          <w:lang w:val="en-GB"/>
        </w:rPr>
        <w:t xml:space="preserve"> which feature the mirror-image trope: the </w:t>
      </w:r>
      <w:r w:rsidRPr="00295A03">
        <w:rPr>
          <w:i/>
          <w:iCs/>
          <w:lang w:val="en-GB"/>
        </w:rPr>
        <w:t>Eryr Eli</w:t>
      </w:r>
      <w:r w:rsidRPr="00295A03">
        <w:rPr>
          <w:lang w:val="en-GB"/>
        </w:rPr>
        <w:t xml:space="preserve"> (Eagle of Eli) and the </w:t>
      </w:r>
      <w:r w:rsidRPr="00295A03">
        <w:rPr>
          <w:i/>
          <w:iCs/>
          <w:lang w:val="en-GB"/>
        </w:rPr>
        <w:t>Eryr Pengwern</w:t>
      </w:r>
      <w:r w:rsidRPr="00295A03">
        <w:rPr>
          <w:lang w:val="en-GB"/>
        </w:rPr>
        <w:t xml:space="preserve"> (Eagle of Pengwern). The former is described as having drunk Cynddylan’s blood, the latter as being </w:t>
      </w:r>
      <w:r w:rsidRPr="00295A03">
        <w:rPr>
          <w:i/>
          <w:iCs/>
          <w:lang w:val="en-GB"/>
        </w:rPr>
        <w:t>eidic am gig a garaf</w:t>
      </w:r>
      <w:r w:rsidRPr="00295A03">
        <w:rPr>
          <w:lang w:val="en-GB"/>
        </w:rPr>
        <w:t xml:space="preserve"> ‘greedy for flesh I love’. The poems also refer to the call or cry of the </w:t>
      </w:r>
      <w:r w:rsidRPr="00295A03">
        <w:rPr>
          <w:b/>
          <w:bCs/>
          <w:lang w:val="en-GB"/>
        </w:rPr>
        <w:t>eagles</w:t>
      </w:r>
      <w:r w:rsidRPr="00295A03">
        <w:rPr>
          <w:lang w:val="en-GB"/>
        </w:rPr>
        <w:t xml:space="preserve">. From the description in the poem, the </w:t>
      </w:r>
      <w:r w:rsidRPr="00295A03">
        <w:rPr>
          <w:b/>
          <w:bCs/>
          <w:lang w:val="en-GB"/>
        </w:rPr>
        <w:t>eagle</w:t>
      </w:r>
      <w:r w:rsidRPr="00295A03">
        <w:rPr>
          <w:lang w:val="en-GB"/>
        </w:rPr>
        <w:t xml:space="preserve"> of Eli can be identified as the white-tailed or fish </w:t>
      </w:r>
      <w:r w:rsidRPr="00295A03">
        <w:rPr>
          <w:b/>
          <w:bCs/>
          <w:lang w:val="en-GB"/>
        </w:rPr>
        <w:t>eagle</w:t>
      </w:r>
      <w:r w:rsidRPr="00295A03">
        <w:rPr>
          <w:lang w:val="en-GB"/>
        </w:rPr>
        <w:t xml:space="preserve"> (</w:t>
      </w:r>
      <w:r w:rsidRPr="00295A03">
        <w:rPr>
          <w:i/>
          <w:iCs/>
          <w:lang w:val="en-GB"/>
        </w:rPr>
        <w:t>Haliaeetus albicilla</w:t>
      </w:r>
      <w:r w:rsidRPr="00295A03">
        <w:rPr>
          <w:lang w:val="en-GB"/>
        </w:rPr>
        <w:t xml:space="preserve">), thought to become extinct in south Britain in the early Middle Ages. </w:t>
      </w:r>
    </w:p>
    <w:p w14:paraId="73F2FC3F" w14:textId="77777777" w:rsidR="00295A03" w:rsidRPr="00295A03" w:rsidRDefault="00295A03" w:rsidP="00295A03">
      <w:pPr>
        <w:jc w:val="both"/>
        <w:rPr>
          <w:lang w:val="en-GB"/>
        </w:rPr>
      </w:pPr>
      <w:r w:rsidRPr="00295A03">
        <w:rPr>
          <w:lang w:val="en-GB"/>
        </w:rPr>
        <w:t xml:space="preserve">GIRALDUS CAMBRENSIS, in his 12th-century Journey Through Wales, refers to a tradition in which the </w:t>
      </w:r>
      <w:r w:rsidRPr="00295A03">
        <w:rPr>
          <w:b/>
          <w:bCs/>
          <w:lang w:val="en-GB"/>
        </w:rPr>
        <w:t>eagle</w:t>
      </w:r>
      <w:r w:rsidRPr="00295A03">
        <w:rPr>
          <w:lang w:val="en-GB"/>
        </w:rPr>
        <w:t xml:space="preserve"> performs a prophetic or oracular function by ‘perching on a fatal stone every fifth holiday, in order to satiate her hunger with the carcasses of the slain”, presaging “war on that same day’. </w:t>
      </w:r>
    </w:p>
    <w:p w14:paraId="4BC3EEB4" w14:textId="77777777" w:rsidR="00295A03" w:rsidRPr="00295A03" w:rsidRDefault="00295A03" w:rsidP="00295A03">
      <w:pPr>
        <w:jc w:val="both"/>
        <w:rPr>
          <w:b/>
          <w:bCs/>
          <w:lang w:val="en-GB"/>
        </w:rPr>
      </w:pPr>
      <w:r w:rsidRPr="00295A03">
        <w:rPr>
          <w:lang w:val="en-GB"/>
        </w:rPr>
        <w:t xml:space="preserve">The </w:t>
      </w:r>
      <w:r w:rsidRPr="00295A03">
        <w:rPr>
          <w:b/>
          <w:bCs/>
          <w:lang w:val="en-GB"/>
        </w:rPr>
        <w:t>wolf</w:t>
      </w:r>
      <w:r w:rsidRPr="00295A03">
        <w:rPr>
          <w:lang w:val="en-GB"/>
        </w:rPr>
        <w:t xml:space="preserve"> is another aspect assumed by the shape-shifting MORRIGAN in her battle persona. Young ´trainee’ warrior bands in early (Iron and Bronze Age and perhaps earlier) Indo-European societies, including those identified as Celtic or Gaulish, have been closely associated with </w:t>
      </w:r>
      <w:r w:rsidRPr="00295A03">
        <w:rPr>
          <w:b/>
          <w:bCs/>
          <w:lang w:val="en-GB"/>
        </w:rPr>
        <w:t xml:space="preserve">wolf </w:t>
      </w:r>
      <w:r w:rsidRPr="00295A03">
        <w:rPr>
          <w:lang w:val="en-GB"/>
        </w:rPr>
        <w:t xml:space="preserve">totems. The element ‘Cun/Cyn’ meaning </w:t>
      </w:r>
      <w:r w:rsidRPr="00295A03">
        <w:rPr>
          <w:b/>
          <w:bCs/>
          <w:lang w:val="en-GB"/>
        </w:rPr>
        <w:t>wolf</w:t>
      </w:r>
      <w:r w:rsidRPr="00295A03">
        <w:rPr>
          <w:lang w:val="en-GB"/>
        </w:rPr>
        <w:t xml:space="preserve"> or dog appears in many Celtic tribal and personal names (Cunetes, CUNOBELENOS, Cunomarus). In the GODODDIN, a warrior is described as ‘wearing a brooch, in the forefront, a </w:t>
      </w:r>
      <w:r w:rsidRPr="00295A03">
        <w:rPr>
          <w:b/>
          <w:bCs/>
          <w:lang w:val="en-GB"/>
        </w:rPr>
        <w:t xml:space="preserve">wolf </w:t>
      </w:r>
      <w:r w:rsidRPr="00295A03">
        <w:rPr>
          <w:lang w:val="en-GB"/>
        </w:rPr>
        <w:t xml:space="preserve">in fury’ (line 49). Perhaps the </w:t>
      </w:r>
      <w:r w:rsidRPr="00295A03">
        <w:rPr>
          <w:b/>
          <w:bCs/>
          <w:lang w:val="en-GB"/>
        </w:rPr>
        <w:t>wolf</w:t>
      </w:r>
      <w:r w:rsidRPr="00295A03">
        <w:rPr>
          <w:lang w:val="en-GB"/>
        </w:rPr>
        <w:t xml:space="preserve"> was depicted on the brooch as a clan badge or talisman. The </w:t>
      </w:r>
      <w:r w:rsidRPr="00295A03">
        <w:rPr>
          <w:b/>
          <w:bCs/>
          <w:lang w:val="en-GB"/>
        </w:rPr>
        <w:t xml:space="preserve">wolf </w:t>
      </w:r>
      <w:r w:rsidRPr="00295A03">
        <w:rPr>
          <w:lang w:val="en-GB"/>
        </w:rPr>
        <w:t xml:space="preserve">also features in early Welsh poetry as a carrion creature: it is said of Caradog that ef </w:t>
      </w:r>
      <w:r w:rsidRPr="00295A03">
        <w:rPr>
          <w:i/>
          <w:iCs/>
          <w:lang w:val="en-GB"/>
        </w:rPr>
        <w:t>llithiai wyddgwn o’i angad</w:t>
      </w:r>
      <w:r w:rsidRPr="00295A03">
        <w:rPr>
          <w:lang w:val="en-GB"/>
        </w:rPr>
        <w:t xml:space="preserve"> ‘he fed the </w:t>
      </w:r>
      <w:r w:rsidRPr="00295A03">
        <w:rPr>
          <w:b/>
          <w:bCs/>
          <w:lang w:val="en-GB"/>
        </w:rPr>
        <w:t>wolves</w:t>
      </w:r>
      <w:r w:rsidRPr="00295A03">
        <w:rPr>
          <w:lang w:val="en-GB"/>
        </w:rPr>
        <w:t xml:space="preserve"> by his hand’ (the GODODDIN, line 330). However, the reference to a </w:t>
      </w:r>
      <w:r w:rsidRPr="00295A03">
        <w:rPr>
          <w:i/>
          <w:iCs/>
          <w:lang w:val="en-GB"/>
        </w:rPr>
        <w:t>gig blaidd</w:t>
      </w:r>
      <w:r w:rsidRPr="00295A03">
        <w:rPr>
          <w:lang w:val="en-GB"/>
        </w:rPr>
        <w:t xml:space="preserve"> ‘</w:t>
      </w:r>
      <w:r w:rsidRPr="00295A03">
        <w:rPr>
          <w:b/>
          <w:bCs/>
          <w:lang w:val="en-GB"/>
        </w:rPr>
        <w:t>wolf-feast</w:t>
      </w:r>
      <w:r w:rsidRPr="00295A03">
        <w:rPr>
          <w:lang w:val="en-GB"/>
        </w:rPr>
        <w:t xml:space="preserve">’ in lines 65-6 may be a poetic formula rather than a graphic reference and the reference to the </w:t>
      </w:r>
      <w:r w:rsidRPr="00295A03">
        <w:rPr>
          <w:i/>
          <w:iCs/>
          <w:lang w:val="en-GB"/>
        </w:rPr>
        <w:t>cad fleiddieu</w:t>
      </w:r>
      <w:r w:rsidRPr="00295A03">
        <w:rPr>
          <w:lang w:val="en-GB"/>
        </w:rPr>
        <w:t xml:space="preserve"> ‘wolves of war’ in the </w:t>
      </w:r>
      <w:r w:rsidRPr="00295A03">
        <w:rPr>
          <w:i/>
          <w:iCs/>
          <w:lang w:val="en-GB"/>
        </w:rPr>
        <w:t xml:space="preserve">Gorchan Cynfelyn </w:t>
      </w:r>
      <w:r w:rsidRPr="00295A03">
        <w:rPr>
          <w:lang w:val="en-GB"/>
        </w:rPr>
        <w:t xml:space="preserve">probably refers to the warriors on the battlefield. </w:t>
      </w:r>
    </w:p>
    <w:p w14:paraId="36A945EF" w14:textId="77777777" w:rsidR="00295A03" w:rsidRPr="00295A03" w:rsidRDefault="00295A03" w:rsidP="00295A03">
      <w:pPr>
        <w:jc w:val="both"/>
        <w:rPr>
          <w:lang w:val="en-GB"/>
        </w:rPr>
      </w:pPr>
    </w:p>
    <w:p w14:paraId="16ECB3CC" w14:textId="77777777" w:rsidR="00295A03" w:rsidRPr="00295A03" w:rsidRDefault="00295A03" w:rsidP="00295A03">
      <w:pPr>
        <w:jc w:val="both"/>
        <w:rPr>
          <w:lang w:val="en-GB"/>
        </w:rPr>
      </w:pPr>
      <w:r w:rsidRPr="00295A03">
        <w:rPr>
          <w:lang w:val="en-GB"/>
        </w:rPr>
        <w:t>PRIMARY SOURCES</w:t>
      </w:r>
    </w:p>
    <w:p w14:paraId="11BA6803" w14:textId="77777777" w:rsidR="00295A03" w:rsidRPr="00295A03" w:rsidRDefault="00295A03" w:rsidP="00295A03">
      <w:pPr>
        <w:jc w:val="both"/>
        <w:rPr>
          <w:lang w:val="en-GB"/>
        </w:rPr>
      </w:pPr>
      <w:r w:rsidRPr="00295A03">
        <w:rPr>
          <w:lang w:val="en-GB"/>
        </w:rPr>
        <w:t>Jarman, Aneurin: The Gododdin; Rowland, Early Welsh Saga Poetry; Krapp and Dobbie, The Anglo-Saxon Poetic Records.</w:t>
      </w:r>
    </w:p>
    <w:p w14:paraId="3734F8D5" w14:textId="77777777" w:rsidR="00295A03" w:rsidRPr="00295A03" w:rsidRDefault="00295A03" w:rsidP="00295A03">
      <w:pPr>
        <w:jc w:val="both"/>
        <w:rPr>
          <w:lang w:val="en-GB"/>
        </w:rPr>
      </w:pPr>
      <w:r w:rsidRPr="00295A03">
        <w:rPr>
          <w:lang w:val="en-GB"/>
        </w:rPr>
        <w:lastRenderedPageBreak/>
        <w:t>FURTHER READING</w:t>
      </w:r>
    </w:p>
    <w:p w14:paraId="063AD0A2" w14:textId="3A0EB823" w:rsidR="00295A03" w:rsidRPr="00295A03" w:rsidRDefault="00295A03" w:rsidP="00295A03">
      <w:pPr>
        <w:jc w:val="both"/>
        <w:rPr>
          <w:lang w:val="en-GB"/>
        </w:rPr>
      </w:pPr>
      <w:r w:rsidRPr="00295A03">
        <w:rPr>
          <w:lang w:val="en-GB"/>
        </w:rPr>
        <w:t>ARTHUR; AWDL; CUNOBELINOS; HELEDD FERCH CYNDRWYN; CYNDDYLAN FAB CYNDRWYN; ENGLYNION, SAGA; GIRALDUS CAMBRENSIS; GODO</w:t>
      </w:r>
      <w:r w:rsidR="000A17CA">
        <w:rPr>
          <w:lang w:val="en-GB"/>
        </w:rPr>
        <w:t>D</w:t>
      </w:r>
      <w:bookmarkStart w:id="3" w:name="_GoBack"/>
      <w:bookmarkEnd w:id="3"/>
      <w:r w:rsidRPr="00295A03">
        <w:rPr>
          <w:lang w:val="en-GB"/>
        </w:rPr>
        <w:t>DIN; HEROIC ETHOS; LLEU LLAW GYFFES; MARWNAD CYNDDYLAN; MORRIGAN; NATURE POETRY; URIEN; WELSH POETRY;  Britt, The Beasts of Battle; Jesch, Eagles, Ravens and Wolves; Klausner, The Topos of the Beasts of Battle in Early Welsh Poetry; Speidel, Ancient Germanic Warriors; Mallory and Adams (Eds.), Encyclopedia of Indo-European Culture</w:t>
      </w:r>
      <w:bookmarkStart w:id="4" w:name="_Hlk34831664"/>
      <w:r w:rsidRPr="00295A03">
        <w:rPr>
          <w:lang w:val="en-GB"/>
        </w:rPr>
        <w:t xml:space="preserve"> (entry “war-bands”).</w:t>
      </w:r>
    </w:p>
    <w:bookmarkEnd w:id="4"/>
    <w:p w14:paraId="0B4A41EB" w14:textId="77777777" w:rsidR="00C023B6" w:rsidRDefault="00C023B6" w:rsidP="005C211F">
      <w:pPr>
        <w:jc w:val="both"/>
        <w:rPr>
          <w:lang w:val="en-GB"/>
        </w:rPr>
      </w:pPr>
    </w:p>
    <w:sectPr w:rsidR="00C023B6">
      <w:head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AF0723" w14:textId="77777777" w:rsidR="00C72778" w:rsidRDefault="00C72778" w:rsidP="00C977FE">
      <w:pPr>
        <w:spacing w:after="0" w:line="240" w:lineRule="auto"/>
      </w:pPr>
      <w:r>
        <w:separator/>
      </w:r>
    </w:p>
  </w:endnote>
  <w:endnote w:type="continuationSeparator" w:id="0">
    <w:p w14:paraId="4529C142" w14:textId="77777777" w:rsidR="00C72778" w:rsidRDefault="00C72778" w:rsidP="00C97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130AB" w14:textId="77777777" w:rsidR="00C72778" w:rsidRDefault="00C72778" w:rsidP="00C977FE">
      <w:pPr>
        <w:spacing w:after="0" w:line="240" w:lineRule="auto"/>
      </w:pPr>
      <w:r>
        <w:separator/>
      </w:r>
    </w:p>
  </w:footnote>
  <w:footnote w:type="continuationSeparator" w:id="0">
    <w:p w14:paraId="542A4DD5" w14:textId="77777777" w:rsidR="00C72778" w:rsidRDefault="00C72778" w:rsidP="00C977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D04565" w14:textId="6CA7681F" w:rsidR="00246B5A" w:rsidRDefault="00246B5A">
    <w:pPr>
      <w:pStyle w:val="En-tte"/>
    </w:pPr>
    <w:r>
      <w:t>Ruth Griffiths Student No 1910116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A63185"/>
    <w:multiLevelType w:val="hybridMultilevel"/>
    <w:tmpl w:val="6F9AC216"/>
    <w:lvl w:ilvl="0" w:tplc="F16C3E9C">
      <w:start w:val="1"/>
      <w:numFmt w:val="decimal"/>
      <w:lvlText w:val="(%1)"/>
      <w:lvlJc w:val="left"/>
      <w:pPr>
        <w:ind w:left="756" w:hanging="396"/>
      </w:pPr>
      <w:rPr>
        <w:rFonts w:hint="default"/>
      </w:rPr>
    </w:lvl>
    <w:lvl w:ilvl="1" w:tplc="100C0019" w:tentative="1">
      <w:start w:val="1"/>
      <w:numFmt w:val="lowerLetter"/>
      <w:lvlText w:val="%2."/>
      <w:lvlJc w:val="left"/>
      <w:pPr>
        <w:ind w:left="1440" w:hanging="360"/>
      </w:pPr>
    </w:lvl>
    <w:lvl w:ilvl="2" w:tplc="100C001B" w:tentative="1">
      <w:start w:val="1"/>
      <w:numFmt w:val="lowerRoman"/>
      <w:lvlText w:val="%3."/>
      <w:lvlJc w:val="right"/>
      <w:pPr>
        <w:ind w:left="2160" w:hanging="180"/>
      </w:pPr>
    </w:lvl>
    <w:lvl w:ilvl="3" w:tplc="100C000F" w:tentative="1">
      <w:start w:val="1"/>
      <w:numFmt w:val="decimal"/>
      <w:lvlText w:val="%4."/>
      <w:lvlJc w:val="left"/>
      <w:pPr>
        <w:ind w:left="2880" w:hanging="360"/>
      </w:pPr>
    </w:lvl>
    <w:lvl w:ilvl="4" w:tplc="100C0019" w:tentative="1">
      <w:start w:val="1"/>
      <w:numFmt w:val="lowerLetter"/>
      <w:lvlText w:val="%5."/>
      <w:lvlJc w:val="left"/>
      <w:pPr>
        <w:ind w:left="3600" w:hanging="360"/>
      </w:pPr>
    </w:lvl>
    <w:lvl w:ilvl="5" w:tplc="100C001B" w:tentative="1">
      <w:start w:val="1"/>
      <w:numFmt w:val="lowerRoman"/>
      <w:lvlText w:val="%6."/>
      <w:lvlJc w:val="right"/>
      <w:pPr>
        <w:ind w:left="4320" w:hanging="180"/>
      </w:pPr>
    </w:lvl>
    <w:lvl w:ilvl="6" w:tplc="100C000F" w:tentative="1">
      <w:start w:val="1"/>
      <w:numFmt w:val="decimal"/>
      <w:lvlText w:val="%7."/>
      <w:lvlJc w:val="left"/>
      <w:pPr>
        <w:ind w:left="5040" w:hanging="360"/>
      </w:pPr>
    </w:lvl>
    <w:lvl w:ilvl="7" w:tplc="100C0019" w:tentative="1">
      <w:start w:val="1"/>
      <w:numFmt w:val="lowerLetter"/>
      <w:lvlText w:val="%8."/>
      <w:lvlJc w:val="left"/>
      <w:pPr>
        <w:ind w:left="5760" w:hanging="360"/>
      </w:pPr>
    </w:lvl>
    <w:lvl w:ilvl="8" w:tplc="100C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19E"/>
    <w:rsid w:val="00012597"/>
    <w:rsid w:val="000331A9"/>
    <w:rsid w:val="000401E8"/>
    <w:rsid w:val="00065A90"/>
    <w:rsid w:val="00091BC4"/>
    <w:rsid w:val="000A17CA"/>
    <w:rsid w:val="000F60BF"/>
    <w:rsid w:val="00120332"/>
    <w:rsid w:val="001230BA"/>
    <w:rsid w:val="00205CAF"/>
    <w:rsid w:val="00246B5A"/>
    <w:rsid w:val="00260007"/>
    <w:rsid w:val="00277C12"/>
    <w:rsid w:val="00295A03"/>
    <w:rsid w:val="002A6094"/>
    <w:rsid w:val="002B7902"/>
    <w:rsid w:val="002F1F57"/>
    <w:rsid w:val="00327B9B"/>
    <w:rsid w:val="003306E0"/>
    <w:rsid w:val="00386B14"/>
    <w:rsid w:val="00394FD0"/>
    <w:rsid w:val="003D05BE"/>
    <w:rsid w:val="003D719E"/>
    <w:rsid w:val="00413462"/>
    <w:rsid w:val="00433389"/>
    <w:rsid w:val="00444A4B"/>
    <w:rsid w:val="00446210"/>
    <w:rsid w:val="00463688"/>
    <w:rsid w:val="004A4445"/>
    <w:rsid w:val="004B67EC"/>
    <w:rsid w:val="004B7FB6"/>
    <w:rsid w:val="004E5FD8"/>
    <w:rsid w:val="00500654"/>
    <w:rsid w:val="00517233"/>
    <w:rsid w:val="005222E7"/>
    <w:rsid w:val="005C211F"/>
    <w:rsid w:val="005C3A0B"/>
    <w:rsid w:val="005F0904"/>
    <w:rsid w:val="005F441A"/>
    <w:rsid w:val="00606DD8"/>
    <w:rsid w:val="00640B44"/>
    <w:rsid w:val="00657C4B"/>
    <w:rsid w:val="0068763F"/>
    <w:rsid w:val="00691983"/>
    <w:rsid w:val="006D6820"/>
    <w:rsid w:val="0070360F"/>
    <w:rsid w:val="00705F80"/>
    <w:rsid w:val="0076082F"/>
    <w:rsid w:val="00790DA2"/>
    <w:rsid w:val="00797F53"/>
    <w:rsid w:val="008532BA"/>
    <w:rsid w:val="008734BB"/>
    <w:rsid w:val="008F7F3B"/>
    <w:rsid w:val="00971B1A"/>
    <w:rsid w:val="009D02FA"/>
    <w:rsid w:val="009D1283"/>
    <w:rsid w:val="00A048A6"/>
    <w:rsid w:val="00A10ACF"/>
    <w:rsid w:val="00A110E8"/>
    <w:rsid w:val="00A24EC4"/>
    <w:rsid w:val="00A26ED3"/>
    <w:rsid w:val="00A412D8"/>
    <w:rsid w:val="00A7085B"/>
    <w:rsid w:val="00AE3F89"/>
    <w:rsid w:val="00B65D4D"/>
    <w:rsid w:val="00B729C3"/>
    <w:rsid w:val="00BA0044"/>
    <w:rsid w:val="00BA4DB6"/>
    <w:rsid w:val="00BB08A0"/>
    <w:rsid w:val="00C023B6"/>
    <w:rsid w:val="00C22A37"/>
    <w:rsid w:val="00C23BA1"/>
    <w:rsid w:val="00C31172"/>
    <w:rsid w:val="00C64ECE"/>
    <w:rsid w:val="00C72778"/>
    <w:rsid w:val="00C7432B"/>
    <w:rsid w:val="00C977FE"/>
    <w:rsid w:val="00CB07E0"/>
    <w:rsid w:val="00D7134C"/>
    <w:rsid w:val="00D94424"/>
    <w:rsid w:val="00DD497C"/>
    <w:rsid w:val="00E842F3"/>
    <w:rsid w:val="00EC2409"/>
    <w:rsid w:val="00EC27DA"/>
    <w:rsid w:val="00ED5B4B"/>
    <w:rsid w:val="00F361E1"/>
    <w:rsid w:val="00F7175D"/>
    <w:rsid w:val="00F94E3A"/>
    <w:rsid w:val="00F96465"/>
    <w:rsid w:val="00FD01C8"/>
  </w:rsids>
  <m:mathPr>
    <m:mathFont m:val="Cambria Math"/>
    <m:brkBin m:val="before"/>
    <m:brkBinSub m:val="--"/>
    <m:smallFrac m:val="0"/>
    <m:dispDef/>
    <m:lMargin m:val="0"/>
    <m:rMargin m:val="0"/>
    <m:defJc m:val="centerGroup"/>
    <m:wrapIndent m:val="1440"/>
    <m:intLim m:val="subSup"/>
    <m:naryLim m:val="undOvr"/>
  </m:mathPr>
  <w:themeFontLang w:val="fr-C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754C0"/>
  <w15:chartTrackingRefBased/>
  <w15:docId w15:val="{20138223-73A5-423A-8B0B-43194C0B1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C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C22A37"/>
    <w:pPr>
      <w:ind w:left="720"/>
      <w:contextualSpacing/>
    </w:pPr>
  </w:style>
  <w:style w:type="paragraph" w:styleId="Notedebasdepage">
    <w:name w:val="footnote text"/>
    <w:basedOn w:val="Normal"/>
    <w:link w:val="NotedebasdepageCar"/>
    <w:uiPriority w:val="99"/>
    <w:semiHidden/>
    <w:unhideWhenUsed/>
    <w:rsid w:val="00C977FE"/>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C977FE"/>
    <w:rPr>
      <w:sz w:val="20"/>
      <w:szCs w:val="20"/>
    </w:rPr>
  </w:style>
  <w:style w:type="character" w:styleId="Appelnotedebasdep">
    <w:name w:val="footnote reference"/>
    <w:basedOn w:val="Policepardfaut"/>
    <w:uiPriority w:val="99"/>
    <w:semiHidden/>
    <w:unhideWhenUsed/>
    <w:rsid w:val="00C977FE"/>
    <w:rPr>
      <w:vertAlign w:val="superscript"/>
    </w:rPr>
  </w:style>
  <w:style w:type="character" w:styleId="Lienhypertexte">
    <w:name w:val="Hyperlink"/>
    <w:basedOn w:val="Policepardfaut"/>
    <w:uiPriority w:val="99"/>
    <w:unhideWhenUsed/>
    <w:rsid w:val="00413462"/>
    <w:rPr>
      <w:color w:val="0563C1" w:themeColor="hyperlink"/>
      <w:u w:val="single"/>
    </w:rPr>
  </w:style>
  <w:style w:type="character" w:styleId="Mentionnonrsolue">
    <w:name w:val="Unresolved Mention"/>
    <w:basedOn w:val="Policepardfaut"/>
    <w:uiPriority w:val="99"/>
    <w:semiHidden/>
    <w:unhideWhenUsed/>
    <w:rsid w:val="00413462"/>
    <w:rPr>
      <w:color w:val="605E5C"/>
      <w:shd w:val="clear" w:color="auto" w:fill="E1DFDD"/>
    </w:rPr>
  </w:style>
  <w:style w:type="paragraph" w:styleId="En-tte">
    <w:name w:val="header"/>
    <w:basedOn w:val="Normal"/>
    <w:link w:val="En-tteCar"/>
    <w:uiPriority w:val="99"/>
    <w:unhideWhenUsed/>
    <w:rsid w:val="00246B5A"/>
    <w:pPr>
      <w:tabs>
        <w:tab w:val="center" w:pos="4536"/>
        <w:tab w:val="right" w:pos="9072"/>
      </w:tabs>
      <w:spacing w:after="0" w:line="240" w:lineRule="auto"/>
    </w:pPr>
  </w:style>
  <w:style w:type="character" w:customStyle="1" w:styleId="En-tteCar">
    <w:name w:val="En-tête Car"/>
    <w:basedOn w:val="Policepardfaut"/>
    <w:link w:val="En-tte"/>
    <w:uiPriority w:val="99"/>
    <w:rsid w:val="00246B5A"/>
  </w:style>
  <w:style w:type="paragraph" w:styleId="Pieddepage">
    <w:name w:val="footer"/>
    <w:basedOn w:val="Normal"/>
    <w:link w:val="PieddepageCar"/>
    <w:uiPriority w:val="99"/>
    <w:unhideWhenUsed/>
    <w:rsid w:val="00246B5A"/>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246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E4671-031C-433C-9C89-F639EFE51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2357</Words>
  <Characters>12968</Characters>
  <Application>Microsoft Office Word</Application>
  <DocSecurity>0</DocSecurity>
  <Lines>108</Lines>
  <Paragraphs>30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Griffiths</dc:creator>
  <cp:keywords/>
  <dc:description/>
  <cp:lastModifiedBy>Ruth Griffiths</cp:lastModifiedBy>
  <cp:revision>9</cp:revision>
  <dcterms:created xsi:type="dcterms:W3CDTF">2020-03-11T16:19:00Z</dcterms:created>
  <dcterms:modified xsi:type="dcterms:W3CDTF">2020-03-11T16:33:00Z</dcterms:modified>
</cp:coreProperties>
</file>