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ED5121" w14:textId="77777777" w:rsidR="002F6C03" w:rsidRDefault="005C6D5A" w:rsidP="002F6C03">
      <w:pPr>
        <w:jc w:val="center"/>
        <w:rPr>
          <w:u w:val="single"/>
        </w:rPr>
      </w:pPr>
      <w:r>
        <w:rPr>
          <w:u w:val="single"/>
        </w:rPr>
        <w:t>Gobbet</w:t>
      </w:r>
      <w:r w:rsidR="00325752">
        <w:rPr>
          <w:u w:val="single"/>
        </w:rPr>
        <w:t xml:space="preserve"> - Tennis Court Oath (1791)</w:t>
      </w:r>
    </w:p>
    <w:p w14:paraId="46DB17A4" w14:textId="08A2720D" w:rsidR="005C6D5A" w:rsidRDefault="00A245B9" w:rsidP="002F6C03">
      <w:pPr>
        <w:jc w:val="both"/>
      </w:pPr>
      <w:r>
        <w:t xml:space="preserve">The Tennis Court Oath </w:t>
      </w:r>
      <w:r w:rsidR="00CB3759">
        <w:t>was created</w:t>
      </w:r>
      <w:r w:rsidR="002F6C03">
        <w:t xml:space="preserve"> </w:t>
      </w:r>
      <w:r w:rsidR="00CB3759">
        <w:t xml:space="preserve">by </w:t>
      </w:r>
      <w:r>
        <w:t>Jacques-Louis David</w:t>
      </w:r>
      <w:r w:rsidR="002F6C03">
        <w:t xml:space="preserve"> on </w:t>
      </w:r>
      <w:r w:rsidR="002F6C03" w:rsidRPr="00DC4457">
        <w:t>20</w:t>
      </w:r>
      <w:r w:rsidR="002F6C03" w:rsidRPr="00DC4457">
        <w:rPr>
          <w:vertAlign w:val="superscript"/>
        </w:rPr>
        <w:t>th</w:t>
      </w:r>
      <w:r w:rsidR="002F6C03" w:rsidRPr="00DC4457">
        <w:t xml:space="preserve"> June 1789</w:t>
      </w:r>
      <w:r w:rsidR="002563C8" w:rsidRPr="00DC4457">
        <w:t>.</w:t>
      </w:r>
      <w:r w:rsidR="002563C8">
        <w:t xml:space="preserve"> He did this </w:t>
      </w:r>
      <w:r w:rsidR="00CB3759">
        <w:t>illustration</w:t>
      </w:r>
      <w:r w:rsidR="002563C8">
        <w:t xml:space="preserve"> to represent the chaos </w:t>
      </w:r>
      <w:r w:rsidR="0093001F">
        <w:t>and uproar about the rules created with the estates</w:t>
      </w:r>
      <w:r w:rsidR="002F6C03">
        <w:t xml:space="preserve">. </w:t>
      </w:r>
      <w:r w:rsidR="00CC72F4">
        <w:t xml:space="preserve">In the Tennis Court Oath, the people in the </w:t>
      </w:r>
      <w:r w:rsidR="00CB3759">
        <w:t>illustration</w:t>
      </w:r>
      <w:r w:rsidR="00CC72F4">
        <w:t xml:space="preserve"> are all from the Third Estate </w:t>
      </w:r>
      <w:r w:rsidR="002563C8">
        <w:t xml:space="preserve">as they were </w:t>
      </w:r>
      <w:r w:rsidR="000608C9">
        <w:t>convening</w:t>
      </w:r>
      <w:r w:rsidR="002563C8">
        <w:t xml:space="preserve"> National Assembly</w:t>
      </w:r>
      <w:r w:rsidR="0093001F">
        <w:t xml:space="preserve"> that was being held on the 20</w:t>
      </w:r>
      <w:r w:rsidR="0093001F" w:rsidRPr="0093001F">
        <w:rPr>
          <w:vertAlign w:val="superscript"/>
        </w:rPr>
        <w:t>th</w:t>
      </w:r>
      <w:r w:rsidR="0093001F">
        <w:t xml:space="preserve"> of June 1789</w:t>
      </w:r>
      <w:r w:rsidR="00DC4457">
        <w:t xml:space="preserve"> in France</w:t>
      </w:r>
      <w:r w:rsidR="0093001F">
        <w:t xml:space="preserve">. </w:t>
      </w:r>
      <w:r w:rsidR="003F0262">
        <w:t xml:space="preserve">This illustration was penned at the outbreak of the French </w:t>
      </w:r>
      <w:r w:rsidR="00084EAB">
        <w:t>Revolution</w:t>
      </w:r>
      <w:r w:rsidR="003F0262">
        <w:t xml:space="preserve"> starting in the late 18</w:t>
      </w:r>
      <w:r w:rsidR="003F0262" w:rsidRPr="003F0262">
        <w:rPr>
          <w:vertAlign w:val="superscript"/>
        </w:rPr>
        <w:t>th</w:t>
      </w:r>
      <w:r w:rsidR="003F0262">
        <w:t xml:space="preserve"> century.</w:t>
      </w:r>
    </w:p>
    <w:p w14:paraId="753EA9EB" w14:textId="1FFAD4BB" w:rsidR="00867298" w:rsidRDefault="00DC4457" w:rsidP="00163330">
      <w:pPr>
        <w:jc w:val="both"/>
      </w:pPr>
      <w:r>
        <w:t>In th</w:t>
      </w:r>
      <w:r w:rsidR="00CB3759">
        <w:t>e picture</w:t>
      </w:r>
      <w:r>
        <w:t>, there are window</w:t>
      </w:r>
      <w:r w:rsidR="00CB3759">
        <w:t>s</w:t>
      </w:r>
      <w:r>
        <w:t xml:space="preserve"> at the top of both the left and right side of the building. When looking at the </w:t>
      </w:r>
      <w:r w:rsidR="00CB3759">
        <w:t>depiction</w:t>
      </w:r>
      <w:r>
        <w:t>, on the left side there are curtains that seem to be blowing</w:t>
      </w:r>
      <w:r w:rsidR="00CB3759">
        <w:t xml:space="preserve"> around</w:t>
      </w:r>
      <w:r>
        <w:t>. This could indic</w:t>
      </w:r>
      <w:r w:rsidR="00CB3759">
        <w:t xml:space="preserve">ate the power of which </w:t>
      </w:r>
      <w:r w:rsidR="00CA13DF">
        <w:t>people in the Third Estate have now gained and how the wind has changed</w:t>
      </w:r>
      <w:r w:rsidR="003F0262">
        <w:t>.</w:t>
      </w:r>
      <w:r>
        <w:t xml:space="preserve"> </w:t>
      </w:r>
      <w:r w:rsidR="004C0E54">
        <w:t>“</w:t>
      </w:r>
      <w:r w:rsidR="00867298" w:rsidRPr="007A62FE">
        <w:t>For those who believed in omens, the thunderstorm was the physical harbinger (forewarning) of the end of the old regime</w:t>
      </w:r>
      <w:r w:rsidR="007A62FE">
        <w:t>.</w:t>
      </w:r>
      <w:r w:rsidR="004C0E54">
        <w:t>”</w:t>
      </w:r>
      <w:r w:rsidR="007A62FE">
        <w:rPr>
          <w:rStyle w:val="FootnoteReference"/>
        </w:rPr>
        <w:footnoteReference w:id="1"/>
      </w:r>
      <w:r w:rsidR="007A62FE">
        <w:t xml:space="preserve"> </w:t>
      </w:r>
      <w:r w:rsidR="00084EAB">
        <w:t>In the context of this image the third estate is referred to this way from the ‘Estates-General’ with the first and second estates being the clergy and the nobility respectively</w:t>
      </w:r>
      <w:r w:rsidR="00084EAB">
        <w:t xml:space="preserve">. </w:t>
      </w:r>
      <w:r w:rsidR="00935D7B">
        <w:t xml:space="preserve">In the </w:t>
      </w:r>
      <w:r w:rsidR="008A67B7">
        <w:t>depiction</w:t>
      </w:r>
      <w:r w:rsidR="00C15A31">
        <w:t>,</w:t>
      </w:r>
      <w:r w:rsidR="00935D7B">
        <w:t xml:space="preserve"> there also seems to be people who are representing certain aspects, for example, the </w:t>
      </w:r>
      <w:r w:rsidR="003F0262">
        <w:t>man</w:t>
      </w:r>
      <w:r w:rsidR="00935D7B">
        <w:t xml:space="preserve"> at the front of the picture who is</w:t>
      </w:r>
      <w:r w:rsidR="001C47F3">
        <w:t xml:space="preserve"> wearing white, he is</w:t>
      </w:r>
      <w:r w:rsidR="00935D7B">
        <w:t xml:space="preserve"> supposedly representing the church. </w:t>
      </w:r>
      <w:r w:rsidR="004C0E54">
        <w:t>“</w:t>
      </w:r>
      <w:r w:rsidR="00163330">
        <w:t>T</w:t>
      </w:r>
      <w:r w:rsidR="007A62FE" w:rsidRPr="007A62FE">
        <w:t xml:space="preserve">he Protestant Jean-Paul </w:t>
      </w:r>
      <w:proofErr w:type="spellStart"/>
      <w:r w:rsidR="007A62FE" w:rsidRPr="007A62FE">
        <w:t>Rabaut</w:t>
      </w:r>
      <w:proofErr w:type="spellEnd"/>
      <w:r w:rsidR="007A62FE" w:rsidRPr="007A62FE">
        <w:t xml:space="preserve"> Saint-Etienne (1743-1793, </w:t>
      </w:r>
      <w:proofErr w:type="spellStart"/>
      <w:r w:rsidR="007A62FE" w:rsidRPr="007A62FE">
        <w:t>center</w:t>
      </w:r>
      <w:proofErr w:type="spellEnd"/>
      <w:r w:rsidR="007A62FE" w:rsidRPr="007A62FE">
        <w:t xml:space="preserve">), the Carthusian monk Dom Christophe-Antoine </w:t>
      </w:r>
      <w:proofErr w:type="spellStart"/>
      <w:r w:rsidR="007A62FE" w:rsidRPr="007A62FE">
        <w:t>Gerle</w:t>
      </w:r>
      <w:proofErr w:type="spellEnd"/>
      <w:r w:rsidR="007A62FE" w:rsidRPr="007A62FE">
        <w:t xml:space="preserve"> (1743-1801, left), and the patriot Abbé Henri-Baptiste Grégoire (1750-1831, </w:t>
      </w:r>
      <w:proofErr w:type="spellStart"/>
      <w:r w:rsidR="007A62FE" w:rsidRPr="007A62FE">
        <w:t>center</w:t>
      </w:r>
      <w:proofErr w:type="spellEnd"/>
      <w:r w:rsidR="007A62FE" w:rsidRPr="007A62FE">
        <w:t>)</w:t>
      </w:r>
      <w:r w:rsidR="000048A8">
        <w:t>.</w:t>
      </w:r>
      <w:r w:rsidR="004C0E54">
        <w:t>”</w:t>
      </w:r>
      <w:r w:rsidR="000048A8">
        <w:rPr>
          <w:rStyle w:val="FootnoteReference"/>
        </w:rPr>
        <w:footnoteReference w:id="2"/>
      </w:r>
      <w:r w:rsidR="00344B6A">
        <w:t xml:space="preserve"> </w:t>
      </w:r>
      <w:r w:rsidR="001C47F3">
        <w:t xml:space="preserve">In this </w:t>
      </w:r>
      <w:r w:rsidR="008A67B7">
        <w:t>depiction</w:t>
      </w:r>
      <w:r w:rsidR="00C15A31">
        <w:t>,</w:t>
      </w:r>
      <w:r w:rsidR="001C47F3">
        <w:t xml:space="preserve"> the artist has made everyone look towards the middle person of the picture as he may seem to have more power.</w:t>
      </w:r>
      <w:r w:rsidR="00163330" w:rsidRPr="00163330">
        <w:t xml:space="preserve"> </w:t>
      </w:r>
      <w:r w:rsidR="00163330">
        <w:t>‘</w:t>
      </w:r>
      <w:r w:rsidR="00163330">
        <w:t>At the compositional heart of this image is the figure of Jean-Sylvain Bailly, who had been</w:t>
      </w:r>
      <w:r w:rsidR="00163330">
        <w:t xml:space="preserve"> </w:t>
      </w:r>
      <w:r w:rsidR="00163330">
        <w:t>appointed early in May to control the debates of the Third Estate.</w:t>
      </w:r>
      <w:r w:rsidR="00163330">
        <w:t>’</w:t>
      </w:r>
      <w:r w:rsidR="00163330">
        <w:rPr>
          <w:rStyle w:val="FootnoteReference"/>
        </w:rPr>
        <w:footnoteReference w:id="3"/>
      </w:r>
      <w:r w:rsidR="00CA13DF">
        <w:t xml:space="preserve"> </w:t>
      </w:r>
    </w:p>
    <w:p w14:paraId="06A281AA" w14:textId="797538B9" w:rsidR="00C15A31" w:rsidRPr="00163330" w:rsidRDefault="00084EAB" w:rsidP="00163330">
      <w:pPr>
        <w:jc w:val="both"/>
      </w:pPr>
      <w:r>
        <w:t xml:space="preserve">The significance of this source material is </w:t>
      </w:r>
      <w:r w:rsidR="004C0E54">
        <w:t>twofold</w:t>
      </w:r>
      <w:r>
        <w:t>. Firstly the image is depicting t</w:t>
      </w:r>
      <w:r w:rsidR="000608C9">
        <w:t xml:space="preserve">he people of the </w:t>
      </w:r>
      <w:r w:rsidR="004C0E54">
        <w:t>T</w:t>
      </w:r>
      <w:r w:rsidR="000608C9">
        <w:t xml:space="preserve">hird </w:t>
      </w:r>
      <w:r w:rsidR="004C0E54">
        <w:t>E</w:t>
      </w:r>
      <w:r w:rsidR="000608C9">
        <w:t>state, that being the people of France, the members of the third estate had come to call themselves the National Assembly.</w:t>
      </w:r>
      <w:r w:rsidR="000608C9">
        <w:rPr>
          <w:rStyle w:val="FootnoteReference"/>
        </w:rPr>
        <w:footnoteReference w:id="4"/>
      </w:r>
      <w:r w:rsidR="000608C9">
        <w:t xml:space="preserve"> The meeting of the National Assembly was where 576 of the 577 members of the Third Estate gave the oath which became known as the Tennis Court Oath. The oath itself said “n</w:t>
      </w:r>
      <w:r w:rsidR="000608C9" w:rsidRPr="000608C9">
        <w:t>ot to separate, and to reassemble wherever circumstances require, until the constitution of the kingdom is established</w:t>
      </w:r>
      <w:r w:rsidR="000608C9">
        <w:t>”.</w:t>
      </w:r>
      <w:r w:rsidR="000608C9">
        <w:rPr>
          <w:rStyle w:val="FootnoteReference"/>
        </w:rPr>
        <w:footnoteReference w:id="5"/>
      </w:r>
      <w:r w:rsidR="004C0E54">
        <w:t xml:space="preserve"> Secondly there is the time frame in which the Tennis Court Oath was taken, that being at the very start to the French Revolution. The French Revolution could be said to have started at the failed meeting of the Estates-General in the May of 1789, this meeting of the Estates-General was called to address the crisis of Frances fiscal and agricultural situation. </w:t>
      </w:r>
      <w:proofErr w:type="gramStart"/>
      <w:r w:rsidR="004C0E54">
        <w:t>However</w:t>
      </w:r>
      <w:proofErr w:type="gramEnd"/>
      <w:r w:rsidR="004C0E54">
        <w:t xml:space="preserve"> the meeting got bogged down with the issues of the representation of people at the meeting, this then lead to the formation of the National Assembly, certainly in part, and therefore the taking of the Tennis Court Oath.</w:t>
      </w:r>
      <w:r w:rsidR="004C0E54">
        <w:rPr>
          <w:rStyle w:val="FootnoteReference"/>
        </w:rPr>
        <w:footnoteReference w:id="6"/>
      </w:r>
    </w:p>
    <w:p w14:paraId="29D18AC2" w14:textId="0426CDA9" w:rsidR="00DC4457" w:rsidRDefault="00DC4457" w:rsidP="00867298">
      <w:pPr>
        <w:jc w:val="both"/>
        <w:rPr>
          <w:u w:val="single"/>
        </w:rPr>
      </w:pPr>
    </w:p>
    <w:p w14:paraId="5FAC70F5" w14:textId="7576596B" w:rsidR="00CC2E43" w:rsidRDefault="00CC2E43" w:rsidP="00867298">
      <w:pPr>
        <w:jc w:val="both"/>
        <w:rPr>
          <w:u w:val="single"/>
        </w:rPr>
      </w:pPr>
    </w:p>
    <w:p w14:paraId="585145B8" w14:textId="40EC9AC1" w:rsidR="00CC2E43" w:rsidRDefault="00CC2E43" w:rsidP="00867298">
      <w:pPr>
        <w:jc w:val="both"/>
        <w:rPr>
          <w:u w:val="single"/>
        </w:rPr>
      </w:pPr>
    </w:p>
    <w:p w14:paraId="4FF9C211" w14:textId="3B96EBDB" w:rsidR="00CC2E43" w:rsidRDefault="00CC2E43" w:rsidP="00867298">
      <w:pPr>
        <w:jc w:val="both"/>
        <w:rPr>
          <w:u w:val="single"/>
        </w:rPr>
      </w:pPr>
    </w:p>
    <w:p w14:paraId="3B883BB7" w14:textId="1D759B80" w:rsidR="00CC2E43" w:rsidRDefault="00CC2E43" w:rsidP="00867298">
      <w:pPr>
        <w:jc w:val="both"/>
        <w:rPr>
          <w:u w:val="single"/>
        </w:rPr>
      </w:pPr>
      <w:r>
        <w:rPr>
          <w:u w:val="single"/>
        </w:rPr>
        <w:t>Bibliography</w:t>
      </w:r>
    </w:p>
    <w:p w14:paraId="268F6FFE" w14:textId="77777777" w:rsidR="00CF692A" w:rsidRDefault="00CF692A" w:rsidP="00CF692A">
      <w:bookmarkStart w:id="2" w:name="_Hlk23099594"/>
      <w:r>
        <w:t>History Ed, ‘</w:t>
      </w:r>
      <w:r w:rsidRPr="00CC2E43">
        <w:t>Intentions and contradictions of David’s representation of the Tennis Court Oath</w:t>
      </w:r>
      <w:r>
        <w:t xml:space="preserve">’, </w:t>
      </w:r>
      <w:hyperlink r:id="rId7" w:history="1">
        <w:r w:rsidRPr="003B6B4D">
          <w:rPr>
            <w:rStyle w:val="Hyperlink"/>
          </w:rPr>
          <w:t>http://historyed.com.au/pluginfile.php/498/mod_page/content/27/Activity_DavidsTennisCrtOath.pdf</w:t>
        </w:r>
      </w:hyperlink>
      <w:r>
        <w:t xml:space="preserve"> [Accessed 26/10/19]</w:t>
      </w:r>
      <w:bookmarkStart w:id="3" w:name="_GoBack"/>
      <w:bookmarkEnd w:id="3"/>
    </w:p>
    <w:bookmarkEnd w:id="2"/>
    <w:p w14:paraId="67C834A5" w14:textId="77777777" w:rsidR="00CF692A" w:rsidRPr="00CC2E43" w:rsidRDefault="00CF692A" w:rsidP="00CF692A">
      <w:r w:rsidRPr="00CC2E43">
        <w:t>Thompson, Marshall Putnam</w:t>
      </w:r>
      <w:r>
        <w:t>, ‘</w:t>
      </w:r>
      <w:r w:rsidRPr="00CC2E43">
        <w:t>The Fifth Musketeer: The Marquis de la Fayette</w:t>
      </w:r>
      <w:r>
        <w:t>’,</w:t>
      </w:r>
      <w:r w:rsidRPr="00CC2E43">
        <w:t xml:space="preserve"> </w:t>
      </w:r>
      <w:r w:rsidRPr="00CF692A">
        <w:rPr>
          <w:i/>
          <w:iCs/>
        </w:rPr>
        <w:t>Proceedings of the Bunker Hill Monument Association at the annual meeting</w:t>
      </w:r>
      <w:r>
        <w:rPr>
          <w:i/>
          <w:iCs/>
        </w:rPr>
        <w:t>,</w:t>
      </w:r>
      <w:r w:rsidRPr="00CC2E43">
        <w:t xml:space="preserve"> p. 50.</w:t>
      </w:r>
    </w:p>
    <w:p w14:paraId="069881D3" w14:textId="77777777" w:rsidR="00CF692A" w:rsidRDefault="00CF692A" w:rsidP="00CF692A">
      <w:r>
        <w:t xml:space="preserve">University of </w:t>
      </w:r>
      <w:proofErr w:type="spellStart"/>
      <w:r>
        <w:t>Oregan</w:t>
      </w:r>
      <w:proofErr w:type="spellEnd"/>
      <w:r>
        <w:t xml:space="preserve">, ‘Tennis Court Oath’, </w:t>
      </w:r>
      <w:hyperlink r:id="rId8" w:history="1">
        <w:r w:rsidRPr="00D47F67">
          <w:rPr>
            <w:rStyle w:val="Hyperlink"/>
          </w:rPr>
          <w:t>https://pages.uoregon.edu/dluebke/301ModernEurope/TennisCourtOath.html</w:t>
        </w:r>
      </w:hyperlink>
      <w:r>
        <w:t xml:space="preserve"> [Accessed 26/10/19]</w:t>
      </w:r>
    </w:p>
    <w:p w14:paraId="23B93400" w14:textId="77777777" w:rsidR="00CF692A" w:rsidRDefault="00CF692A" w:rsidP="00CF692A">
      <w:r w:rsidRPr="00CC2E43">
        <w:t>William, Doyle</w:t>
      </w:r>
      <w:r>
        <w:t>,</w:t>
      </w:r>
      <w:r w:rsidRPr="00CC2E43">
        <w:t xml:space="preserve"> </w:t>
      </w:r>
      <w:r w:rsidRPr="00816357">
        <w:rPr>
          <w:i/>
          <w:iCs/>
        </w:rPr>
        <w:t>The Oxford History of the French Revolution</w:t>
      </w:r>
      <w:r w:rsidRPr="00CC2E43">
        <w:t xml:space="preserve">. </w:t>
      </w:r>
      <w:r>
        <w:t>(</w:t>
      </w:r>
      <w:r w:rsidRPr="00CC2E43">
        <w:t>Oxford University Press</w:t>
      </w:r>
      <w:r>
        <w:t>, 1990).</w:t>
      </w:r>
    </w:p>
    <w:sectPr w:rsidR="00CF69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2C1700" w14:textId="77777777" w:rsidR="007A62FE" w:rsidRDefault="007A62FE" w:rsidP="007A62FE">
      <w:pPr>
        <w:spacing w:after="0" w:line="240" w:lineRule="auto"/>
      </w:pPr>
      <w:r>
        <w:separator/>
      </w:r>
    </w:p>
  </w:endnote>
  <w:endnote w:type="continuationSeparator" w:id="0">
    <w:p w14:paraId="7BB243CC" w14:textId="77777777" w:rsidR="007A62FE" w:rsidRDefault="007A62FE" w:rsidP="007A62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300381" w14:textId="77777777" w:rsidR="007A62FE" w:rsidRDefault="007A62FE" w:rsidP="007A62FE">
      <w:pPr>
        <w:spacing w:after="0" w:line="240" w:lineRule="auto"/>
      </w:pPr>
      <w:r>
        <w:separator/>
      </w:r>
    </w:p>
  </w:footnote>
  <w:footnote w:type="continuationSeparator" w:id="0">
    <w:p w14:paraId="459696C0" w14:textId="77777777" w:rsidR="007A62FE" w:rsidRDefault="007A62FE" w:rsidP="007A62FE">
      <w:pPr>
        <w:spacing w:after="0" w:line="240" w:lineRule="auto"/>
      </w:pPr>
      <w:r>
        <w:continuationSeparator/>
      </w:r>
    </w:p>
  </w:footnote>
  <w:footnote w:id="1">
    <w:p w14:paraId="2951FE15" w14:textId="2749913A" w:rsidR="007A62FE" w:rsidRDefault="007A62FE">
      <w:pPr>
        <w:pStyle w:val="FootnoteText"/>
      </w:pPr>
      <w:r>
        <w:rPr>
          <w:rStyle w:val="FootnoteReference"/>
        </w:rPr>
        <w:footnoteRef/>
      </w:r>
      <w:r>
        <w:t xml:space="preserve"> </w:t>
      </w:r>
      <w:r w:rsidR="003B6B4D" w:rsidRPr="003B6B4D">
        <w:t xml:space="preserve">History Ed, ‘Intentions and contradictions of David’s representation of the Tennis Court Oath’, </w:t>
      </w:r>
      <w:hyperlink r:id="rId1" w:history="1">
        <w:r w:rsidR="003B6B4D" w:rsidRPr="003B6B4D">
          <w:rPr>
            <w:rStyle w:val="Hyperlink"/>
          </w:rPr>
          <w:t>http://historyed.com.au/pluginfile.php/498/mod_page/content/27/Activity_DavidsTennisCrtOath.pdf</w:t>
        </w:r>
      </w:hyperlink>
      <w:r w:rsidR="003B6B4D" w:rsidRPr="003B6B4D">
        <w:t xml:space="preserve"> [Accessed 26/10/19]</w:t>
      </w:r>
    </w:p>
  </w:footnote>
  <w:footnote w:id="2">
    <w:p w14:paraId="30732109" w14:textId="0EBA3811" w:rsidR="000048A8" w:rsidRDefault="000048A8">
      <w:pPr>
        <w:pStyle w:val="FootnoteText"/>
      </w:pPr>
      <w:r>
        <w:rPr>
          <w:rStyle w:val="FootnoteReference"/>
        </w:rPr>
        <w:footnoteRef/>
      </w:r>
      <w:r>
        <w:t xml:space="preserve"> </w:t>
      </w:r>
      <w:hyperlink r:id="rId2" w:history="1">
        <w:r w:rsidR="00163330" w:rsidRPr="00E83CD4">
          <w:rPr>
            <w:rStyle w:val="Hyperlink"/>
          </w:rPr>
          <w:t>https://pages.uoregon.edu/dluebke/301ModernEurope/TennisCourtOath.html</w:t>
        </w:r>
      </w:hyperlink>
      <w:r w:rsidR="00163330">
        <w:t xml:space="preserve"> </w:t>
      </w:r>
    </w:p>
  </w:footnote>
  <w:footnote w:id="3">
    <w:p w14:paraId="18E87B12" w14:textId="294A4E54" w:rsidR="00163330" w:rsidRDefault="00163330">
      <w:pPr>
        <w:pStyle w:val="FootnoteText"/>
      </w:pPr>
      <w:r>
        <w:rPr>
          <w:rStyle w:val="FootnoteReference"/>
        </w:rPr>
        <w:footnoteRef/>
      </w:r>
      <w:r>
        <w:t xml:space="preserve"> </w:t>
      </w:r>
      <w:r w:rsidRPr="00163330">
        <w:t>Intentions and contradictions of David’s representation of the Tennis Court Oath</w:t>
      </w:r>
    </w:p>
  </w:footnote>
  <w:footnote w:id="4">
    <w:p w14:paraId="78DAE7DE" w14:textId="2A95A946" w:rsidR="000608C9" w:rsidRDefault="000608C9">
      <w:pPr>
        <w:pStyle w:val="FootnoteText"/>
      </w:pPr>
      <w:bookmarkStart w:id="0" w:name="_Hlk23099236"/>
      <w:r>
        <w:rPr>
          <w:rStyle w:val="FootnoteReference"/>
        </w:rPr>
        <w:footnoteRef/>
      </w:r>
      <w:r>
        <w:t xml:space="preserve"> </w:t>
      </w:r>
      <w:r w:rsidR="004C0E54">
        <w:t>W</w:t>
      </w:r>
      <w:r w:rsidR="00816357">
        <w:t>.</w:t>
      </w:r>
      <w:r w:rsidR="004C0E54">
        <w:t xml:space="preserve"> Doyle</w:t>
      </w:r>
      <w:r w:rsidR="00816357">
        <w:t>.</w:t>
      </w:r>
      <w:r w:rsidRPr="000608C9">
        <w:t xml:space="preserve"> </w:t>
      </w:r>
      <w:r w:rsidRPr="00816357">
        <w:rPr>
          <w:i/>
          <w:iCs/>
        </w:rPr>
        <w:t>The Oxford History of the French Revolution.</w:t>
      </w:r>
      <w:r w:rsidRPr="000608C9">
        <w:t xml:space="preserve"> </w:t>
      </w:r>
      <w:r w:rsidR="00816357">
        <w:t>(</w:t>
      </w:r>
      <w:r w:rsidRPr="000608C9">
        <w:t>Oxford University Press</w:t>
      </w:r>
      <w:r w:rsidR="00816357">
        <w:t>, 1990),</w:t>
      </w:r>
      <w:r w:rsidRPr="000608C9">
        <w:t xml:space="preserve"> p. 105.</w:t>
      </w:r>
      <w:bookmarkEnd w:id="0"/>
    </w:p>
  </w:footnote>
  <w:footnote w:id="5">
    <w:p w14:paraId="0779E3E1" w14:textId="411DAA3B" w:rsidR="000608C9" w:rsidRDefault="000608C9">
      <w:pPr>
        <w:pStyle w:val="FootnoteText"/>
      </w:pPr>
      <w:r>
        <w:rPr>
          <w:rStyle w:val="FootnoteReference"/>
        </w:rPr>
        <w:footnoteRef/>
      </w:r>
      <w:r>
        <w:t xml:space="preserve"> </w:t>
      </w:r>
      <w:bookmarkStart w:id="1" w:name="_Hlk23099260"/>
      <w:r w:rsidR="00816357">
        <w:t xml:space="preserve">M. P. </w:t>
      </w:r>
      <w:r w:rsidRPr="000608C9">
        <w:t>Thompson</w:t>
      </w:r>
      <w:r w:rsidR="00816357">
        <w:t>.</w:t>
      </w:r>
      <w:r w:rsidRPr="000608C9">
        <w:t xml:space="preserve"> </w:t>
      </w:r>
      <w:r w:rsidR="00816357">
        <w:t>‘</w:t>
      </w:r>
      <w:r w:rsidRPr="000608C9">
        <w:t>The Fifth Musketeer: The Marquis de la Fayette</w:t>
      </w:r>
      <w:r w:rsidR="00CF692A">
        <w:t>’,</w:t>
      </w:r>
      <w:r w:rsidRPr="000608C9">
        <w:t xml:space="preserve"> </w:t>
      </w:r>
      <w:r w:rsidRPr="00CF692A">
        <w:rPr>
          <w:i/>
          <w:iCs/>
        </w:rPr>
        <w:t>Proceedings of the Bunker Hill Monument Association at the annual meeting</w:t>
      </w:r>
      <w:r w:rsidR="00CF692A">
        <w:rPr>
          <w:i/>
          <w:iCs/>
        </w:rPr>
        <w:t>,</w:t>
      </w:r>
      <w:r w:rsidRPr="000608C9">
        <w:t xml:space="preserve"> p. 50.</w:t>
      </w:r>
      <w:bookmarkEnd w:id="1"/>
    </w:p>
  </w:footnote>
  <w:footnote w:id="6">
    <w:p w14:paraId="210E1742" w14:textId="7DFBC9E3" w:rsidR="004C0E54" w:rsidRDefault="004C0E54">
      <w:pPr>
        <w:pStyle w:val="FootnoteText"/>
      </w:pPr>
      <w:r>
        <w:rPr>
          <w:rStyle w:val="FootnoteReference"/>
        </w:rPr>
        <w:footnoteRef/>
      </w:r>
      <w:r>
        <w:t xml:space="preserve"> W</w:t>
      </w:r>
      <w:r w:rsidR="00CF692A">
        <w:t>.</w:t>
      </w:r>
      <w:r>
        <w:t xml:space="preserve"> Doyle</w:t>
      </w:r>
      <w:r w:rsidR="00CF692A">
        <w:t>,</w:t>
      </w:r>
      <w:r>
        <w:t xml:space="preserve"> History of the French Revolution.</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D5A"/>
    <w:rsid w:val="000048A8"/>
    <w:rsid w:val="000608C9"/>
    <w:rsid w:val="00084EAB"/>
    <w:rsid w:val="00163330"/>
    <w:rsid w:val="001C47F3"/>
    <w:rsid w:val="002563C8"/>
    <w:rsid w:val="002F6C03"/>
    <w:rsid w:val="00325752"/>
    <w:rsid w:val="00344B6A"/>
    <w:rsid w:val="003B6B4D"/>
    <w:rsid w:val="003F0262"/>
    <w:rsid w:val="004C0E54"/>
    <w:rsid w:val="00592A9E"/>
    <w:rsid w:val="005C6D5A"/>
    <w:rsid w:val="007A62FE"/>
    <w:rsid w:val="00816357"/>
    <w:rsid w:val="008624D3"/>
    <w:rsid w:val="00867298"/>
    <w:rsid w:val="008A67B7"/>
    <w:rsid w:val="0093001F"/>
    <w:rsid w:val="00935D7B"/>
    <w:rsid w:val="00A245B9"/>
    <w:rsid w:val="00B10D1E"/>
    <w:rsid w:val="00C15A31"/>
    <w:rsid w:val="00CA13DF"/>
    <w:rsid w:val="00CB3759"/>
    <w:rsid w:val="00CC2E43"/>
    <w:rsid w:val="00CC72F4"/>
    <w:rsid w:val="00CF692A"/>
    <w:rsid w:val="00D10284"/>
    <w:rsid w:val="00DC4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D9ADE"/>
  <w15:chartTrackingRefBased/>
  <w15:docId w15:val="{EA4B317F-0F78-4E5F-8D61-3F1A0D346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A62F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A62FE"/>
    <w:rPr>
      <w:sz w:val="20"/>
      <w:szCs w:val="20"/>
    </w:rPr>
  </w:style>
  <w:style w:type="character" w:styleId="FootnoteReference">
    <w:name w:val="footnote reference"/>
    <w:basedOn w:val="DefaultParagraphFont"/>
    <w:uiPriority w:val="99"/>
    <w:semiHidden/>
    <w:unhideWhenUsed/>
    <w:rsid w:val="007A62FE"/>
    <w:rPr>
      <w:vertAlign w:val="superscript"/>
    </w:rPr>
  </w:style>
  <w:style w:type="character" w:styleId="Hyperlink">
    <w:name w:val="Hyperlink"/>
    <w:basedOn w:val="DefaultParagraphFont"/>
    <w:uiPriority w:val="99"/>
    <w:unhideWhenUsed/>
    <w:rsid w:val="00163330"/>
    <w:rPr>
      <w:color w:val="0563C1" w:themeColor="hyperlink"/>
      <w:u w:val="single"/>
    </w:rPr>
  </w:style>
  <w:style w:type="character" w:styleId="UnresolvedMention">
    <w:name w:val="Unresolved Mention"/>
    <w:basedOn w:val="DefaultParagraphFont"/>
    <w:uiPriority w:val="99"/>
    <w:semiHidden/>
    <w:unhideWhenUsed/>
    <w:rsid w:val="001633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ges.uoregon.edu/dluebke/301ModernEurope/TennisCourtOath.html" TargetMode="External"/><Relationship Id="rId3" Type="http://schemas.openxmlformats.org/officeDocument/2006/relationships/settings" Target="settings.xml"/><Relationship Id="rId7" Type="http://schemas.openxmlformats.org/officeDocument/2006/relationships/hyperlink" Target="http://historyed.com.au/pluginfile.php/498/mod_page/content/27/Activity_DavidsTennisCrtOath.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pages.uoregon.edu/dluebke/301ModernEurope/TennisCourtOath.html" TargetMode="External"/><Relationship Id="rId1" Type="http://schemas.openxmlformats.org/officeDocument/2006/relationships/hyperlink" Target="http://historyed.com.au/pluginfile.php/498/mod_page/content/27/Activity_DavidsTennisCrtOat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010D78-3C34-40F6-8726-E10BA4F797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690</Words>
  <Characters>3046</Characters>
  <Application>Microsoft Office Word</Application>
  <DocSecurity>0</DocSecurity>
  <Lines>44</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lel is amazing .</dc:creator>
  <cp:keywords/>
  <dc:description/>
  <cp:lastModifiedBy>lel is amazing .</cp:lastModifiedBy>
  <cp:revision>2</cp:revision>
  <dcterms:created xsi:type="dcterms:W3CDTF">2019-10-27T20:23:00Z</dcterms:created>
  <dcterms:modified xsi:type="dcterms:W3CDTF">2019-10-27T20:23:00Z</dcterms:modified>
</cp:coreProperties>
</file>