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B6023C" w14:textId="13952A74" w:rsidR="0000158A" w:rsidRDefault="0000158A" w:rsidP="0000158A">
      <w:pPr>
        <w:jc w:val="center"/>
      </w:pPr>
      <w:r>
        <w:rPr>
          <w:noProof/>
        </w:rPr>
        <w:drawing>
          <wp:inline distT="0" distB="0" distL="0" distR="0" wp14:anchorId="5C8A5ECF" wp14:editId="39BE58B4">
            <wp:extent cx="4360032" cy="1885950"/>
            <wp:effectExtent l="0" t="0" r="0" b="0"/>
            <wp:docPr id="867135030" name="Picture 1"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651206" cy="2011899"/>
                    </a:xfrm>
                    <a:prstGeom prst="rect">
                      <a:avLst/>
                    </a:prstGeom>
                    <a:noFill/>
                    <a:ln>
                      <a:noFill/>
                    </a:ln>
                  </pic:spPr>
                </pic:pic>
              </a:graphicData>
            </a:graphic>
          </wp:inline>
        </w:drawing>
      </w:r>
    </w:p>
    <w:p w14:paraId="274C82B2" w14:textId="052322D9" w:rsidR="0000158A" w:rsidRPr="00583D6E" w:rsidRDefault="0000158A" w:rsidP="0000158A">
      <w:pPr>
        <w:rPr>
          <w:rFonts w:asciiTheme="minorBidi" w:hAnsiTheme="minorBidi"/>
          <w:sz w:val="48"/>
          <w:szCs w:val="48"/>
        </w:rPr>
      </w:pPr>
      <w:r w:rsidRPr="00583D6E">
        <w:rPr>
          <w:rFonts w:asciiTheme="minorBidi" w:hAnsiTheme="minorBidi"/>
          <w:b/>
          <w:bCs/>
          <w:sz w:val="48"/>
          <w:szCs w:val="48"/>
        </w:rPr>
        <w:t xml:space="preserve">Module Name: </w:t>
      </w:r>
      <w:r>
        <w:rPr>
          <w:rFonts w:asciiTheme="minorBidi" w:hAnsiTheme="minorBidi"/>
          <w:sz w:val="48"/>
          <w:szCs w:val="48"/>
        </w:rPr>
        <w:t xml:space="preserve">Problem solving and Innovation </w:t>
      </w:r>
    </w:p>
    <w:p w14:paraId="3D3EADFF" w14:textId="77777777" w:rsidR="0000158A" w:rsidRPr="00583D6E" w:rsidRDefault="0000158A" w:rsidP="0000158A">
      <w:pPr>
        <w:rPr>
          <w:rFonts w:asciiTheme="minorBidi" w:hAnsiTheme="minorBidi"/>
          <w:b/>
          <w:bCs/>
          <w:sz w:val="48"/>
          <w:szCs w:val="48"/>
        </w:rPr>
      </w:pPr>
    </w:p>
    <w:p w14:paraId="28A5E67B" w14:textId="6105EF83" w:rsidR="0000158A" w:rsidRPr="00583D6E" w:rsidRDefault="0000158A" w:rsidP="0000158A">
      <w:pPr>
        <w:rPr>
          <w:rFonts w:asciiTheme="minorBidi" w:hAnsiTheme="minorBidi"/>
          <w:sz w:val="48"/>
          <w:szCs w:val="48"/>
        </w:rPr>
      </w:pPr>
      <w:r w:rsidRPr="00583D6E">
        <w:rPr>
          <w:rFonts w:asciiTheme="minorBidi" w:hAnsiTheme="minorBidi"/>
          <w:b/>
          <w:bCs/>
          <w:sz w:val="48"/>
          <w:szCs w:val="48"/>
        </w:rPr>
        <w:t xml:space="preserve">Module Code: </w:t>
      </w:r>
      <w:r w:rsidRPr="00583D6E">
        <w:rPr>
          <w:rFonts w:asciiTheme="minorBidi" w:hAnsiTheme="minorBidi"/>
          <w:sz w:val="48"/>
          <w:szCs w:val="48"/>
        </w:rPr>
        <w:t>BMSW40</w:t>
      </w:r>
      <w:r>
        <w:rPr>
          <w:rFonts w:asciiTheme="minorBidi" w:hAnsiTheme="minorBidi"/>
          <w:sz w:val="48"/>
          <w:szCs w:val="48"/>
        </w:rPr>
        <w:t>14</w:t>
      </w:r>
    </w:p>
    <w:p w14:paraId="7F87C429" w14:textId="77777777" w:rsidR="0000158A" w:rsidRPr="00583D6E" w:rsidRDefault="0000158A" w:rsidP="0000158A">
      <w:pPr>
        <w:rPr>
          <w:rFonts w:asciiTheme="minorBidi" w:hAnsiTheme="minorBidi"/>
          <w:b/>
          <w:bCs/>
          <w:sz w:val="48"/>
          <w:szCs w:val="48"/>
        </w:rPr>
      </w:pPr>
    </w:p>
    <w:p w14:paraId="167D640A" w14:textId="77777777" w:rsidR="0000158A" w:rsidRPr="006A70C4" w:rsidRDefault="0000158A" w:rsidP="0000158A">
      <w:pPr>
        <w:rPr>
          <w:rFonts w:asciiTheme="minorBidi" w:hAnsiTheme="minorBidi"/>
          <w:sz w:val="48"/>
          <w:szCs w:val="48"/>
        </w:rPr>
      </w:pPr>
      <w:r w:rsidRPr="00583D6E">
        <w:rPr>
          <w:rFonts w:asciiTheme="minorBidi" w:hAnsiTheme="minorBidi"/>
          <w:b/>
          <w:bCs/>
          <w:sz w:val="48"/>
          <w:szCs w:val="48"/>
        </w:rPr>
        <w:t>Student Name:</w:t>
      </w:r>
      <w:r>
        <w:rPr>
          <w:rFonts w:asciiTheme="minorBidi" w:hAnsiTheme="minorBidi"/>
          <w:b/>
          <w:bCs/>
          <w:sz w:val="48"/>
          <w:szCs w:val="48"/>
        </w:rPr>
        <w:t xml:space="preserve"> </w:t>
      </w:r>
      <w:r>
        <w:rPr>
          <w:rFonts w:asciiTheme="minorBidi" w:hAnsiTheme="minorBidi"/>
          <w:sz w:val="48"/>
          <w:szCs w:val="48"/>
        </w:rPr>
        <w:t>Aurelia-Mirela Sterian</w:t>
      </w:r>
    </w:p>
    <w:p w14:paraId="637392F2" w14:textId="77777777" w:rsidR="0000158A" w:rsidRPr="00583D6E" w:rsidRDefault="0000158A" w:rsidP="0000158A">
      <w:pPr>
        <w:rPr>
          <w:rFonts w:asciiTheme="minorBidi" w:hAnsiTheme="minorBidi"/>
          <w:b/>
          <w:bCs/>
          <w:sz w:val="48"/>
          <w:szCs w:val="48"/>
        </w:rPr>
      </w:pPr>
    </w:p>
    <w:p w14:paraId="63D93A69" w14:textId="77777777" w:rsidR="0000158A" w:rsidRPr="006A70C4" w:rsidRDefault="0000158A" w:rsidP="0000158A">
      <w:pPr>
        <w:rPr>
          <w:rFonts w:asciiTheme="minorBidi" w:hAnsiTheme="minorBidi"/>
          <w:sz w:val="48"/>
          <w:szCs w:val="48"/>
        </w:rPr>
      </w:pPr>
      <w:r w:rsidRPr="00583D6E">
        <w:rPr>
          <w:rFonts w:asciiTheme="minorBidi" w:hAnsiTheme="minorBidi"/>
          <w:b/>
          <w:bCs/>
          <w:sz w:val="48"/>
          <w:szCs w:val="48"/>
        </w:rPr>
        <w:t>Student Number:</w:t>
      </w:r>
      <w:r>
        <w:rPr>
          <w:rFonts w:asciiTheme="minorBidi" w:hAnsiTheme="minorBidi"/>
          <w:b/>
          <w:bCs/>
          <w:sz w:val="48"/>
          <w:szCs w:val="48"/>
        </w:rPr>
        <w:t xml:space="preserve"> </w:t>
      </w:r>
      <w:r>
        <w:rPr>
          <w:rFonts w:asciiTheme="minorBidi" w:hAnsiTheme="minorBidi"/>
          <w:sz w:val="48"/>
          <w:szCs w:val="48"/>
        </w:rPr>
        <w:t>2238113</w:t>
      </w:r>
    </w:p>
    <w:p w14:paraId="1FA2A896" w14:textId="77777777" w:rsidR="0000158A" w:rsidRPr="00583D6E" w:rsidRDefault="0000158A" w:rsidP="0000158A">
      <w:pPr>
        <w:rPr>
          <w:rFonts w:asciiTheme="minorBidi" w:hAnsiTheme="minorBidi"/>
          <w:b/>
          <w:bCs/>
          <w:sz w:val="48"/>
          <w:szCs w:val="48"/>
        </w:rPr>
      </w:pPr>
    </w:p>
    <w:p w14:paraId="3E2A3F2F" w14:textId="0A47F7AF" w:rsidR="0000158A" w:rsidRPr="006A70C4" w:rsidRDefault="0000158A" w:rsidP="0000158A">
      <w:pPr>
        <w:rPr>
          <w:rFonts w:asciiTheme="minorBidi" w:hAnsiTheme="minorBidi"/>
          <w:sz w:val="48"/>
          <w:szCs w:val="48"/>
        </w:rPr>
      </w:pPr>
      <w:r w:rsidRPr="00583D6E">
        <w:rPr>
          <w:rFonts w:asciiTheme="minorBidi" w:hAnsiTheme="minorBidi"/>
          <w:b/>
          <w:bCs/>
          <w:sz w:val="48"/>
          <w:szCs w:val="48"/>
        </w:rPr>
        <w:t>Lecturer:</w:t>
      </w:r>
      <w:r>
        <w:rPr>
          <w:rFonts w:asciiTheme="minorBidi" w:hAnsiTheme="minorBidi"/>
          <w:sz w:val="48"/>
          <w:szCs w:val="48"/>
        </w:rPr>
        <w:t xml:space="preserve"> </w:t>
      </w:r>
      <w:r>
        <w:rPr>
          <w:rFonts w:asciiTheme="minorBidi" w:hAnsiTheme="minorBidi"/>
          <w:sz w:val="48"/>
          <w:szCs w:val="48"/>
        </w:rPr>
        <w:t>Jaliya De Silva</w:t>
      </w:r>
    </w:p>
    <w:p w14:paraId="75C6CCDB" w14:textId="77777777" w:rsidR="0000158A" w:rsidRPr="00583D6E" w:rsidRDefault="0000158A" w:rsidP="0000158A">
      <w:pPr>
        <w:rPr>
          <w:rFonts w:asciiTheme="minorBidi" w:hAnsiTheme="minorBidi"/>
          <w:b/>
          <w:bCs/>
          <w:sz w:val="48"/>
          <w:szCs w:val="48"/>
        </w:rPr>
      </w:pPr>
    </w:p>
    <w:p w14:paraId="66ADE524" w14:textId="6635CFD6" w:rsidR="0000158A" w:rsidRPr="00583D6E" w:rsidRDefault="0000158A" w:rsidP="0000158A">
      <w:pPr>
        <w:rPr>
          <w:rFonts w:asciiTheme="minorBidi" w:hAnsiTheme="minorBidi"/>
          <w:sz w:val="48"/>
          <w:szCs w:val="48"/>
        </w:rPr>
      </w:pPr>
      <w:r w:rsidRPr="00583D6E">
        <w:rPr>
          <w:rFonts w:asciiTheme="minorBidi" w:hAnsiTheme="minorBidi"/>
          <w:b/>
          <w:bCs/>
          <w:sz w:val="48"/>
          <w:szCs w:val="48"/>
        </w:rPr>
        <w:t xml:space="preserve">Deadline: </w:t>
      </w:r>
      <w:r>
        <w:rPr>
          <w:rFonts w:asciiTheme="minorBidi" w:hAnsiTheme="minorBidi"/>
          <w:sz w:val="48"/>
          <w:szCs w:val="48"/>
        </w:rPr>
        <w:t>Monday 2</w:t>
      </w:r>
      <w:r w:rsidRPr="0000158A">
        <w:rPr>
          <w:rFonts w:asciiTheme="minorBidi" w:hAnsiTheme="minorBidi"/>
          <w:sz w:val="48"/>
          <w:szCs w:val="48"/>
          <w:vertAlign w:val="superscript"/>
        </w:rPr>
        <w:t>nd</w:t>
      </w:r>
      <w:r>
        <w:rPr>
          <w:rFonts w:asciiTheme="minorBidi" w:hAnsiTheme="minorBidi"/>
          <w:sz w:val="48"/>
          <w:szCs w:val="48"/>
        </w:rPr>
        <w:t xml:space="preserve"> of </w:t>
      </w:r>
      <w:proofErr w:type="gramStart"/>
      <w:r>
        <w:rPr>
          <w:rFonts w:asciiTheme="minorBidi" w:hAnsiTheme="minorBidi"/>
          <w:sz w:val="48"/>
          <w:szCs w:val="48"/>
        </w:rPr>
        <w:t xml:space="preserve">November </w:t>
      </w:r>
      <w:r w:rsidRPr="00583D6E">
        <w:rPr>
          <w:rFonts w:asciiTheme="minorBidi" w:hAnsiTheme="minorBidi"/>
          <w:sz w:val="48"/>
          <w:szCs w:val="48"/>
        </w:rPr>
        <w:t xml:space="preserve"> 2026</w:t>
      </w:r>
      <w:proofErr w:type="gramEnd"/>
      <w:r w:rsidRPr="00583D6E">
        <w:rPr>
          <w:rFonts w:asciiTheme="minorBidi" w:hAnsiTheme="minorBidi"/>
          <w:sz w:val="48"/>
          <w:szCs w:val="48"/>
        </w:rPr>
        <w:t xml:space="preserve"> 23.59PM</w:t>
      </w:r>
    </w:p>
    <w:p w14:paraId="6727E9A8" w14:textId="3DEC9411" w:rsidR="0000158A" w:rsidRPr="00746048" w:rsidRDefault="0000158A" w:rsidP="00746048">
      <w:pPr>
        <w:jc w:val="both"/>
        <w:rPr>
          <w:rFonts w:ascii="Arial" w:hAnsi="Arial" w:cs="Arial"/>
        </w:rPr>
      </w:pPr>
      <w:proofErr w:type="gramStart"/>
      <w:r w:rsidRPr="00746048">
        <w:rPr>
          <w:rFonts w:ascii="Arial" w:hAnsi="Arial" w:cs="Arial"/>
        </w:rPr>
        <w:t>Wordcount :</w:t>
      </w:r>
      <w:proofErr w:type="gramEnd"/>
      <w:r w:rsidRPr="00746048">
        <w:rPr>
          <w:rFonts w:ascii="Arial" w:hAnsi="Arial" w:cs="Arial"/>
        </w:rPr>
        <w:t xml:space="preserve"> 1500 words</w:t>
      </w:r>
    </w:p>
    <w:p w14:paraId="68CBF0AC" w14:textId="77777777" w:rsidR="00746048" w:rsidRDefault="00746048" w:rsidP="00746048">
      <w:pPr>
        <w:spacing w:line="360" w:lineRule="auto"/>
        <w:jc w:val="both"/>
        <w:rPr>
          <w:rFonts w:ascii="Arial" w:hAnsi="Arial" w:cs="Arial"/>
          <w:b/>
          <w:bCs/>
        </w:rPr>
      </w:pPr>
    </w:p>
    <w:p w14:paraId="1AD09160" w14:textId="4FE03E89" w:rsidR="0000158A" w:rsidRPr="00732DD6" w:rsidRDefault="0000158A" w:rsidP="0000158A">
      <w:pPr>
        <w:spacing w:line="360" w:lineRule="auto"/>
        <w:ind w:left="360"/>
        <w:jc w:val="both"/>
        <w:rPr>
          <w:rFonts w:ascii="Arial" w:hAnsi="Arial" w:cs="Arial"/>
          <w:b/>
          <w:bCs/>
        </w:rPr>
      </w:pPr>
      <w:r w:rsidRPr="00732DD6">
        <w:rPr>
          <w:rFonts w:ascii="Arial" w:hAnsi="Arial" w:cs="Arial"/>
          <w:b/>
          <w:bCs/>
        </w:rPr>
        <w:t>AI Acknowledgement</w:t>
      </w:r>
    </w:p>
    <w:p w14:paraId="4E65C560" w14:textId="77777777" w:rsidR="0000158A" w:rsidRDefault="0000158A" w:rsidP="0000158A">
      <w:pPr>
        <w:spacing w:line="360" w:lineRule="auto"/>
        <w:jc w:val="both"/>
        <w:rPr>
          <w:rFonts w:ascii="Arial" w:hAnsi="Arial" w:cs="Arial"/>
          <w:b/>
          <w:bCs/>
        </w:rPr>
      </w:pPr>
    </w:p>
    <w:p w14:paraId="6B649950" w14:textId="77777777" w:rsidR="00746048" w:rsidRDefault="00746048" w:rsidP="0000158A">
      <w:pPr>
        <w:spacing w:line="360" w:lineRule="auto"/>
        <w:jc w:val="both"/>
        <w:rPr>
          <w:rFonts w:ascii="Arial" w:hAnsi="Arial" w:cs="Arial"/>
          <w:b/>
          <w:bCs/>
        </w:rPr>
      </w:pPr>
    </w:p>
    <w:p w14:paraId="3151C1E0" w14:textId="7A50C0EC" w:rsidR="0000158A" w:rsidRPr="00427C0F" w:rsidRDefault="0000158A" w:rsidP="0000158A">
      <w:pPr>
        <w:pStyle w:val="NormalWeb"/>
        <w:spacing w:line="360" w:lineRule="auto"/>
        <w:ind w:left="360"/>
        <w:jc w:val="both"/>
        <w:rPr>
          <w:rFonts w:ascii="Arial" w:hAnsi="Arial" w:cs="Arial"/>
        </w:rPr>
      </w:pPr>
      <w:r w:rsidRPr="00427C0F">
        <w:rPr>
          <w:rFonts w:ascii="Arial" w:hAnsi="Arial" w:cs="Arial"/>
        </w:rPr>
        <w:t>I acknowledge the use of ChatGPT (</w:t>
      </w:r>
      <w:r w:rsidRPr="00427C0F">
        <w:rPr>
          <w:rFonts w:ascii="Arial" w:hAnsi="Arial" w:cs="Arial"/>
          <w:color w:val="447784"/>
        </w:rPr>
        <w:t>https://chat.openai.com</w:t>
      </w:r>
      <w:r w:rsidRPr="00427C0F">
        <w:rPr>
          <w:rFonts w:ascii="Arial" w:hAnsi="Arial" w:cs="Arial"/>
        </w:rPr>
        <w:t xml:space="preserve">) on </w:t>
      </w:r>
      <w:proofErr w:type="gramStart"/>
      <w:r>
        <w:rPr>
          <w:rFonts w:ascii="Arial" w:hAnsi="Arial" w:cs="Arial"/>
        </w:rPr>
        <w:t>21</w:t>
      </w:r>
      <w:r>
        <w:rPr>
          <w:rFonts w:ascii="Arial" w:hAnsi="Arial" w:cs="Arial"/>
        </w:rPr>
        <w:t>th</w:t>
      </w:r>
      <w:proofErr w:type="gramEnd"/>
      <w:r w:rsidRPr="00427C0F">
        <w:rPr>
          <w:rFonts w:ascii="Arial" w:hAnsi="Arial" w:cs="Arial"/>
        </w:rPr>
        <w:t xml:space="preserve"> </w:t>
      </w:r>
      <w:r>
        <w:rPr>
          <w:rFonts w:ascii="Arial" w:hAnsi="Arial" w:cs="Arial"/>
        </w:rPr>
        <w:t>October</w:t>
      </w:r>
      <w:r w:rsidRPr="00427C0F">
        <w:rPr>
          <w:rFonts w:ascii="Arial" w:hAnsi="Arial" w:cs="Arial"/>
        </w:rPr>
        <w:t xml:space="preserve"> 2026 for a Romanian explanation on how this assessment should be done</w:t>
      </w:r>
      <w:r>
        <w:rPr>
          <w:rFonts w:ascii="Arial" w:hAnsi="Arial" w:cs="Arial"/>
        </w:rPr>
        <w:t>, to make sure I complete all the task the lecturer is expecting.</w:t>
      </w:r>
    </w:p>
    <w:p w14:paraId="28878B96" w14:textId="77777777" w:rsidR="0000158A" w:rsidRDefault="0000158A" w:rsidP="0000158A">
      <w:pPr>
        <w:spacing w:line="360" w:lineRule="auto"/>
        <w:jc w:val="both"/>
        <w:rPr>
          <w:rFonts w:ascii="Arial" w:hAnsi="Arial" w:cs="Arial"/>
          <w:b/>
          <w:bCs/>
        </w:rPr>
      </w:pPr>
    </w:p>
    <w:p w14:paraId="663CD15D" w14:textId="77777777" w:rsidR="00746048" w:rsidRDefault="00746048" w:rsidP="0000158A">
      <w:pPr>
        <w:spacing w:line="360" w:lineRule="auto"/>
        <w:jc w:val="both"/>
        <w:rPr>
          <w:rFonts w:ascii="Arial" w:hAnsi="Arial" w:cs="Arial"/>
          <w:b/>
          <w:bCs/>
        </w:rPr>
      </w:pPr>
    </w:p>
    <w:p w14:paraId="0A35B91E" w14:textId="77777777" w:rsidR="00746048" w:rsidRPr="00427C0F" w:rsidRDefault="00746048" w:rsidP="0000158A">
      <w:pPr>
        <w:spacing w:line="360" w:lineRule="auto"/>
        <w:jc w:val="both"/>
        <w:rPr>
          <w:rFonts w:ascii="Arial" w:hAnsi="Arial" w:cs="Arial"/>
          <w:b/>
          <w:bCs/>
        </w:rPr>
      </w:pPr>
    </w:p>
    <w:p w14:paraId="7302D1D4" w14:textId="77777777" w:rsidR="0000158A" w:rsidRPr="00427C0F" w:rsidRDefault="0000158A" w:rsidP="0000158A">
      <w:pPr>
        <w:spacing w:line="360" w:lineRule="auto"/>
        <w:ind w:left="360"/>
        <w:jc w:val="both"/>
        <w:rPr>
          <w:rFonts w:ascii="Arial" w:hAnsi="Arial" w:cs="Arial"/>
        </w:rPr>
        <w:sectPr w:rsidR="0000158A" w:rsidRPr="00427C0F" w:rsidSect="0000158A">
          <w:pgSz w:w="11906" w:h="16838"/>
          <w:pgMar w:top="1440" w:right="1440" w:bottom="1440" w:left="1440" w:header="708" w:footer="708" w:gutter="0"/>
          <w:cols w:space="708"/>
          <w:docGrid w:linePitch="360"/>
        </w:sectPr>
      </w:pPr>
      <w:r w:rsidRPr="00427C0F">
        <w:rPr>
          <w:rFonts w:ascii="Arial" w:hAnsi="Arial" w:cs="Arial"/>
        </w:rPr>
        <w:t>I confirm that I have not presented any AI-generated text as my own work. I confirm that I have retained copies of drafts, notes, and resources used before and after the use of AI tools</w:t>
      </w:r>
      <w:r>
        <w:rPr>
          <w:rFonts w:ascii="Arial" w:hAnsi="Arial" w:cs="Arial"/>
        </w:rPr>
        <w:t>.</w:t>
      </w:r>
    </w:p>
    <w:p w14:paraId="05F5AC8D" w14:textId="0AC4EEA5" w:rsidR="0000158A" w:rsidRDefault="00746048" w:rsidP="00746048">
      <w:pPr>
        <w:pStyle w:val="Title"/>
        <w:rPr>
          <w:sz w:val="40"/>
          <w:szCs w:val="40"/>
        </w:rPr>
      </w:pPr>
      <w:r w:rsidRPr="00746048">
        <w:rPr>
          <w:sz w:val="40"/>
          <w:szCs w:val="40"/>
        </w:rPr>
        <w:lastRenderedPageBreak/>
        <w:t>Executive summary</w:t>
      </w:r>
    </w:p>
    <w:p w14:paraId="69437E8B" w14:textId="77777777" w:rsidR="00746048" w:rsidRDefault="00746048" w:rsidP="00746048"/>
    <w:p w14:paraId="728CB4A5" w14:textId="092B4384" w:rsidR="00746048" w:rsidRDefault="00746048" w:rsidP="00746048">
      <w:pPr>
        <w:spacing w:line="360" w:lineRule="auto"/>
        <w:jc w:val="both"/>
        <w:rPr>
          <w:rFonts w:ascii="Arial" w:hAnsi="Arial" w:cs="Arial"/>
        </w:rPr>
      </w:pPr>
      <w:r>
        <w:rPr>
          <w:rFonts w:ascii="Arial" w:hAnsi="Arial" w:cs="Arial"/>
        </w:rPr>
        <w:t xml:space="preserve">The creator economy offers substantial opportunities, but its sustainability is constrained by platform dependence, uneven income, intense competition, legal and </w:t>
      </w:r>
      <w:proofErr w:type="spellStart"/>
      <w:r>
        <w:rPr>
          <w:rFonts w:ascii="Arial" w:hAnsi="Arial" w:cs="Arial"/>
        </w:rPr>
        <w:t>ethnical</w:t>
      </w:r>
      <w:proofErr w:type="spellEnd"/>
      <w:r>
        <w:rPr>
          <w:rFonts w:ascii="Arial" w:hAnsi="Arial" w:cs="Arial"/>
        </w:rPr>
        <w:t xml:space="preserve"> risks. Using the DPSIR framework, this report examines how technology, audience behaviour and commercial demand drive growth while algorithmic control and unstable monetisation create pressure. STEEPLE and SWOT analyses, alongside three creator cases, show that risks differ by business model. The report recommends </w:t>
      </w:r>
      <w:r w:rsidR="00783890">
        <w:rPr>
          <w:rFonts w:ascii="Arial" w:hAnsi="Arial" w:cs="Arial"/>
        </w:rPr>
        <w:t>diversified distribution</w:t>
      </w:r>
      <w:r>
        <w:rPr>
          <w:rFonts w:ascii="Arial" w:hAnsi="Arial" w:cs="Arial"/>
        </w:rPr>
        <w:t xml:space="preserve"> and revenue, plus clear procedures for </w:t>
      </w:r>
      <w:r w:rsidR="00783890">
        <w:rPr>
          <w:rFonts w:ascii="Arial" w:hAnsi="Arial" w:cs="Arial"/>
        </w:rPr>
        <w:t>advertising disclosure and audience trust.</w:t>
      </w:r>
    </w:p>
    <w:p w14:paraId="07A2EA9C" w14:textId="77777777" w:rsidR="00783890" w:rsidRDefault="00783890" w:rsidP="00746048">
      <w:pPr>
        <w:spacing w:line="360" w:lineRule="auto"/>
        <w:jc w:val="both"/>
        <w:rPr>
          <w:rFonts w:ascii="Arial" w:hAnsi="Arial" w:cs="Arial"/>
        </w:rPr>
      </w:pPr>
    </w:p>
    <w:p w14:paraId="2F6F7A5B" w14:textId="77777777" w:rsidR="00783890" w:rsidRDefault="00783890" w:rsidP="00746048">
      <w:pPr>
        <w:spacing w:line="360" w:lineRule="auto"/>
        <w:jc w:val="both"/>
        <w:rPr>
          <w:rFonts w:ascii="Arial" w:hAnsi="Arial" w:cs="Arial"/>
        </w:rPr>
      </w:pPr>
    </w:p>
    <w:p w14:paraId="733DF5C1" w14:textId="77777777" w:rsidR="00783890" w:rsidRDefault="00783890" w:rsidP="00746048">
      <w:pPr>
        <w:spacing w:line="360" w:lineRule="auto"/>
        <w:jc w:val="both"/>
        <w:rPr>
          <w:rFonts w:ascii="Arial" w:hAnsi="Arial" w:cs="Arial"/>
        </w:rPr>
      </w:pPr>
    </w:p>
    <w:p w14:paraId="3660B411" w14:textId="77777777" w:rsidR="00783890" w:rsidRDefault="00783890" w:rsidP="00746048">
      <w:pPr>
        <w:spacing w:line="360" w:lineRule="auto"/>
        <w:jc w:val="both"/>
        <w:rPr>
          <w:rFonts w:ascii="Arial" w:hAnsi="Arial" w:cs="Arial"/>
        </w:rPr>
      </w:pPr>
    </w:p>
    <w:p w14:paraId="1CABE0D7" w14:textId="77777777" w:rsidR="00783890" w:rsidRDefault="00783890" w:rsidP="00746048">
      <w:pPr>
        <w:spacing w:line="360" w:lineRule="auto"/>
        <w:jc w:val="both"/>
        <w:rPr>
          <w:rFonts w:ascii="Arial" w:hAnsi="Arial" w:cs="Arial"/>
        </w:rPr>
      </w:pPr>
    </w:p>
    <w:p w14:paraId="312A10F1" w14:textId="77777777" w:rsidR="00783890" w:rsidRDefault="00783890" w:rsidP="00746048">
      <w:pPr>
        <w:spacing w:line="360" w:lineRule="auto"/>
        <w:jc w:val="both"/>
        <w:rPr>
          <w:rFonts w:ascii="Arial" w:hAnsi="Arial" w:cs="Arial"/>
        </w:rPr>
      </w:pPr>
    </w:p>
    <w:p w14:paraId="57E4BED2" w14:textId="77777777" w:rsidR="00783890" w:rsidRDefault="00783890" w:rsidP="00746048">
      <w:pPr>
        <w:spacing w:line="360" w:lineRule="auto"/>
        <w:jc w:val="both"/>
        <w:rPr>
          <w:rFonts w:ascii="Arial" w:hAnsi="Arial" w:cs="Arial"/>
        </w:rPr>
      </w:pPr>
    </w:p>
    <w:p w14:paraId="3231276E" w14:textId="77777777" w:rsidR="00783890" w:rsidRDefault="00783890" w:rsidP="00746048">
      <w:pPr>
        <w:spacing w:line="360" w:lineRule="auto"/>
        <w:jc w:val="both"/>
        <w:rPr>
          <w:rFonts w:ascii="Arial" w:hAnsi="Arial" w:cs="Arial"/>
        </w:rPr>
      </w:pPr>
    </w:p>
    <w:p w14:paraId="197B19AB" w14:textId="77777777" w:rsidR="00783890" w:rsidRDefault="00783890" w:rsidP="00746048">
      <w:pPr>
        <w:spacing w:line="360" w:lineRule="auto"/>
        <w:jc w:val="both"/>
        <w:rPr>
          <w:rFonts w:ascii="Arial" w:hAnsi="Arial" w:cs="Arial"/>
        </w:rPr>
      </w:pPr>
    </w:p>
    <w:p w14:paraId="31CB4F46" w14:textId="77777777" w:rsidR="00783890" w:rsidRDefault="00783890" w:rsidP="00746048">
      <w:pPr>
        <w:spacing w:line="360" w:lineRule="auto"/>
        <w:jc w:val="both"/>
        <w:rPr>
          <w:rFonts w:ascii="Arial" w:hAnsi="Arial" w:cs="Arial"/>
        </w:rPr>
      </w:pPr>
    </w:p>
    <w:p w14:paraId="0A6A6205" w14:textId="77777777" w:rsidR="00783890" w:rsidRDefault="00783890" w:rsidP="00746048">
      <w:pPr>
        <w:spacing w:line="360" w:lineRule="auto"/>
        <w:jc w:val="both"/>
        <w:rPr>
          <w:rFonts w:ascii="Arial" w:hAnsi="Arial" w:cs="Arial"/>
        </w:rPr>
      </w:pPr>
    </w:p>
    <w:p w14:paraId="45CAF273" w14:textId="77777777" w:rsidR="00783890" w:rsidRDefault="00783890" w:rsidP="00746048">
      <w:pPr>
        <w:spacing w:line="360" w:lineRule="auto"/>
        <w:jc w:val="both"/>
        <w:rPr>
          <w:rFonts w:ascii="Arial" w:hAnsi="Arial" w:cs="Arial"/>
        </w:rPr>
      </w:pPr>
    </w:p>
    <w:p w14:paraId="1C1817BA" w14:textId="77777777" w:rsidR="00783890" w:rsidRDefault="00783890" w:rsidP="00746048">
      <w:pPr>
        <w:spacing w:line="360" w:lineRule="auto"/>
        <w:jc w:val="both"/>
        <w:rPr>
          <w:rFonts w:ascii="Arial" w:hAnsi="Arial" w:cs="Arial"/>
        </w:rPr>
      </w:pPr>
    </w:p>
    <w:p w14:paraId="3816091B" w14:textId="0183590B" w:rsidR="00783890" w:rsidRDefault="00783890" w:rsidP="00783890">
      <w:pPr>
        <w:pStyle w:val="Heading1"/>
      </w:pPr>
    </w:p>
    <w:p w14:paraId="133AC086" w14:textId="77777777" w:rsidR="00783890" w:rsidRDefault="00783890" w:rsidP="00783890">
      <w:pPr>
        <w:rPr>
          <w:rFonts w:ascii="Arial" w:hAnsi="Arial" w:cs="Arial"/>
        </w:rPr>
      </w:pPr>
    </w:p>
    <w:p w14:paraId="3B6C739D" w14:textId="77777777" w:rsidR="00BA33FE" w:rsidRDefault="00BA33FE" w:rsidP="00783890">
      <w:pPr>
        <w:rPr>
          <w:rFonts w:ascii="Arial" w:hAnsi="Arial" w:cs="Arial"/>
        </w:rPr>
      </w:pPr>
    </w:p>
    <w:p w14:paraId="6364F189" w14:textId="5B61245E" w:rsidR="00BA33FE" w:rsidRDefault="00BA33FE" w:rsidP="00BA33FE">
      <w:pPr>
        <w:pStyle w:val="Title"/>
      </w:pPr>
      <w:r>
        <w:lastRenderedPageBreak/>
        <w:t xml:space="preserve">Table of content </w:t>
      </w:r>
    </w:p>
    <w:tbl>
      <w:tblPr>
        <w:tblStyle w:val="TableGrid"/>
        <w:tblW w:w="0" w:type="auto"/>
        <w:tblLook w:val="04A0" w:firstRow="1" w:lastRow="0" w:firstColumn="1" w:lastColumn="0" w:noHBand="0" w:noVBand="1"/>
      </w:tblPr>
      <w:tblGrid>
        <w:gridCol w:w="9016"/>
      </w:tblGrid>
      <w:tr w:rsidR="003452C8" w14:paraId="04156C64" w14:textId="77777777" w:rsidTr="003452C8">
        <w:trPr>
          <w:trHeight w:val="50"/>
        </w:trPr>
        <w:tc>
          <w:tcPr>
            <w:tcW w:w="9016" w:type="dxa"/>
          </w:tcPr>
          <w:p w14:paraId="7A511979" w14:textId="77777777" w:rsidR="003452C8" w:rsidRPr="00783890" w:rsidRDefault="003452C8" w:rsidP="003452C8">
            <w:pPr>
              <w:rPr>
                <w:rFonts w:ascii="Arial" w:hAnsi="Arial" w:cs="Arial"/>
              </w:rPr>
            </w:pPr>
          </w:p>
          <w:tbl>
            <w:tblPr>
              <w:tblW w:w="90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59"/>
            </w:tblGrid>
            <w:tr w:rsidR="003452C8" w14:paraId="13C4A3CE" w14:textId="77777777" w:rsidTr="00BD06AF">
              <w:tblPrEx>
                <w:tblCellMar>
                  <w:top w:w="0" w:type="dxa"/>
                  <w:bottom w:w="0" w:type="dxa"/>
                </w:tblCellMar>
              </w:tblPrEx>
              <w:trPr>
                <w:trHeight w:val="1461"/>
              </w:trPr>
              <w:tc>
                <w:tcPr>
                  <w:tcW w:w="9059" w:type="dxa"/>
                </w:tcPr>
                <w:p w14:paraId="144B2F5F" w14:textId="77777777" w:rsidR="003452C8" w:rsidRPr="00783890" w:rsidRDefault="003452C8" w:rsidP="003452C8">
                  <w:pPr>
                    <w:pStyle w:val="ListParagraph"/>
                    <w:numPr>
                      <w:ilvl w:val="0"/>
                      <w:numId w:val="1"/>
                    </w:numPr>
                    <w:spacing w:line="360" w:lineRule="auto"/>
                    <w:jc w:val="both"/>
                    <w:rPr>
                      <w:rFonts w:ascii="Arial" w:hAnsi="Arial" w:cs="Arial"/>
                    </w:rPr>
                  </w:pPr>
                  <w:r w:rsidRPr="00783890">
                    <w:rPr>
                      <w:rFonts w:ascii="Arial" w:hAnsi="Arial" w:cs="Arial"/>
                    </w:rPr>
                    <w:t xml:space="preserve">Cover page </w:t>
                  </w:r>
                </w:p>
                <w:p w14:paraId="2364FF18" w14:textId="77777777" w:rsidR="003452C8" w:rsidRPr="00783890" w:rsidRDefault="003452C8" w:rsidP="003452C8">
                  <w:pPr>
                    <w:pStyle w:val="ListParagraph"/>
                    <w:numPr>
                      <w:ilvl w:val="0"/>
                      <w:numId w:val="1"/>
                    </w:numPr>
                    <w:spacing w:line="360" w:lineRule="auto"/>
                    <w:jc w:val="both"/>
                    <w:rPr>
                      <w:rFonts w:ascii="Arial" w:hAnsi="Arial" w:cs="Arial"/>
                    </w:rPr>
                  </w:pPr>
                  <w:r w:rsidRPr="00783890">
                    <w:rPr>
                      <w:rFonts w:ascii="Arial" w:hAnsi="Arial" w:cs="Arial"/>
                    </w:rPr>
                    <w:t xml:space="preserve">AI statement </w:t>
                  </w:r>
                </w:p>
                <w:p w14:paraId="749AFC4E" w14:textId="77777777" w:rsidR="003452C8" w:rsidRDefault="003452C8" w:rsidP="003452C8">
                  <w:pPr>
                    <w:pStyle w:val="ListParagraph"/>
                    <w:numPr>
                      <w:ilvl w:val="0"/>
                      <w:numId w:val="1"/>
                    </w:numPr>
                    <w:spacing w:line="360" w:lineRule="auto"/>
                    <w:jc w:val="both"/>
                    <w:rPr>
                      <w:rFonts w:ascii="Arial" w:hAnsi="Arial" w:cs="Arial"/>
                    </w:rPr>
                  </w:pPr>
                  <w:r w:rsidRPr="00783890">
                    <w:rPr>
                      <w:rFonts w:ascii="Arial" w:hAnsi="Arial" w:cs="Arial"/>
                    </w:rPr>
                    <w:t xml:space="preserve">Executive summary </w:t>
                  </w:r>
                </w:p>
                <w:p w14:paraId="78CE2C33" w14:textId="77777777" w:rsidR="003452C8" w:rsidRDefault="003452C8" w:rsidP="003452C8">
                  <w:pPr>
                    <w:pStyle w:val="ListParagraph"/>
                    <w:numPr>
                      <w:ilvl w:val="0"/>
                      <w:numId w:val="1"/>
                    </w:numPr>
                    <w:spacing w:line="360" w:lineRule="auto"/>
                    <w:jc w:val="both"/>
                    <w:rPr>
                      <w:rFonts w:ascii="Arial" w:hAnsi="Arial" w:cs="Arial"/>
                    </w:rPr>
                  </w:pPr>
                  <w:r>
                    <w:rPr>
                      <w:rFonts w:ascii="Arial" w:hAnsi="Arial" w:cs="Arial"/>
                    </w:rPr>
                    <w:t xml:space="preserve">Table of content </w:t>
                  </w:r>
                </w:p>
                <w:p w14:paraId="1882A813" w14:textId="77777777" w:rsidR="003452C8" w:rsidRDefault="003452C8" w:rsidP="003452C8">
                  <w:pPr>
                    <w:pStyle w:val="ListParagraph"/>
                    <w:numPr>
                      <w:ilvl w:val="0"/>
                      <w:numId w:val="1"/>
                    </w:numPr>
                    <w:spacing w:line="360" w:lineRule="auto"/>
                    <w:jc w:val="both"/>
                    <w:rPr>
                      <w:rFonts w:ascii="Arial" w:hAnsi="Arial" w:cs="Arial"/>
                    </w:rPr>
                  </w:pPr>
                  <w:r>
                    <w:rPr>
                      <w:rFonts w:ascii="Arial" w:hAnsi="Arial" w:cs="Arial"/>
                    </w:rPr>
                    <w:t>1. Introduction</w:t>
                  </w:r>
                </w:p>
                <w:p w14:paraId="4E8B37DA" w14:textId="6817D46D" w:rsidR="003452C8" w:rsidRDefault="003452C8" w:rsidP="003452C8">
                  <w:pPr>
                    <w:pStyle w:val="ListParagraph"/>
                    <w:numPr>
                      <w:ilvl w:val="0"/>
                      <w:numId w:val="2"/>
                    </w:numPr>
                    <w:spacing w:line="360" w:lineRule="auto"/>
                    <w:jc w:val="both"/>
                    <w:rPr>
                      <w:rFonts w:ascii="Arial" w:hAnsi="Arial" w:cs="Arial"/>
                    </w:rPr>
                  </w:pPr>
                  <w:r>
                    <w:rPr>
                      <w:rFonts w:ascii="Arial" w:hAnsi="Arial" w:cs="Arial"/>
                    </w:rPr>
                    <w:t xml:space="preserve">1.1 </w:t>
                  </w:r>
                  <w:r>
                    <w:rPr>
                      <w:rFonts w:ascii="Arial" w:hAnsi="Arial" w:cs="Arial"/>
                    </w:rPr>
                    <w:t>Definition of an influencer</w:t>
                  </w:r>
                </w:p>
                <w:p w14:paraId="7F4CCEF7" w14:textId="5A984CEA" w:rsidR="003452C8" w:rsidRPr="003452C8" w:rsidRDefault="003452C8" w:rsidP="003452C8">
                  <w:pPr>
                    <w:pStyle w:val="ListParagraph"/>
                    <w:numPr>
                      <w:ilvl w:val="0"/>
                      <w:numId w:val="2"/>
                    </w:numPr>
                    <w:spacing w:line="360" w:lineRule="auto"/>
                    <w:jc w:val="both"/>
                    <w:rPr>
                      <w:rFonts w:ascii="Arial" w:hAnsi="Arial" w:cs="Arial"/>
                    </w:rPr>
                  </w:pPr>
                  <w:r>
                    <w:rPr>
                      <w:rFonts w:ascii="Arial" w:hAnsi="Arial" w:cs="Arial"/>
                    </w:rPr>
                    <w:t>1.2 Background</w:t>
                  </w:r>
                  <w:r>
                    <w:rPr>
                      <w:rFonts w:ascii="Arial" w:hAnsi="Arial" w:cs="Arial"/>
                    </w:rPr>
                    <w:t xml:space="preserve"> of the Creator Economy</w:t>
                  </w:r>
                </w:p>
                <w:p w14:paraId="4DEA9504" w14:textId="56338197" w:rsidR="003452C8" w:rsidRDefault="003452C8" w:rsidP="003452C8">
                  <w:pPr>
                    <w:pStyle w:val="ListParagraph"/>
                    <w:numPr>
                      <w:ilvl w:val="0"/>
                      <w:numId w:val="2"/>
                    </w:numPr>
                    <w:spacing w:line="360" w:lineRule="auto"/>
                    <w:jc w:val="both"/>
                    <w:rPr>
                      <w:rFonts w:ascii="Arial" w:hAnsi="Arial" w:cs="Arial"/>
                    </w:rPr>
                  </w:pPr>
                  <w:r>
                    <w:rPr>
                      <w:rFonts w:ascii="Arial" w:hAnsi="Arial" w:cs="Arial"/>
                    </w:rPr>
                    <w:t>1.3 Aim</w:t>
                  </w:r>
                  <w:r>
                    <w:rPr>
                      <w:rFonts w:ascii="Arial" w:hAnsi="Arial" w:cs="Arial"/>
                    </w:rPr>
                    <w:t xml:space="preserve"> and scope of the report</w:t>
                  </w:r>
                </w:p>
                <w:p w14:paraId="3B6386BB" w14:textId="77777777" w:rsidR="003452C8" w:rsidRDefault="003452C8" w:rsidP="003452C8">
                  <w:pPr>
                    <w:pStyle w:val="ListParagraph"/>
                    <w:numPr>
                      <w:ilvl w:val="0"/>
                      <w:numId w:val="1"/>
                    </w:numPr>
                    <w:spacing w:line="360" w:lineRule="auto"/>
                    <w:jc w:val="both"/>
                    <w:rPr>
                      <w:rFonts w:ascii="Arial" w:hAnsi="Arial" w:cs="Arial"/>
                    </w:rPr>
                  </w:pPr>
                  <w:r>
                    <w:rPr>
                      <w:rFonts w:ascii="Arial" w:hAnsi="Arial" w:cs="Arial"/>
                    </w:rPr>
                    <w:t xml:space="preserve">2.DPSIR Analysis </w:t>
                  </w:r>
                </w:p>
                <w:p w14:paraId="74348A53" w14:textId="3D028CBC" w:rsidR="003452C8" w:rsidRDefault="003452C8" w:rsidP="003452C8">
                  <w:pPr>
                    <w:pStyle w:val="ListParagraph"/>
                    <w:numPr>
                      <w:ilvl w:val="0"/>
                      <w:numId w:val="4"/>
                    </w:numPr>
                    <w:spacing w:line="360" w:lineRule="auto"/>
                    <w:jc w:val="both"/>
                    <w:rPr>
                      <w:rFonts w:ascii="Arial" w:hAnsi="Arial" w:cs="Arial"/>
                    </w:rPr>
                  </w:pPr>
                  <w:r>
                    <w:rPr>
                      <w:rFonts w:ascii="Arial" w:hAnsi="Arial" w:cs="Arial"/>
                    </w:rPr>
                    <w:t xml:space="preserve">2.1 </w:t>
                  </w:r>
                  <w:r>
                    <w:rPr>
                      <w:rFonts w:ascii="Arial" w:hAnsi="Arial" w:cs="Arial"/>
                    </w:rPr>
                    <w:t xml:space="preserve">Divers </w:t>
                  </w:r>
                </w:p>
                <w:p w14:paraId="1EAB7C8E" w14:textId="0F00610D" w:rsidR="003452C8" w:rsidRDefault="003452C8" w:rsidP="003452C8">
                  <w:pPr>
                    <w:pStyle w:val="ListParagraph"/>
                    <w:numPr>
                      <w:ilvl w:val="0"/>
                      <w:numId w:val="4"/>
                    </w:numPr>
                    <w:spacing w:line="360" w:lineRule="auto"/>
                    <w:jc w:val="both"/>
                    <w:rPr>
                      <w:rFonts w:ascii="Arial" w:hAnsi="Arial" w:cs="Arial"/>
                    </w:rPr>
                  </w:pPr>
                  <w:r>
                    <w:rPr>
                      <w:rFonts w:ascii="Arial" w:hAnsi="Arial" w:cs="Arial"/>
                    </w:rPr>
                    <w:t xml:space="preserve">2.2 </w:t>
                  </w:r>
                  <w:r>
                    <w:rPr>
                      <w:rFonts w:ascii="Arial" w:hAnsi="Arial" w:cs="Arial"/>
                    </w:rPr>
                    <w:t>Pressures</w:t>
                  </w:r>
                </w:p>
                <w:p w14:paraId="33D6045E" w14:textId="0DEE8881" w:rsidR="003452C8" w:rsidRDefault="003452C8" w:rsidP="003452C8">
                  <w:pPr>
                    <w:pStyle w:val="ListParagraph"/>
                    <w:numPr>
                      <w:ilvl w:val="0"/>
                      <w:numId w:val="4"/>
                    </w:numPr>
                    <w:spacing w:line="360" w:lineRule="auto"/>
                    <w:jc w:val="both"/>
                    <w:rPr>
                      <w:rFonts w:ascii="Arial" w:hAnsi="Arial" w:cs="Arial"/>
                    </w:rPr>
                  </w:pPr>
                  <w:r>
                    <w:rPr>
                      <w:rFonts w:ascii="Arial" w:hAnsi="Arial" w:cs="Arial"/>
                    </w:rPr>
                    <w:t xml:space="preserve">2.3 </w:t>
                  </w:r>
                  <w:r>
                    <w:rPr>
                      <w:rFonts w:ascii="Arial" w:hAnsi="Arial" w:cs="Arial"/>
                    </w:rPr>
                    <w:t>State</w:t>
                  </w:r>
                </w:p>
                <w:p w14:paraId="34724724" w14:textId="7D063CD4" w:rsidR="003452C8" w:rsidRDefault="003452C8" w:rsidP="003452C8">
                  <w:pPr>
                    <w:pStyle w:val="ListParagraph"/>
                    <w:numPr>
                      <w:ilvl w:val="0"/>
                      <w:numId w:val="4"/>
                    </w:numPr>
                    <w:spacing w:line="360" w:lineRule="auto"/>
                    <w:jc w:val="both"/>
                    <w:rPr>
                      <w:rFonts w:ascii="Arial" w:hAnsi="Arial" w:cs="Arial"/>
                    </w:rPr>
                  </w:pPr>
                  <w:r>
                    <w:rPr>
                      <w:rFonts w:ascii="Arial" w:hAnsi="Arial" w:cs="Arial"/>
                    </w:rPr>
                    <w:t xml:space="preserve">2.4 </w:t>
                  </w:r>
                  <w:r>
                    <w:rPr>
                      <w:rFonts w:ascii="Arial" w:hAnsi="Arial" w:cs="Arial"/>
                    </w:rPr>
                    <w:t>Impacts</w:t>
                  </w:r>
                </w:p>
                <w:p w14:paraId="1F200460" w14:textId="01347B0E" w:rsidR="003452C8" w:rsidRDefault="003452C8" w:rsidP="003452C8">
                  <w:pPr>
                    <w:pStyle w:val="ListParagraph"/>
                    <w:numPr>
                      <w:ilvl w:val="0"/>
                      <w:numId w:val="4"/>
                    </w:numPr>
                    <w:spacing w:line="360" w:lineRule="auto"/>
                    <w:jc w:val="both"/>
                    <w:rPr>
                      <w:rFonts w:ascii="Arial" w:hAnsi="Arial" w:cs="Arial"/>
                    </w:rPr>
                  </w:pPr>
                  <w:r>
                    <w:rPr>
                      <w:rFonts w:ascii="Arial" w:hAnsi="Arial" w:cs="Arial"/>
                    </w:rPr>
                    <w:t xml:space="preserve">2.5 </w:t>
                  </w:r>
                  <w:r>
                    <w:rPr>
                      <w:rFonts w:ascii="Arial" w:hAnsi="Arial" w:cs="Arial"/>
                    </w:rPr>
                    <w:t>Responses</w:t>
                  </w:r>
                </w:p>
                <w:p w14:paraId="2A54979D" w14:textId="77777777" w:rsidR="003452C8" w:rsidRDefault="003452C8" w:rsidP="003452C8">
                  <w:pPr>
                    <w:pStyle w:val="ListParagraph"/>
                    <w:numPr>
                      <w:ilvl w:val="0"/>
                      <w:numId w:val="1"/>
                    </w:numPr>
                    <w:spacing w:line="360" w:lineRule="auto"/>
                    <w:jc w:val="both"/>
                    <w:rPr>
                      <w:rFonts w:ascii="Arial" w:hAnsi="Arial" w:cs="Arial"/>
                    </w:rPr>
                  </w:pPr>
                  <w:r>
                    <w:rPr>
                      <w:rFonts w:ascii="Arial" w:hAnsi="Arial" w:cs="Arial"/>
                    </w:rPr>
                    <w:t>3. Future Lens</w:t>
                  </w:r>
                </w:p>
                <w:p w14:paraId="0A49397B" w14:textId="77777777" w:rsidR="003452C8" w:rsidRDefault="003452C8" w:rsidP="003452C8">
                  <w:pPr>
                    <w:pStyle w:val="ListParagraph"/>
                    <w:numPr>
                      <w:ilvl w:val="0"/>
                      <w:numId w:val="5"/>
                    </w:numPr>
                    <w:spacing w:line="360" w:lineRule="auto"/>
                    <w:jc w:val="both"/>
                    <w:rPr>
                      <w:rFonts w:ascii="Arial" w:hAnsi="Arial" w:cs="Arial"/>
                    </w:rPr>
                  </w:pPr>
                  <w:r>
                    <w:rPr>
                      <w:rFonts w:ascii="Arial" w:hAnsi="Arial" w:cs="Arial"/>
                    </w:rPr>
                    <w:t>Future trends and potential scenarios</w:t>
                  </w:r>
                </w:p>
                <w:p w14:paraId="362ED630" w14:textId="77777777" w:rsidR="003452C8" w:rsidRDefault="003452C8" w:rsidP="003452C8">
                  <w:pPr>
                    <w:pStyle w:val="ListParagraph"/>
                    <w:numPr>
                      <w:ilvl w:val="0"/>
                      <w:numId w:val="5"/>
                    </w:numPr>
                    <w:spacing w:line="360" w:lineRule="auto"/>
                    <w:jc w:val="both"/>
                    <w:rPr>
                      <w:rFonts w:ascii="Arial" w:hAnsi="Arial" w:cs="Arial"/>
                    </w:rPr>
                  </w:pPr>
                  <w:r>
                    <w:rPr>
                      <w:rFonts w:ascii="Arial" w:hAnsi="Arial" w:cs="Arial"/>
                    </w:rPr>
                    <w:t>Risks and opportunities for the Creator Economy</w:t>
                  </w:r>
                </w:p>
                <w:p w14:paraId="3DDBB340" w14:textId="77777777" w:rsidR="003452C8" w:rsidRDefault="003452C8" w:rsidP="003452C8">
                  <w:pPr>
                    <w:pStyle w:val="ListParagraph"/>
                    <w:numPr>
                      <w:ilvl w:val="0"/>
                      <w:numId w:val="1"/>
                    </w:numPr>
                    <w:spacing w:line="360" w:lineRule="auto"/>
                    <w:jc w:val="both"/>
                    <w:rPr>
                      <w:rFonts w:ascii="Arial" w:hAnsi="Arial" w:cs="Arial"/>
                    </w:rPr>
                  </w:pPr>
                  <w:r>
                    <w:rPr>
                      <w:rFonts w:ascii="Arial" w:hAnsi="Arial" w:cs="Arial"/>
                    </w:rPr>
                    <w:t xml:space="preserve">4.Recommendations </w:t>
                  </w:r>
                </w:p>
                <w:p w14:paraId="3078607D" w14:textId="77777777" w:rsidR="003452C8" w:rsidRDefault="003452C8" w:rsidP="003452C8">
                  <w:pPr>
                    <w:pStyle w:val="ListParagraph"/>
                    <w:numPr>
                      <w:ilvl w:val="0"/>
                      <w:numId w:val="6"/>
                    </w:numPr>
                    <w:spacing w:line="360" w:lineRule="auto"/>
                    <w:jc w:val="both"/>
                    <w:rPr>
                      <w:rFonts w:ascii="Arial" w:hAnsi="Arial" w:cs="Arial"/>
                    </w:rPr>
                  </w:pPr>
                  <w:r>
                    <w:rPr>
                      <w:rFonts w:ascii="Arial" w:hAnsi="Arial" w:cs="Arial"/>
                    </w:rPr>
                    <w:t>Recommendation 1</w:t>
                  </w:r>
                </w:p>
                <w:p w14:paraId="151A64C5" w14:textId="77777777" w:rsidR="003452C8" w:rsidRDefault="003452C8" w:rsidP="003452C8">
                  <w:pPr>
                    <w:pStyle w:val="ListParagraph"/>
                    <w:numPr>
                      <w:ilvl w:val="0"/>
                      <w:numId w:val="6"/>
                    </w:numPr>
                    <w:spacing w:line="360" w:lineRule="auto"/>
                    <w:jc w:val="both"/>
                    <w:rPr>
                      <w:rFonts w:ascii="Arial" w:hAnsi="Arial" w:cs="Arial"/>
                    </w:rPr>
                  </w:pPr>
                  <w:r>
                    <w:rPr>
                      <w:rFonts w:ascii="Arial" w:hAnsi="Arial" w:cs="Arial"/>
                    </w:rPr>
                    <w:t>Recommendation 2</w:t>
                  </w:r>
                </w:p>
                <w:p w14:paraId="30988660" w14:textId="77777777" w:rsidR="003452C8" w:rsidRDefault="003452C8" w:rsidP="003452C8">
                  <w:pPr>
                    <w:pStyle w:val="ListParagraph"/>
                    <w:numPr>
                      <w:ilvl w:val="0"/>
                      <w:numId w:val="1"/>
                    </w:numPr>
                    <w:spacing w:line="360" w:lineRule="auto"/>
                    <w:jc w:val="both"/>
                    <w:rPr>
                      <w:rFonts w:ascii="Arial" w:hAnsi="Arial" w:cs="Arial"/>
                    </w:rPr>
                  </w:pPr>
                  <w:r>
                    <w:rPr>
                      <w:rFonts w:ascii="Arial" w:hAnsi="Arial" w:cs="Arial"/>
                    </w:rPr>
                    <w:t xml:space="preserve">5.Conclusion </w:t>
                  </w:r>
                </w:p>
                <w:p w14:paraId="6667DC2D" w14:textId="77777777" w:rsidR="003452C8" w:rsidRDefault="003452C8" w:rsidP="003452C8">
                  <w:pPr>
                    <w:pStyle w:val="ListParagraph"/>
                    <w:numPr>
                      <w:ilvl w:val="0"/>
                      <w:numId w:val="1"/>
                    </w:numPr>
                    <w:spacing w:line="360" w:lineRule="auto"/>
                    <w:jc w:val="both"/>
                    <w:rPr>
                      <w:rFonts w:ascii="Arial" w:hAnsi="Arial" w:cs="Arial"/>
                    </w:rPr>
                  </w:pPr>
                  <w:r>
                    <w:rPr>
                      <w:rFonts w:ascii="Arial" w:hAnsi="Arial" w:cs="Arial"/>
                    </w:rPr>
                    <w:t xml:space="preserve"> Full Harvard references </w:t>
                  </w:r>
                </w:p>
                <w:p w14:paraId="3976993E" w14:textId="77777777" w:rsidR="003452C8" w:rsidRDefault="003452C8" w:rsidP="003452C8">
                  <w:pPr>
                    <w:pStyle w:val="ListParagraph"/>
                    <w:numPr>
                      <w:ilvl w:val="0"/>
                      <w:numId w:val="1"/>
                    </w:numPr>
                    <w:spacing w:line="360" w:lineRule="auto"/>
                    <w:jc w:val="both"/>
                    <w:rPr>
                      <w:rFonts w:ascii="Arial" w:hAnsi="Arial" w:cs="Arial"/>
                    </w:rPr>
                  </w:pPr>
                  <w:r>
                    <w:rPr>
                      <w:rFonts w:ascii="Arial" w:hAnsi="Arial" w:cs="Arial"/>
                    </w:rPr>
                    <w:t xml:space="preserve"> Appendices </w:t>
                  </w:r>
                </w:p>
                <w:p w14:paraId="15E1B2C6" w14:textId="77777777" w:rsidR="003452C8" w:rsidRDefault="003452C8" w:rsidP="003452C8">
                  <w:pPr>
                    <w:pStyle w:val="ListParagraph"/>
                    <w:numPr>
                      <w:ilvl w:val="0"/>
                      <w:numId w:val="7"/>
                    </w:numPr>
                    <w:spacing w:line="360" w:lineRule="auto"/>
                    <w:jc w:val="both"/>
                    <w:rPr>
                      <w:rFonts w:ascii="Arial" w:hAnsi="Arial" w:cs="Arial"/>
                    </w:rPr>
                  </w:pPr>
                  <w:r>
                    <w:rPr>
                      <w:rFonts w:ascii="Arial" w:hAnsi="Arial" w:cs="Arial"/>
                    </w:rPr>
                    <w:t xml:space="preserve">Appendix A: STEEPLE Analysis </w:t>
                  </w:r>
                </w:p>
                <w:p w14:paraId="0E9401D7" w14:textId="77777777" w:rsidR="003452C8" w:rsidRDefault="003452C8" w:rsidP="003452C8">
                  <w:pPr>
                    <w:pStyle w:val="ListParagraph"/>
                    <w:numPr>
                      <w:ilvl w:val="0"/>
                      <w:numId w:val="7"/>
                    </w:numPr>
                    <w:spacing w:line="360" w:lineRule="auto"/>
                    <w:jc w:val="both"/>
                    <w:rPr>
                      <w:rFonts w:ascii="Arial" w:hAnsi="Arial" w:cs="Arial"/>
                    </w:rPr>
                  </w:pPr>
                  <w:r>
                    <w:rPr>
                      <w:rFonts w:ascii="Arial" w:hAnsi="Arial" w:cs="Arial"/>
                    </w:rPr>
                    <w:t xml:space="preserve">Appendix B: SWOT Analysis </w:t>
                  </w:r>
                </w:p>
                <w:p w14:paraId="5F175983" w14:textId="77777777" w:rsidR="003452C8" w:rsidRDefault="003452C8" w:rsidP="003452C8">
                  <w:pPr>
                    <w:pStyle w:val="ListParagraph"/>
                    <w:numPr>
                      <w:ilvl w:val="0"/>
                      <w:numId w:val="7"/>
                    </w:numPr>
                    <w:spacing w:line="360" w:lineRule="auto"/>
                    <w:jc w:val="both"/>
                    <w:rPr>
                      <w:rFonts w:ascii="Arial" w:hAnsi="Arial" w:cs="Arial"/>
                    </w:rPr>
                  </w:pPr>
                  <w:r>
                    <w:rPr>
                      <w:rFonts w:ascii="Arial" w:hAnsi="Arial" w:cs="Arial"/>
                    </w:rPr>
                    <w:t xml:space="preserve">Appendix C: DPSIR diagram </w:t>
                  </w:r>
                </w:p>
                <w:p w14:paraId="1DD1F093" w14:textId="77777777" w:rsidR="003452C8" w:rsidRDefault="003452C8" w:rsidP="003452C8">
                  <w:pPr>
                    <w:pStyle w:val="ListParagraph"/>
                    <w:numPr>
                      <w:ilvl w:val="0"/>
                      <w:numId w:val="7"/>
                    </w:numPr>
                    <w:spacing w:line="360" w:lineRule="auto"/>
                    <w:jc w:val="both"/>
                    <w:rPr>
                      <w:rFonts w:ascii="Arial" w:hAnsi="Arial" w:cs="Arial"/>
                    </w:rPr>
                  </w:pPr>
                  <w:r>
                    <w:rPr>
                      <w:rFonts w:ascii="Arial" w:hAnsi="Arial" w:cs="Arial"/>
                    </w:rPr>
                    <w:t xml:space="preserve">Appendix D: Evidence limitations </w:t>
                  </w:r>
                </w:p>
                <w:p w14:paraId="1A070628" w14:textId="77777777" w:rsidR="003452C8" w:rsidRDefault="003452C8" w:rsidP="003452C8">
                  <w:pPr>
                    <w:pStyle w:val="ListParagraph"/>
                    <w:numPr>
                      <w:ilvl w:val="0"/>
                      <w:numId w:val="7"/>
                    </w:numPr>
                    <w:spacing w:line="360" w:lineRule="auto"/>
                    <w:jc w:val="both"/>
                    <w:rPr>
                      <w:rFonts w:ascii="Arial" w:hAnsi="Arial" w:cs="Arial"/>
                    </w:rPr>
                  </w:pPr>
                  <w:r>
                    <w:rPr>
                      <w:rFonts w:ascii="Arial" w:hAnsi="Arial" w:cs="Arial"/>
                    </w:rPr>
                    <w:t>Appendix E: Creators reach and social blade statistics</w:t>
                  </w:r>
                </w:p>
                <w:p w14:paraId="4FA8A4BC" w14:textId="74BA3B9C" w:rsidR="003452C8" w:rsidRPr="003452C8" w:rsidRDefault="003452C8" w:rsidP="003452C8">
                  <w:pPr>
                    <w:pStyle w:val="ListParagraph"/>
                    <w:numPr>
                      <w:ilvl w:val="0"/>
                      <w:numId w:val="7"/>
                    </w:numPr>
                    <w:spacing w:line="360" w:lineRule="auto"/>
                    <w:jc w:val="both"/>
                    <w:rPr>
                      <w:rFonts w:ascii="Arial" w:hAnsi="Arial" w:cs="Arial"/>
                    </w:rPr>
                  </w:pPr>
                  <w:r>
                    <w:rPr>
                      <w:rFonts w:ascii="Arial" w:hAnsi="Arial" w:cs="Arial"/>
                    </w:rPr>
                    <w:t>Appendix F: Comparison of Creator Business Model</w:t>
                  </w:r>
                </w:p>
              </w:tc>
            </w:tr>
          </w:tbl>
          <w:p w14:paraId="6060FEA2" w14:textId="77777777" w:rsidR="003452C8" w:rsidRDefault="003452C8" w:rsidP="00BA33FE"/>
        </w:tc>
      </w:tr>
    </w:tbl>
    <w:p w14:paraId="4AB2C004" w14:textId="77777777" w:rsidR="00BA33FE" w:rsidRDefault="00BA33FE" w:rsidP="00BA33FE"/>
    <w:p w14:paraId="48D2C21B" w14:textId="04D3825E" w:rsidR="003452C8" w:rsidRDefault="003452C8" w:rsidP="003452C8">
      <w:pPr>
        <w:pStyle w:val="Title"/>
        <w:jc w:val="center"/>
        <w:rPr>
          <w:rFonts w:ascii="Arial" w:hAnsi="Arial" w:cs="Arial"/>
          <w:sz w:val="40"/>
          <w:szCs w:val="40"/>
        </w:rPr>
      </w:pPr>
      <w:r>
        <w:rPr>
          <w:rFonts w:ascii="Arial" w:hAnsi="Arial" w:cs="Arial"/>
          <w:sz w:val="40"/>
          <w:szCs w:val="40"/>
        </w:rPr>
        <w:lastRenderedPageBreak/>
        <w:t>A Critical Analysis of External Factors Influencing the Creator Economy/ Influencer industry</w:t>
      </w:r>
    </w:p>
    <w:p w14:paraId="5A98FBA0" w14:textId="77777777" w:rsidR="003452C8" w:rsidRPr="003452C8" w:rsidRDefault="003452C8" w:rsidP="003452C8"/>
    <w:p w14:paraId="231B1C36" w14:textId="18807C2E" w:rsidR="003452C8" w:rsidRPr="00380524" w:rsidRDefault="003452C8" w:rsidP="00380524">
      <w:pPr>
        <w:pStyle w:val="ListParagraph"/>
        <w:numPr>
          <w:ilvl w:val="0"/>
          <w:numId w:val="9"/>
        </w:numPr>
        <w:spacing w:line="360" w:lineRule="auto"/>
        <w:jc w:val="both"/>
        <w:rPr>
          <w:rFonts w:ascii="Arial" w:hAnsi="Arial" w:cs="Arial"/>
          <w:b/>
          <w:bCs/>
        </w:rPr>
      </w:pPr>
      <w:r w:rsidRPr="00380524">
        <w:rPr>
          <w:rFonts w:ascii="Arial" w:hAnsi="Arial" w:cs="Arial"/>
          <w:b/>
          <w:bCs/>
        </w:rPr>
        <w:t xml:space="preserve">Introduction </w:t>
      </w:r>
    </w:p>
    <w:p w14:paraId="7890FBB0" w14:textId="14349B83" w:rsidR="003452C8" w:rsidRPr="00380524" w:rsidRDefault="00380524" w:rsidP="00380524">
      <w:pPr>
        <w:spacing w:line="360" w:lineRule="auto"/>
        <w:jc w:val="both"/>
        <w:rPr>
          <w:rFonts w:ascii="Arial" w:hAnsi="Arial" w:cs="Arial"/>
        </w:rPr>
      </w:pPr>
      <w:r>
        <w:rPr>
          <w:rFonts w:ascii="Arial" w:hAnsi="Arial" w:cs="Arial"/>
          <w:b/>
          <w:bCs/>
        </w:rPr>
        <w:t>1.1</w:t>
      </w:r>
      <w:r w:rsidR="003452C8" w:rsidRPr="00380524">
        <w:rPr>
          <w:rFonts w:ascii="Arial" w:hAnsi="Arial" w:cs="Arial"/>
          <w:b/>
          <w:bCs/>
        </w:rPr>
        <w:t>Defi</w:t>
      </w:r>
      <w:r w:rsidR="00455438" w:rsidRPr="00380524">
        <w:rPr>
          <w:rFonts w:ascii="Arial" w:hAnsi="Arial" w:cs="Arial"/>
          <w:b/>
          <w:bCs/>
        </w:rPr>
        <w:t xml:space="preserve">nition of an influencer: </w:t>
      </w:r>
      <w:r w:rsidR="003452C8" w:rsidRPr="00380524">
        <w:rPr>
          <w:rFonts w:ascii="Arial" w:hAnsi="Arial" w:cs="Arial"/>
        </w:rPr>
        <w:t xml:space="preserve">An influencer is a person who has built an audience on digital or social media and can affect that audience’s opinions, preferences or purchasing decisions through their perceived expertise, credibility, lifestyle or relationship with followers. Influencers may earn income through sponsored content, affiliate links, subscriptions or their own products. The term overlaps with “content creator”, but the two are not identical: content creators produce digital material, whereas the term influencer emphasises the potential to shape audience attitudes or behaviour. This distinction is useful for analysing the creator economy, where reach does not automatically equal influence or commercial effectiveness (Abidin, 2016; De </w:t>
      </w:r>
      <w:proofErr w:type="spellStart"/>
      <w:r w:rsidR="003452C8" w:rsidRPr="00380524">
        <w:rPr>
          <w:rFonts w:ascii="Arial" w:hAnsi="Arial" w:cs="Arial"/>
        </w:rPr>
        <w:t>Veirman</w:t>
      </w:r>
      <w:proofErr w:type="spellEnd"/>
      <w:r w:rsidR="003452C8" w:rsidRPr="00380524">
        <w:rPr>
          <w:rFonts w:ascii="Arial" w:hAnsi="Arial" w:cs="Arial"/>
        </w:rPr>
        <w:t xml:space="preserve">, </w:t>
      </w:r>
      <w:proofErr w:type="spellStart"/>
      <w:r w:rsidR="003452C8" w:rsidRPr="00380524">
        <w:rPr>
          <w:rFonts w:ascii="Arial" w:hAnsi="Arial" w:cs="Arial"/>
        </w:rPr>
        <w:t>Cauberghe</w:t>
      </w:r>
      <w:proofErr w:type="spellEnd"/>
      <w:r w:rsidR="003452C8" w:rsidRPr="00380524">
        <w:rPr>
          <w:rFonts w:ascii="Arial" w:hAnsi="Arial" w:cs="Arial"/>
        </w:rPr>
        <w:t xml:space="preserve"> and </w:t>
      </w:r>
      <w:proofErr w:type="spellStart"/>
      <w:r w:rsidR="003452C8" w:rsidRPr="00380524">
        <w:rPr>
          <w:rFonts w:ascii="Arial" w:hAnsi="Arial" w:cs="Arial"/>
        </w:rPr>
        <w:t>Hudders</w:t>
      </w:r>
      <w:proofErr w:type="spellEnd"/>
      <w:r w:rsidR="003452C8" w:rsidRPr="00380524">
        <w:rPr>
          <w:rFonts w:ascii="Arial" w:hAnsi="Arial" w:cs="Arial"/>
        </w:rPr>
        <w:t xml:space="preserve">, 2017; </w:t>
      </w:r>
      <w:proofErr w:type="spellStart"/>
      <w:r w:rsidR="003452C8" w:rsidRPr="00380524">
        <w:rPr>
          <w:rFonts w:ascii="Arial" w:hAnsi="Arial" w:cs="Arial"/>
        </w:rPr>
        <w:t>Vrontis</w:t>
      </w:r>
      <w:proofErr w:type="spellEnd"/>
      <w:r w:rsidR="003452C8" w:rsidRPr="00380524">
        <w:rPr>
          <w:rFonts w:ascii="Arial" w:hAnsi="Arial" w:cs="Arial"/>
        </w:rPr>
        <w:t xml:space="preserve"> et al., 2021).</w:t>
      </w:r>
      <w:r w:rsidR="003452C8" w:rsidRPr="00380524">
        <w:rPr>
          <w:rFonts w:ascii="Arial" w:hAnsi="Arial" w:cs="Arial"/>
        </w:rPr>
        <w:t xml:space="preserve"> </w:t>
      </w:r>
    </w:p>
    <w:p w14:paraId="464DB240" w14:textId="7A89DD46" w:rsidR="00380524" w:rsidRPr="00380524" w:rsidRDefault="00380524" w:rsidP="00380524">
      <w:pPr>
        <w:spacing w:line="360" w:lineRule="auto"/>
        <w:jc w:val="both"/>
        <w:rPr>
          <w:rFonts w:ascii="Arial" w:hAnsi="Arial" w:cs="Arial"/>
        </w:rPr>
      </w:pPr>
      <w:r>
        <w:rPr>
          <w:rFonts w:ascii="Arial" w:hAnsi="Arial" w:cs="Arial"/>
          <w:b/>
          <w:bCs/>
        </w:rPr>
        <w:t xml:space="preserve">1.2 </w:t>
      </w:r>
      <w:r w:rsidR="00455438" w:rsidRPr="00380524">
        <w:rPr>
          <w:rFonts w:ascii="Arial" w:hAnsi="Arial" w:cs="Arial"/>
          <w:b/>
          <w:bCs/>
        </w:rPr>
        <w:t>Background of the Creator Economy</w:t>
      </w:r>
      <w:r w:rsidR="00455438" w:rsidRPr="00380524">
        <w:rPr>
          <w:rFonts w:ascii="Arial" w:hAnsi="Arial" w:cs="Arial"/>
        </w:rPr>
        <w:t xml:space="preserve">: </w:t>
      </w:r>
      <w:r w:rsidR="00455438" w:rsidRPr="00380524">
        <w:rPr>
          <w:rFonts w:ascii="Arial" w:hAnsi="Arial" w:cs="Arial"/>
        </w:rPr>
        <w:t>The creator economy includes individuals and businesses that produce digital content and generate income through advertising, sponsorships, subscriptions, affiliate marketing, merchandise and consumer products. Digital platforms have lowered barriers to publishing, allowing creators to reach international audiences without relying exclusively on traditional media organisations. However, creators also depend on platforms that control content distribution, audience data and monetisation opportunities (Cunningham and Craig, 2019; Peres et al., 2024).</w:t>
      </w:r>
    </w:p>
    <w:p w14:paraId="12B7A456" w14:textId="6678584B" w:rsidR="00455438" w:rsidRPr="00380524" w:rsidRDefault="00380524" w:rsidP="00380524">
      <w:pPr>
        <w:spacing w:line="360" w:lineRule="auto"/>
        <w:jc w:val="both"/>
        <w:rPr>
          <w:rFonts w:ascii="Arial" w:hAnsi="Arial" w:cs="Arial"/>
        </w:rPr>
      </w:pPr>
      <w:r>
        <w:rPr>
          <w:rFonts w:ascii="Arial" w:hAnsi="Arial" w:cs="Arial"/>
          <w:b/>
          <w:bCs/>
        </w:rPr>
        <w:t xml:space="preserve">1.3 </w:t>
      </w:r>
      <w:r w:rsidR="00455438" w:rsidRPr="00380524">
        <w:rPr>
          <w:rFonts w:ascii="Arial" w:hAnsi="Arial" w:cs="Arial"/>
          <w:b/>
          <w:bCs/>
        </w:rPr>
        <w:t xml:space="preserve">Aim and scope of the </w:t>
      </w:r>
      <w:proofErr w:type="gramStart"/>
      <w:r w:rsidR="00455438" w:rsidRPr="00380524">
        <w:rPr>
          <w:rFonts w:ascii="Arial" w:hAnsi="Arial" w:cs="Arial"/>
          <w:b/>
          <w:bCs/>
        </w:rPr>
        <w:t>report</w:t>
      </w:r>
      <w:r w:rsidR="00455438" w:rsidRPr="00380524">
        <w:rPr>
          <w:rFonts w:ascii="Arial" w:hAnsi="Arial" w:cs="Arial"/>
          <w:b/>
          <w:bCs/>
        </w:rPr>
        <w:t xml:space="preserve"> </w:t>
      </w:r>
      <w:r w:rsidR="00455438" w:rsidRPr="00380524">
        <w:rPr>
          <w:rFonts w:ascii="Arial" w:hAnsi="Arial" w:cs="Arial"/>
        </w:rPr>
        <w:t>:</w:t>
      </w:r>
      <w:proofErr w:type="gramEnd"/>
      <w:r w:rsidR="00455438" w:rsidRPr="00380524">
        <w:rPr>
          <w:rFonts w:ascii="Arial" w:hAnsi="Arial" w:cs="Arial"/>
        </w:rPr>
        <w:t xml:space="preserve"> </w:t>
      </w:r>
      <w:r w:rsidR="00455438" w:rsidRPr="00380524">
        <w:rPr>
          <w:rFonts w:ascii="Arial" w:hAnsi="Arial" w:cs="Arial"/>
        </w:rPr>
        <w:t xml:space="preserve">This report critically analyses external factors influencing the creator economy through the Drivers, Pressures, State, Impacts and Responses (DPSIR) framework. The STEEPLE analysis in Appendix A categorises the external environment, while the SWOT analysis in Appendix B evaluates the industry's strategic position. Three examples illustrate different creator business models: </w:t>
      </w:r>
      <w:proofErr w:type="spellStart"/>
      <w:r w:rsidR="00455438" w:rsidRPr="00380524">
        <w:rPr>
          <w:rFonts w:ascii="Arial" w:hAnsi="Arial" w:cs="Arial"/>
        </w:rPr>
        <w:t>IShowSpeed</w:t>
      </w:r>
      <w:proofErr w:type="spellEnd"/>
      <w:r w:rsidR="00455438" w:rsidRPr="00380524">
        <w:rPr>
          <w:rFonts w:ascii="Arial" w:hAnsi="Arial" w:cs="Arial"/>
        </w:rPr>
        <w:t xml:space="preserve"> represents personality-led livestreaming, Huda Kattan illustrates the connection between beauty content and creator-led product ownership, and Steven Bartlett represents podcasting and media entrepreneurship. Their comparison in Appendix F shows why the same external changes can create different opportunities and risks for different</w:t>
      </w:r>
      <w:r>
        <w:rPr>
          <w:rFonts w:ascii="Arial" w:hAnsi="Arial" w:cs="Arial"/>
        </w:rPr>
        <w:t xml:space="preserve"> </w:t>
      </w:r>
      <w:r w:rsidR="00455438" w:rsidRPr="00380524">
        <w:rPr>
          <w:rFonts w:ascii="Arial" w:hAnsi="Arial" w:cs="Arial"/>
        </w:rPr>
        <w:t>creators.</w:t>
      </w:r>
    </w:p>
    <w:p w14:paraId="730AE17E" w14:textId="6A3C9CEC" w:rsidR="00455438" w:rsidRPr="00380524" w:rsidRDefault="00455438" w:rsidP="00380524">
      <w:pPr>
        <w:spacing w:line="360" w:lineRule="auto"/>
        <w:ind w:left="720"/>
        <w:jc w:val="both"/>
        <w:rPr>
          <w:rFonts w:ascii="Arial" w:hAnsi="Arial" w:cs="Arial"/>
          <w:b/>
          <w:bCs/>
        </w:rPr>
      </w:pPr>
      <w:r w:rsidRPr="00380524">
        <w:rPr>
          <w:rFonts w:ascii="Arial" w:hAnsi="Arial" w:cs="Arial"/>
          <w:b/>
          <w:bCs/>
        </w:rPr>
        <w:lastRenderedPageBreak/>
        <w:t xml:space="preserve">2.DPSIR ANALYSIS </w:t>
      </w:r>
    </w:p>
    <w:p w14:paraId="606FC4A0" w14:textId="3FC6B902" w:rsidR="00455438" w:rsidRPr="00380524" w:rsidRDefault="00455438" w:rsidP="00380524">
      <w:pPr>
        <w:spacing w:line="360" w:lineRule="auto"/>
        <w:jc w:val="both"/>
        <w:rPr>
          <w:rFonts w:ascii="Arial" w:hAnsi="Arial" w:cs="Arial"/>
          <w:b/>
          <w:bCs/>
        </w:rPr>
      </w:pPr>
      <w:r w:rsidRPr="00380524">
        <w:rPr>
          <w:rFonts w:ascii="Arial" w:hAnsi="Arial" w:cs="Arial"/>
          <w:b/>
          <w:bCs/>
        </w:rPr>
        <w:t>2.1 Drivers: forces driving the creator economy</w:t>
      </w:r>
    </w:p>
    <w:p w14:paraId="23112B0C" w14:textId="77777777" w:rsidR="00455438" w:rsidRPr="00380524" w:rsidRDefault="00455438" w:rsidP="00380524">
      <w:pPr>
        <w:spacing w:line="360" w:lineRule="auto"/>
        <w:rPr>
          <w:rFonts w:ascii="Arial" w:hAnsi="Arial" w:cs="Arial"/>
        </w:rPr>
      </w:pPr>
      <w:r w:rsidRPr="00380524">
        <w:rPr>
          <w:rFonts w:ascii="Arial" w:hAnsi="Arial" w:cs="Arial"/>
        </w:rPr>
        <w:t>The creator economy is driven by technological accessibility, changes in audience behaviour and the commercial value of digital influence. Smartphones, social platforms and accessible production tools allow individuals to publish content with relatively low initial investment. Participatory digital culture also enables audiences to comment, share and contribute to creator communities (Jenkins, 2006; OECD, 2007).</w:t>
      </w:r>
    </w:p>
    <w:p w14:paraId="64AD28CC" w14:textId="77777777" w:rsidR="00455438" w:rsidRPr="00380524" w:rsidRDefault="00455438" w:rsidP="00380524">
      <w:pPr>
        <w:spacing w:line="360" w:lineRule="auto"/>
        <w:jc w:val="both"/>
        <w:rPr>
          <w:rFonts w:ascii="Arial" w:hAnsi="Arial" w:cs="Arial"/>
        </w:rPr>
      </w:pPr>
      <w:r w:rsidRPr="00380524">
        <w:rPr>
          <w:rFonts w:ascii="Arial" w:hAnsi="Arial" w:cs="Arial"/>
        </w:rPr>
        <w:t>Creators can develop personal brands around a distinctive identity, expertise or lifestyle. Khamis, Ang and Welling (2017) describe self-branding and micro-celebrity as important features of social media culture. Abidin (2016) similarly shows how influencers perform visibility work to maintain audience attention and commercial relationships. These practices can make creators attractive to brands seeking to reach specific audiences.</w:t>
      </w:r>
    </w:p>
    <w:p w14:paraId="62031836" w14:textId="77777777" w:rsidR="00455438" w:rsidRPr="00380524" w:rsidRDefault="00455438" w:rsidP="00380524">
      <w:pPr>
        <w:spacing w:line="360" w:lineRule="auto"/>
        <w:jc w:val="both"/>
        <w:rPr>
          <w:rFonts w:ascii="Arial" w:hAnsi="Arial" w:cs="Arial"/>
        </w:rPr>
      </w:pPr>
      <w:r w:rsidRPr="00380524">
        <w:rPr>
          <w:rFonts w:ascii="Arial" w:hAnsi="Arial" w:cs="Arial"/>
        </w:rPr>
        <w:t xml:space="preserve">Influencer marketing research suggests that follower numbers, perceived credibility and the value of sponsored messages can affect consumer responses (De </w:t>
      </w:r>
      <w:proofErr w:type="spellStart"/>
      <w:r w:rsidRPr="00380524">
        <w:rPr>
          <w:rFonts w:ascii="Arial" w:hAnsi="Arial" w:cs="Arial"/>
        </w:rPr>
        <w:t>Veirman</w:t>
      </w:r>
      <w:proofErr w:type="spellEnd"/>
      <w:r w:rsidRPr="00380524">
        <w:rPr>
          <w:rFonts w:ascii="Arial" w:hAnsi="Arial" w:cs="Arial"/>
        </w:rPr>
        <w:t xml:space="preserve">, </w:t>
      </w:r>
      <w:proofErr w:type="spellStart"/>
      <w:r w:rsidRPr="00380524">
        <w:rPr>
          <w:rFonts w:ascii="Arial" w:hAnsi="Arial" w:cs="Arial"/>
        </w:rPr>
        <w:t>Cauberghe</w:t>
      </w:r>
      <w:proofErr w:type="spellEnd"/>
      <w:r w:rsidRPr="00380524">
        <w:rPr>
          <w:rFonts w:ascii="Arial" w:hAnsi="Arial" w:cs="Arial"/>
        </w:rPr>
        <w:t xml:space="preserve"> and </w:t>
      </w:r>
      <w:proofErr w:type="spellStart"/>
      <w:r w:rsidRPr="00380524">
        <w:rPr>
          <w:rFonts w:ascii="Arial" w:hAnsi="Arial" w:cs="Arial"/>
        </w:rPr>
        <w:t>Hudders</w:t>
      </w:r>
      <w:proofErr w:type="spellEnd"/>
      <w:r w:rsidRPr="00380524">
        <w:rPr>
          <w:rFonts w:ascii="Arial" w:hAnsi="Arial" w:cs="Arial"/>
        </w:rPr>
        <w:t xml:space="preserve">, 2017; Lou and Yuan, 2019). </w:t>
      </w:r>
      <w:proofErr w:type="spellStart"/>
      <w:r w:rsidRPr="00380524">
        <w:rPr>
          <w:rFonts w:ascii="Arial" w:hAnsi="Arial" w:cs="Arial"/>
        </w:rPr>
        <w:t>Vrontis</w:t>
      </w:r>
      <w:proofErr w:type="spellEnd"/>
      <w:r w:rsidRPr="00380524">
        <w:rPr>
          <w:rFonts w:ascii="Arial" w:hAnsi="Arial" w:cs="Arial"/>
        </w:rPr>
        <w:t xml:space="preserve"> et al. (2021) identify influencer marketing as a developing research field with implications for consumer behaviour and marketing strategy. However, follower counts alone do not establish influence or commercial effectiveness; audience </w:t>
      </w:r>
      <w:proofErr w:type="gramStart"/>
      <w:r w:rsidRPr="00380524">
        <w:rPr>
          <w:rFonts w:ascii="Arial" w:hAnsi="Arial" w:cs="Arial"/>
        </w:rPr>
        <w:t>fit</w:t>
      </w:r>
      <w:proofErr w:type="gramEnd"/>
      <w:r w:rsidRPr="00380524">
        <w:rPr>
          <w:rFonts w:ascii="Arial" w:hAnsi="Arial" w:cs="Arial"/>
        </w:rPr>
        <w:t xml:space="preserve"> and trust also matter.</w:t>
      </w:r>
    </w:p>
    <w:p w14:paraId="2BC4C45B" w14:textId="77777777" w:rsidR="00455438" w:rsidRPr="00380524" w:rsidRDefault="00455438" w:rsidP="00380524">
      <w:pPr>
        <w:spacing w:line="360" w:lineRule="auto"/>
        <w:jc w:val="both"/>
        <w:rPr>
          <w:rFonts w:ascii="Arial" w:hAnsi="Arial" w:cs="Arial"/>
        </w:rPr>
      </w:pPr>
      <w:r w:rsidRPr="00380524">
        <w:rPr>
          <w:rFonts w:ascii="Arial" w:hAnsi="Arial" w:cs="Arial"/>
        </w:rPr>
        <w:t xml:space="preserve">The three cases demonstrate different ways of converting attention into value. </w:t>
      </w:r>
      <w:proofErr w:type="spellStart"/>
      <w:r w:rsidRPr="00380524">
        <w:rPr>
          <w:rFonts w:ascii="Arial" w:hAnsi="Arial" w:cs="Arial"/>
        </w:rPr>
        <w:t>IShowSpeed's</w:t>
      </w:r>
      <w:proofErr w:type="spellEnd"/>
      <w:r w:rsidRPr="00380524">
        <w:rPr>
          <w:rFonts w:ascii="Arial" w:hAnsi="Arial" w:cs="Arial"/>
        </w:rPr>
        <w:t xml:space="preserve"> livestreaming depends on entertainment and real-time audience participation. Huda Kattan's public profile is associated with a beauty business, illustrating how a creator identity can complement products. Steven Bartlett's The Diary of a CEO demonstrates how long-form interviews can become a media product distributed through digital channels.</w:t>
      </w:r>
    </w:p>
    <w:p w14:paraId="36ADB0C0" w14:textId="77777777" w:rsidR="00455438" w:rsidRDefault="00455438" w:rsidP="00380524">
      <w:pPr>
        <w:spacing w:line="360" w:lineRule="auto"/>
        <w:jc w:val="both"/>
        <w:rPr>
          <w:rFonts w:ascii="Arial" w:hAnsi="Arial" w:cs="Arial"/>
        </w:rPr>
      </w:pPr>
      <w:r w:rsidRPr="00380524">
        <w:rPr>
          <w:rFonts w:ascii="Arial" w:hAnsi="Arial" w:cs="Arial"/>
        </w:rPr>
        <w:t>Nevertheless, accessible publishing does not guarantee sustainable income. Creators compete for limited attention and must continually adapt to changes in formats, algorithms and audience expectations. Peres et al. (2024) therefore describe the creator economy as a complex ecosystem involving creators, platforms, firms and consumers rather than simply a collection of independent influencers.</w:t>
      </w:r>
    </w:p>
    <w:p w14:paraId="0F035EB6" w14:textId="77777777" w:rsidR="00380524" w:rsidRPr="00380524" w:rsidRDefault="00380524" w:rsidP="00380524">
      <w:pPr>
        <w:spacing w:line="360" w:lineRule="auto"/>
        <w:jc w:val="both"/>
        <w:rPr>
          <w:rFonts w:ascii="Arial" w:hAnsi="Arial" w:cs="Arial"/>
        </w:rPr>
      </w:pPr>
    </w:p>
    <w:p w14:paraId="37AD3B09" w14:textId="2E81E4A4" w:rsidR="00455438" w:rsidRPr="00380524" w:rsidRDefault="00455438" w:rsidP="00380524">
      <w:pPr>
        <w:pStyle w:val="Heading2"/>
        <w:spacing w:line="360" w:lineRule="auto"/>
        <w:jc w:val="both"/>
        <w:rPr>
          <w:rFonts w:ascii="Arial" w:hAnsi="Arial" w:cs="Arial"/>
          <w:b/>
          <w:bCs/>
          <w:color w:val="000000" w:themeColor="text1"/>
          <w:sz w:val="24"/>
          <w:szCs w:val="24"/>
        </w:rPr>
      </w:pPr>
      <w:r w:rsidRPr="00380524">
        <w:rPr>
          <w:rFonts w:ascii="Arial" w:hAnsi="Arial" w:cs="Arial"/>
          <w:b/>
          <w:bCs/>
          <w:color w:val="000000" w:themeColor="text1"/>
          <w:sz w:val="24"/>
          <w:szCs w:val="24"/>
        </w:rPr>
        <w:t xml:space="preserve">             </w:t>
      </w:r>
      <w:r w:rsidRPr="00380524">
        <w:rPr>
          <w:rFonts w:ascii="Arial" w:hAnsi="Arial" w:cs="Arial"/>
          <w:b/>
          <w:bCs/>
          <w:color w:val="000000" w:themeColor="text1"/>
          <w:sz w:val="24"/>
          <w:szCs w:val="24"/>
        </w:rPr>
        <w:t>2.2 Pressures: risks and external constraints</w:t>
      </w:r>
    </w:p>
    <w:p w14:paraId="0BBE9304" w14:textId="77777777" w:rsidR="00455438" w:rsidRPr="00380524" w:rsidRDefault="00455438" w:rsidP="00380524">
      <w:pPr>
        <w:spacing w:line="360" w:lineRule="auto"/>
        <w:jc w:val="both"/>
        <w:rPr>
          <w:rFonts w:ascii="Arial" w:hAnsi="Arial" w:cs="Arial"/>
        </w:rPr>
      </w:pPr>
      <w:r w:rsidRPr="00380524">
        <w:rPr>
          <w:rFonts w:ascii="Arial" w:hAnsi="Arial" w:cs="Arial"/>
        </w:rPr>
        <w:t>A major pressure is dependence on digital platforms. Recommendation systems influence which content becomes visible, while platforms determine monetisation rules and access to audience data. Cotter (2019) describes how Instagram influencers navigate an algorithmic “visibility game”. Bucher (2018) argues more broadly that algorithms exercise power by shaping what users can see and how they experience digital systems. For creators, this means that strong performance today does not guarantee future visibility.</w:t>
      </w:r>
    </w:p>
    <w:p w14:paraId="291AA7DE" w14:textId="77777777" w:rsidR="00455438" w:rsidRPr="00380524" w:rsidRDefault="00455438" w:rsidP="00380524">
      <w:pPr>
        <w:spacing w:line="360" w:lineRule="auto"/>
        <w:jc w:val="both"/>
        <w:rPr>
          <w:rFonts w:ascii="Arial" w:hAnsi="Arial" w:cs="Arial"/>
        </w:rPr>
      </w:pPr>
      <w:proofErr w:type="spellStart"/>
      <w:r w:rsidRPr="00380524">
        <w:rPr>
          <w:rFonts w:ascii="Arial" w:hAnsi="Arial" w:cs="Arial"/>
        </w:rPr>
        <w:t>Platformisation</w:t>
      </w:r>
      <w:proofErr w:type="spellEnd"/>
      <w:r w:rsidRPr="00380524">
        <w:rPr>
          <w:rFonts w:ascii="Arial" w:hAnsi="Arial" w:cs="Arial"/>
        </w:rPr>
        <w:t xml:space="preserve"> also affects the relationship between creators and commercial intermediaries. </w:t>
      </w:r>
      <w:proofErr w:type="spellStart"/>
      <w:r w:rsidRPr="00380524">
        <w:rPr>
          <w:rFonts w:ascii="Arial" w:hAnsi="Arial" w:cs="Arial"/>
        </w:rPr>
        <w:t>Nieborg</w:t>
      </w:r>
      <w:proofErr w:type="spellEnd"/>
      <w:r w:rsidRPr="00380524">
        <w:rPr>
          <w:rFonts w:ascii="Arial" w:hAnsi="Arial" w:cs="Arial"/>
        </w:rPr>
        <w:t xml:space="preserve"> and Poell (2018) explain how cultural production becomes shaped by platform infrastructures and business models. This creates opportunities for distribution but can limit creators' control over the conditions of production. </w:t>
      </w:r>
      <w:proofErr w:type="spellStart"/>
      <w:r w:rsidRPr="00380524">
        <w:rPr>
          <w:rFonts w:ascii="Arial" w:hAnsi="Arial" w:cs="Arial"/>
        </w:rPr>
        <w:t>IShowSpeed's</w:t>
      </w:r>
      <w:proofErr w:type="spellEnd"/>
      <w:r w:rsidRPr="00380524">
        <w:rPr>
          <w:rFonts w:ascii="Arial" w:hAnsi="Arial" w:cs="Arial"/>
        </w:rPr>
        <w:t xml:space="preserve"> livestreaming model is exposed to platform visibility and live-content policies. Bartlett's podcast can be distributed across channels, although discovery still depends partly on third-party services. Huda Kattan's creator-led brand model can potentially build direct customer relationships, reducing—but not eliminating—dependence on social platforms.</w:t>
      </w:r>
    </w:p>
    <w:p w14:paraId="7EA6B7F3" w14:textId="77777777" w:rsidR="00455438" w:rsidRPr="00380524" w:rsidRDefault="00455438" w:rsidP="00380524">
      <w:pPr>
        <w:spacing w:line="360" w:lineRule="auto"/>
        <w:jc w:val="both"/>
        <w:rPr>
          <w:rFonts w:ascii="Arial" w:hAnsi="Arial" w:cs="Arial"/>
        </w:rPr>
      </w:pPr>
      <w:r w:rsidRPr="00380524">
        <w:rPr>
          <w:rFonts w:ascii="Arial" w:hAnsi="Arial" w:cs="Arial"/>
        </w:rPr>
        <w:t>Economic pressure compounds these risks. Advertising budgets fluctuate, sponsorship opportunities are unevenly distributed, and professional production may require spending on editing, staff and equipment. Duffy (2017) challenges the idealised image of creative independence by showing how aspirational digital work can involve insecurity and unpaid labour. Marwick (2013) also explains how online status and personal branding can become closely connected to visibility and social competition.</w:t>
      </w:r>
    </w:p>
    <w:p w14:paraId="5CEBF058" w14:textId="77777777" w:rsidR="00455438" w:rsidRPr="00380524" w:rsidRDefault="00455438" w:rsidP="00380524">
      <w:pPr>
        <w:spacing w:line="360" w:lineRule="auto"/>
        <w:jc w:val="both"/>
        <w:rPr>
          <w:rFonts w:ascii="Arial" w:hAnsi="Arial" w:cs="Arial"/>
        </w:rPr>
      </w:pPr>
      <w:r w:rsidRPr="00380524">
        <w:rPr>
          <w:rFonts w:ascii="Arial" w:hAnsi="Arial" w:cs="Arial"/>
        </w:rPr>
        <w:t xml:space="preserve">Legal and ethical pressures are also significant. Commercial endorsements must be recognisable as advertising, including relevant gifted products, affiliate relationships and promotions of a creator's own business (CMA, 2025a). The Advertising Standards Authority's monitoring of more than 50,000 pieces of Instagram and TikTok content found that approximately 57% of the influencer advertisements in its sample complied with disclosure rules, 9% used unclear labels and 34% had no disclosure (ASA, 2025). </w:t>
      </w:r>
      <w:r w:rsidRPr="00380524">
        <w:rPr>
          <w:rFonts w:ascii="Arial" w:hAnsi="Arial" w:cs="Arial"/>
        </w:rPr>
        <w:lastRenderedPageBreak/>
        <w:t>These findings indicate a transparency problem, although the monitored sample should not be interpreted as a census of all influencer advertising.</w:t>
      </w:r>
    </w:p>
    <w:p w14:paraId="62703E9A" w14:textId="77777777" w:rsidR="00455438" w:rsidRDefault="00455438" w:rsidP="00380524">
      <w:pPr>
        <w:spacing w:line="360" w:lineRule="auto"/>
        <w:jc w:val="both"/>
        <w:rPr>
          <w:rFonts w:ascii="Arial" w:hAnsi="Arial" w:cs="Arial"/>
        </w:rPr>
      </w:pPr>
      <w:r w:rsidRPr="00380524">
        <w:rPr>
          <w:rFonts w:ascii="Arial" w:hAnsi="Arial" w:cs="Arial"/>
        </w:rPr>
        <w:t xml:space="preserve">Ethical risks extend beyond advertising. Audiences may perceive creators as authentic or personally relatable, which can make commercial messages persuasive. </w:t>
      </w:r>
      <w:proofErr w:type="spellStart"/>
      <w:r w:rsidRPr="00380524">
        <w:rPr>
          <w:rFonts w:ascii="Arial" w:hAnsi="Arial" w:cs="Arial"/>
        </w:rPr>
        <w:t>Audrezet</w:t>
      </w:r>
      <w:proofErr w:type="spellEnd"/>
      <w:r w:rsidRPr="00380524">
        <w:rPr>
          <w:rFonts w:ascii="Arial" w:hAnsi="Arial" w:cs="Arial"/>
        </w:rPr>
        <w:t xml:space="preserve">, de </w:t>
      </w:r>
      <w:proofErr w:type="spellStart"/>
      <w:r w:rsidRPr="00380524">
        <w:rPr>
          <w:rFonts w:ascii="Arial" w:hAnsi="Arial" w:cs="Arial"/>
        </w:rPr>
        <w:t>Kerviler</w:t>
      </w:r>
      <w:proofErr w:type="spellEnd"/>
      <w:r w:rsidRPr="00380524">
        <w:rPr>
          <w:rFonts w:ascii="Arial" w:hAnsi="Arial" w:cs="Arial"/>
        </w:rPr>
        <w:t xml:space="preserve"> and Guidry </w:t>
      </w:r>
      <w:proofErr w:type="spellStart"/>
      <w:r w:rsidRPr="00380524">
        <w:rPr>
          <w:rFonts w:ascii="Arial" w:hAnsi="Arial" w:cs="Arial"/>
        </w:rPr>
        <w:t>Moulard</w:t>
      </w:r>
      <w:proofErr w:type="spellEnd"/>
      <w:r w:rsidRPr="00380524">
        <w:rPr>
          <w:rFonts w:ascii="Arial" w:hAnsi="Arial" w:cs="Arial"/>
        </w:rPr>
        <w:t xml:space="preserve"> (2020) identify tensions between commercial partnerships and perceived authenticity. Evans et al. (2017) also demonstrate that disclosure language can affect advertising recognition and consumer responses. These issues are especially relevant when creators promote beauty products, financial services or other products where misleading claims may have consequences.</w:t>
      </w:r>
    </w:p>
    <w:p w14:paraId="46CF8921" w14:textId="77777777" w:rsidR="00380524" w:rsidRPr="00380524" w:rsidRDefault="00380524" w:rsidP="00380524">
      <w:pPr>
        <w:spacing w:line="360" w:lineRule="auto"/>
        <w:jc w:val="both"/>
        <w:rPr>
          <w:rFonts w:ascii="Arial" w:hAnsi="Arial" w:cs="Arial"/>
        </w:rPr>
      </w:pPr>
    </w:p>
    <w:p w14:paraId="071E8399" w14:textId="26FDC5F1" w:rsidR="00455438" w:rsidRPr="00380524" w:rsidRDefault="00455438" w:rsidP="00380524">
      <w:pPr>
        <w:pStyle w:val="Heading2"/>
        <w:spacing w:line="360" w:lineRule="auto"/>
        <w:jc w:val="both"/>
        <w:rPr>
          <w:rFonts w:ascii="Arial" w:hAnsi="Arial" w:cs="Arial"/>
          <w:b/>
          <w:bCs/>
          <w:color w:val="000000" w:themeColor="text1"/>
          <w:sz w:val="24"/>
          <w:szCs w:val="24"/>
        </w:rPr>
      </w:pPr>
      <w:r w:rsidRPr="00380524">
        <w:rPr>
          <w:rFonts w:ascii="Arial" w:hAnsi="Arial" w:cs="Arial"/>
          <w:b/>
          <w:bCs/>
          <w:color w:val="000000" w:themeColor="text1"/>
          <w:sz w:val="24"/>
          <w:szCs w:val="24"/>
        </w:rPr>
        <w:t xml:space="preserve">             </w:t>
      </w:r>
      <w:r w:rsidRPr="00380524">
        <w:rPr>
          <w:rFonts w:ascii="Arial" w:hAnsi="Arial" w:cs="Arial"/>
          <w:b/>
          <w:bCs/>
          <w:color w:val="000000" w:themeColor="text1"/>
          <w:sz w:val="24"/>
          <w:szCs w:val="24"/>
        </w:rPr>
        <w:t>2.3 State: the current condition of the creator economy</w:t>
      </w:r>
    </w:p>
    <w:p w14:paraId="38AB3C68" w14:textId="77777777" w:rsidR="00455438" w:rsidRPr="00380524" w:rsidRDefault="00455438" w:rsidP="00380524">
      <w:pPr>
        <w:spacing w:line="360" w:lineRule="auto"/>
        <w:jc w:val="both"/>
        <w:rPr>
          <w:rFonts w:ascii="Arial" w:hAnsi="Arial" w:cs="Arial"/>
        </w:rPr>
      </w:pPr>
      <w:r w:rsidRPr="00380524">
        <w:rPr>
          <w:rFonts w:ascii="Arial" w:hAnsi="Arial" w:cs="Arial"/>
        </w:rPr>
        <w:t>The creator economy combines large potential audiences with unequal monetisation and uncertain long-term outcomes. Public attention is not distributed equally, and high reach does not necessarily translate into stable income. Ofcom's Online Nation 2025 report provides broader evidence of the scale and changing nature of online use in the UK, offering context for the digital environment in which creators operate (Ofcom, 2025).</w:t>
      </w:r>
    </w:p>
    <w:p w14:paraId="1C39219F" w14:textId="77777777" w:rsidR="00455438" w:rsidRPr="00380524" w:rsidRDefault="00455438" w:rsidP="00380524">
      <w:pPr>
        <w:spacing w:line="360" w:lineRule="auto"/>
        <w:jc w:val="both"/>
        <w:rPr>
          <w:rFonts w:ascii="Arial" w:hAnsi="Arial" w:cs="Arial"/>
        </w:rPr>
      </w:pPr>
      <w:r w:rsidRPr="00380524">
        <w:rPr>
          <w:rFonts w:ascii="Arial" w:hAnsi="Arial" w:cs="Arial"/>
        </w:rPr>
        <w:t xml:space="preserve">The three cases represent distinct models of audience development. </w:t>
      </w:r>
      <w:proofErr w:type="spellStart"/>
      <w:r w:rsidRPr="00380524">
        <w:rPr>
          <w:rFonts w:ascii="Arial" w:hAnsi="Arial" w:cs="Arial"/>
        </w:rPr>
        <w:t>IShowSpeed</w:t>
      </w:r>
      <w:proofErr w:type="spellEnd"/>
      <w:r w:rsidRPr="00380524">
        <w:rPr>
          <w:rFonts w:ascii="Arial" w:hAnsi="Arial" w:cs="Arial"/>
        </w:rPr>
        <w:t xml:space="preserve"> uses livestreaming and personality-led entertainment; Huda Kattan connects beauty content and personal branding with a consumer-product business; and Bartlett develops a long-form podcast and media presence. Official creator and brand channels provide examples of how these models are presented to audiences (</w:t>
      </w:r>
      <w:proofErr w:type="spellStart"/>
      <w:r w:rsidRPr="00380524">
        <w:rPr>
          <w:rFonts w:ascii="Arial" w:hAnsi="Arial" w:cs="Arial"/>
        </w:rPr>
        <w:t>IShowSpeed</w:t>
      </w:r>
      <w:proofErr w:type="spellEnd"/>
      <w:r w:rsidRPr="00380524">
        <w:rPr>
          <w:rFonts w:ascii="Arial" w:hAnsi="Arial" w:cs="Arial"/>
        </w:rPr>
        <w:t>, n.d.; Huda Beauty, n.d.; Bartlett, n.d.).</w:t>
      </w:r>
    </w:p>
    <w:p w14:paraId="56CBA14F" w14:textId="77777777" w:rsidR="00455438" w:rsidRPr="00380524" w:rsidRDefault="00455438" w:rsidP="00380524">
      <w:pPr>
        <w:spacing w:line="360" w:lineRule="auto"/>
        <w:jc w:val="both"/>
        <w:rPr>
          <w:rFonts w:ascii="Arial" w:hAnsi="Arial" w:cs="Arial"/>
        </w:rPr>
      </w:pPr>
      <w:r w:rsidRPr="00380524">
        <w:rPr>
          <w:rFonts w:ascii="Arial" w:hAnsi="Arial" w:cs="Arial"/>
        </w:rPr>
        <w:t xml:space="preserve">Social Blade’s monthly statistics for </w:t>
      </w:r>
      <w:proofErr w:type="spellStart"/>
      <w:r w:rsidRPr="00380524">
        <w:rPr>
          <w:rFonts w:ascii="Arial" w:hAnsi="Arial" w:cs="Arial"/>
        </w:rPr>
        <w:t>IShowSpeed</w:t>
      </w:r>
      <w:proofErr w:type="spellEnd"/>
      <w:r w:rsidRPr="00380524">
        <w:rPr>
          <w:rFonts w:ascii="Arial" w:hAnsi="Arial" w:cs="Arial"/>
        </w:rPr>
        <w:t xml:space="preserve"> also illustrate that audience growth is not necessarily linear. Monthly gains in views and subscribers fluctuate considerably across the 2024–2026 period, suggesting that creator visibility can be shaped by viral moments, content cycles and platform recommendation systems. These figures indicate reach and audience acquisition, but they are not direct measures of engagement quality, income or long-term audience loyalty; as third-party estimates, they should be interpreted cautiously (see Appendix E).</w:t>
      </w:r>
    </w:p>
    <w:p w14:paraId="5CF837A7" w14:textId="77777777" w:rsidR="00455438" w:rsidRPr="00380524" w:rsidRDefault="00455438" w:rsidP="00380524">
      <w:pPr>
        <w:spacing w:line="360" w:lineRule="auto"/>
        <w:jc w:val="both"/>
        <w:rPr>
          <w:rFonts w:ascii="Arial" w:hAnsi="Arial" w:cs="Arial"/>
        </w:rPr>
      </w:pPr>
      <w:r w:rsidRPr="00380524">
        <w:rPr>
          <w:rFonts w:ascii="Arial" w:hAnsi="Arial" w:cs="Arial"/>
        </w:rPr>
        <w:lastRenderedPageBreak/>
        <w:t>However, audience metrics must be interpreted cautiously. Subscribers, followers, cumulative views and podcast downloads measure different forms of reach and are not directly interchangeable. McCracken's (1989) work on celebrity endorsement also suggests that the meaning transferred from a public figure to a product is not captured by audience size alone. Appendix E summarises selected audience indicators and explains their limitations.</w:t>
      </w:r>
    </w:p>
    <w:p w14:paraId="397BE759" w14:textId="77777777" w:rsidR="00455438" w:rsidRDefault="00455438" w:rsidP="00380524">
      <w:pPr>
        <w:spacing w:line="360" w:lineRule="auto"/>
        <w:jc w:val="both"/>
        <w:rPr>
          <w:rFonts w:ascii="Arial" w:hAnsi="Arial" w:cs="Arial"/>
        </w:rPr>
      </w:pPr>
      <w:r w:rsidRPr="00380524">
        <w:rPr>
          <w:rFonts w:ascii="Arial" w:hAnsi="Arial" w:cs="Arial"/>
        </w:rPr>
        <w:t>The industry's state is therefore best understood as a mixture of opportunity and fragility. Creators can build valuable communities and commercial identities, but their access to audiences, income and reputation remains vulnerable to platform changes and external events. The STEEPLE table in Appendix A summarises the factors shaping this environment.</w:t>
      </w:r>
    </w:p>
    <w:p w14:paraId="38B7A869" w14:textId="77777777" w:rsidR="00380524" w:rsidRPr="00380524" w:rsidRDefault="00380524" w:rsidP="00380524">
      <w:pPr>
        <w:spacing w:line="360" w:lineRule="auto"/>
        <w:jc w:val="both"/>
        <w:rPr>
          <w:rFonts w:ascii="Arial" w:hAnsi="Arial" w:cs="Arial"/>
        </w:rPr>
      </w:pPr>
    </w:p>
    <w:p w14:paraId="2B5AADCC" w14:textId="50CA2BEC" w:rsidR="00380524" w:rsidRPr="00380524" w:rsidRDefault="00455438" w:rsidP="00380524">
      <w:pPr>
        <w:spacing w:line="360" w:lineRule="auto"/>
        <w:jc w:val="both"/>
        <w:rPr>
          <w:rFonts w:ascii="Arial" w:hAnsi="Arial" w:cs="Arial"/>
          <w:b/>
          <w:bCs/>
        </w:rPr>
      </w:pPr>
      <w:r w:rsidRPr="00380524">
        <w:rPr>
          <w:rFonts w:ascii="Arial" w:hAnsi="Arial" w:cs="Arial"/>
          <w:b/>
          <w:bCs/>
        </w:rPr>
        <w:t xml:space="preserve">              </w:t>
      </w:r>
      <w:r w:rsidRPr="00380524">
        <w:rPr>
          <w:rFonts w:ascii="Arial" w:hAnsi="Arial" w:cs="Arial"/>
          <w:b/>
          <w:bCs/>
        </w:rPr>
        <w:t>2.4 Impacts: economic, social and environmental consequences</w:t>
      </w:r>
    </w:p>
    <w:p w14:paraId="48963AAB" w14:textId="77777777" w:rsidR="00455438" w:rsidRPr="00380524" w:rsidRDefault="00455438" w:rsidP="00380524">
      <w:pPr>
        <w:spacing w:line="360" w:lineRule="auto"/>
        <w:jc w:val="both"/>
        <w:rPr>
          <w:rFonts w:ascii="Arial" w:hAnsi="Arial" w:cs="Arial"/>
        </w:rPr>
      </w:pPr>
      <w:r w:rsidRPr="00380524">
        <w:rPr>
          <w:rFonts w:ascii="Arial" w:hAnsi="Arial" w:cs="Arial"/>
        </w:rPr>
        <w:t>The creator economy can support entrepreneurship, employment, cultural participation and new routes to market. Creators can introduce niche products, provide entertainment and develop communities around shared interests. Cunningham and Craig (2019) describe social media entertainment as an evolving intersection between digital platforms and professional media production. These opportunities, however, coexist with unequal rewards and pressure to remain visible.</w:t>
      </w:r>
    </w:p>
    <w:p w14:paraId="4655952D" w14:textId="77777777" w:rsidR="00455438" w:rsidRPr="00380524" w:rsidRDefault="00455438" w:rsidP="00380524">
      <w:pPr>
        <w:spacing w:line="360" w:lineRule="auto"/>
        <w:jc w:val="both"/>
        <w:rPr>
          <w:rFonts w:ascii="Arial" w:hAnsi="Arial" w:cs="Arial"/>
        </w:rPr>
      </w:pPr>
      <w:r w:rsidRPr="00380524">
        <w:rPr>
          <w:rFonts w:ascii="Arial" w:hAnsi="Arial" w:cs="Arial"/>
        </w:rPr>
        <w:t xml:space="preserve">Social impacts are mixed. Creators can offer audiences a sense of community and access to specialist knowledge, but the boundary between personal recommendations and commercial advertising may become unclear. Sokolova and </w:t>
      </w:r>
      <w:proofErr w:type="spellStart"/>
      <w:r w:rsidRPr="00380524">
        <w:rPr>
          <w:rFonts w:ascii="Arial" w:hAnsi="Arial" w:cs="Arial"/>
        </w:rPr>
        <w:t>Kefi</w:t>
      </w:r>
      <w:proofErr w:type="spellEnd"/>
      <w:r w:rsidRPr="00380524">
        <w:rPr>
          <w:rFonts w:ascii="Arial" w:hAnsi="Arial" w:cs="Arial"/>
        </w:rPr>
        <w:t xml:space="preserve"> (2020) examine how credibility and parasocial interaction relate to consumers' purchase intentions, illustrating why perceived relationships with creators matter commercially. These relationships can be valuable, but they also increase the importance of transparency.</w:t>
      </w:r>
    </w:p>
    <w:p w14:paraId="5C48BE21" w14:textId="77777777" w:rsidR="00455438" w:rsidRPr="00380524" w:rsidRDefault="00455438" w:rsidP="00380524">
      <w:pPr>
        <w:spacing w:line="360" w:lineRule="auto"/>
        <w:jc w:val="both"/>
        <w:rPr>
          <w:rFonts w:ascii="Arial" w:hAnsi="Arial" w:cs="Arial"/>
        </w:rPr>
      </w:pPr>
      <w:r w:rsidRPr="00380524">
        <w:rPr>
          <w:rFonts w:ascii="Arial" w:hAnsi="Arial" w:cs="Arial"/>
        </w:rPr>
        <w:t xml:space="preserve">The three cases demonstrate different forms of risk. </w:t>
      </w:r>
      <w:proofErr w:type="spellStart"/>
      <w:r w:rsidRPr="00380524">
        <w:rPr>
          <w:rFonts w:ascii="Arial" w:hAnsi="Arial" w:cs="Arial"/>
        </w:rPr>
        <w:t>IShowSpeed's</w:t>
      </w:r>
      <w:proofErr w:type="spellEnd"/>
      <w:r w:rsidRPr="00380524">
        <w:rPr>
          <w:rFonts w:ascii="Arial" w:hAnsi="Arial" w:cs="Arial"/>
        </w:rPr>
        <w:t xml:space="preserve"> spontaneous livestreaming creates opportunities for direct interaction but can expose the creator to reputational risks arising from unpredictable live moments. Huda Kattan's association with a beauty brand makes product quality and consumer trust important to both the creator's public reputation and the brand. Bartlett's long-form interviews create </w:t>
      </w:r>
      <w:r w:rsidRPr="00380524">
        <w:rPr>
          <w:rFonts w:ascii="Arial" w:hAnsi="Arial" w:cs="Arial"/>
        </w:rPr>
        <w:lastRenderedPageBreak/>
        <w:t>opportunities for detailed discussion but also increase the importance of editorial scrutiny, especially when content addresses consequential subjects.</w:t>
      </w:r>
    </w:p>
    <w:p w14:paraId="6DB2EF92" w14:textId="77777777" w:rsidR="00455438" w:rsidRPr="00380524" w:rsidRDefault="00455438" w:rsidP="00380524">
      <w:pPr>
        <w:spacing w:line="360" w:lineRule="auto"/>
        <w:jc w:val="both"/>
        <w:rPr>
          <w:rFonts w:ascii="Arial" w:hAnsi="Arial" w:cs="Arial"/>
        </w:rPr>
      </w:pPr>
      <w:r w:rsidRPr="00380524">
        <w:rPr>
          <w:rFonts w:ascii="Arial" w:hAnsi="Arial" w:cs="Arial"/>
        </w:rPr>
        <w:t xml:space="preserve">Authenticity is not simply a personal quality; it is also shaped by the commercial environment. </w:t>
      </w:r>
      <w:proofErr w:type="spellStart"/>
      <w:r w:rsidRPr="00380524">
        <w:rPr>
          <w:rFonts w:ascii="Arial" w:hAnsi="Arial" w:cs="Arial"/>
        </w:rPr>
        <w:t>Audrezet</w:t>
      </w:r>
      <w:proofErr w:type="spellEnd"/>
      <w:r w:rsidRPr="00380524">
        <w:rPr>
          <w:rFonts w:ascii="Arial" w:hAnsi="Arial" w:cs="Arial"/>
        </w:rPr>
        <w:t xml:space="preserve">, de </w:t>
      </w:r>
      <w:proofErr w:type="spellStart"/>
      <w:r w:rsidRPr="00380524">
        <w:rPr>
          <w:rFonts w:ascii="Arial" w:hAnsi="Arial" w:cs="Arial"/>
        </w:rPr>
        <w:t>Kerviler</w:t>
      </w:r>
      <w:proofErr w:type="spellEnd"/>
      <w:r w:rsidRPr="00380524">
        <w:rPr>
          <w:rFonts w:ascii="Arial" w:hAnsi="Arial" w:cs="Arial"/>
        </w:rPr>
        <w:t xml:space="preserve"> and Guidry </w:t>
      </w:r>
      <w:proofErr w:type="spellStart"/>
      <w:r w:rsidRPr="00380524">
        <w:rPr>
          <w:rFonts w:ascii="Arial" w:hAnsi="Arial" w:cs="Arial"/>
        </w:rPr>
        <w:t>Moulard</w:t>
      </w:r>
      <w:proofErr w:type="spellEnd"/>
      <w:r w:rsidRPr="00380524">
        <w:rPr>
          <w:rFonts w:ascii="Arial" w:hAnsi="Arial" w:cs="Arial"/>
        </w:rPr>
        <w:t xml:space="preserve"> (2020) suggest that creators need to manage tensions between their perceived motivations and commercial partnerships. Similarly, Duffy and Hund (2019) discuss the pressures of maintaining visibility and authenticity in social media culture.</w:t>
      </w:r>
    </w:p>
    <w:p w14:paraId="049DB059" w14:textId="77777777" w:rsidR="00455438" w:rsidRPr="00380524" w:rsidRDefault="00455438" w:rsidP="00380524">
      <w:pPr>
        <w:spacing w:line="360" w:lineRule="auto"/>
        <w:jc w:val="both"/>
        <w:rPr>
          <w:rFonts w:ascii="Arial" w:hAnsi="Arial" w:cs="Arial"/>
        </w:rPr>
      </w:pPr>
      <w:r w:rsidRPr="00380524">
        <w:rPr>
          <w:rFonts w:ascii="Arial" w:hAnsi="Arial" w:cs="Arial"/>
        </w:rPr>
        <w:t>Environmental impacts also deserve attention. Streaming, video storage and AI-assisted production depend on digital infrastructure that consumes energy and resources. Although the environmental footprint of an individual creator's content is difficult to establish without detailed data, the industry relies on networks, devices and data centres. Environmental considerations should therefore form part of the wider STEEPLE assessment rather than being ignored because the work is digital.</w:t>
      </w:r>
    </w:p>
    <w:p w14:paraId="308306FF" w14:textId="77777777" w:rsidR="00455438" w:rsidRDefault="00455438" w:rsidP="00380524">
      <w:pPr>
        <w:spacing w:line="360" w:lineRule="auto"/>
        <w:jc w:val="both"/>
        <w:rPr>
          <w:rFonts w:ascii="Arial" w:hAnsi="Arial" w:cs="Arial"/>
        </w:rPr>
      </w:pPr>
      <w:r w:rsidRPr="00380524">
        <w:rPr>
          <w:rFonts w:ascii="Arial" w:hAnsi="Arial" w:cs="Arial"/>
        </w:rPr>
        <w:t>The causal relationships between drivers, pressures, the industry's state, impacts and responses are shown in Appendix C. The limitations of the evidence used in this report are discussed in Appendix D.</w:t>
      </w:r>
    </w:p>
    <w:p w14:paraId="39E5476D" w14:textId="77777777" w:rsidR="00380524" w:rsidRPr="00380524" w:rsidRDefault="00380524" w:rsidP="00380524">
      <w:pPr>
        <w:spacing w:line="360" w:lineRule="auto"/>
        <w:jc w:val="both"/>
        <w:rPr>
          <w:rFonts w:ascii="Arial" w:hAnsi="Arial" w:cs="Arial"/>
        </w:rPr>
      </w:pPr>
    </w:p>
    <w:p w14:paraId="0647B759" w14:textId="7703DB24" w:rsidR="00380524" w:rsidRPr="00380524" w:rsidRDefault="00455438" w:rsidP="00380524">
      <w:pPr>
        <w:pStyle w:val="Heading2"/>
        <w:spacing w:line="360" w:lineRule="auto"/>
        <w:jc w:val="both"/>
        <w:rPr>
          <w:rFonts w:ascii="Arial" w:hAnsi="Arial" w:cs="Arial"/>
          <w:b/>
          <w:bCs/>
          <w:color w:val="000000" w:themeColor="text1"/>
          <w:sz w:val="24"/>
          <w:szCs w:val="24"/>
        </w:rPr>
      </w:pPr>
      <w:r w:rsidRPr="00380524">
        <w:rPr>
          <w:rFonts w:ascii="Arial" w:hAnsi="Arial" w:cs="Arial"/>
          <w:b/>
          <w:bCs/>
          <w:color w:val="000000" w:themeColor="text1"/>
          <w:sz w:val="24"/>
          <w:szCs w:val="24"/>
        </w:rPr>
        <w:t xml:space="preserve">            </w:t>
      </w:r>
      <w:r w:rsidRPr="00380524">
        <w:rPr>
          <w:rFonts w:ascii="Arial" w:hAnsi="Arial" w:cs="Arial"/>
          <w:b/>
          <w:bCs/>
          <w:color w:val="000000" w:themeColor="text1"/>
          <w:sz w:val="24"/>
          <w:szCs w:val="24"/>
        </w:rPr>
        <w:t>2.5 Responses: adapting to external change</w:t>
      </w:r>
    </w:p>
    <w:p w14:paraId="5BF25028" w14:textId="77777777" w:rsidR="00455438" w:rsidRPr="00380524" w:rsidRDefault="00455438" w:rsidP="00380524">
      <w:pPr>
        <w:spacing w:line="360" w:lineRule="auto"/>
        <w:jc w:val="both"/>
        <w:rPr>
          <w:rFonts w:ascii="Arial" w:hAnsi="Arial" w:cs="Arial"/>
        </w:rPr>
      </w:pPr>
      <w:r w:rsidRPr="00380524">
        <w:rPr>
          <w:rFonts w:ascii="Arial" w:hAnsi="Arial" w:cs="Arial"/>
        </w:rPr>
        <w:t>Creators can respond to external pressures by diversifying distribution, strengthening direct audience relationships and developing complementary revenue streams. Possible approaches include subscriptions, merchandise, product sales, licensing and events. Teece (2010) argues that business models are important to capturing value from innovation; this is relevant to creators seeking to convert attention into sustainable commercial activity.</w:t>
      </w:r>
    </w:p>
    <w:p w14:paraId="79F9F854" w14:textId="77777777" w:rsidR="00455438" w:rsidRPr="00380524" w:rsidRDefault="00455438" w:rsidP="00380524">
      <w:pPr>
        <w:spacing w:line="360" w:lineRule="auto"/>
        <w:jc w:val="both"/>
        <w:rPr>
          <w:rFonts w:ascii="Arial" w:hAnsi="Arial" w:cs="Arial"/>
        </w:rPr>
      </w:pPr>
      <w:r w:rsidRPr="00380524">
        <w:rPr>
          <w:rFonts w:ascii="Arial" w:hAnsi="Arial" w:cs="Arial"/>
        </w:rPr>
        <w:t>However, diversification requires careful planning. A new product or platform can introduce additional costs and operational risks. A livestreaming creator may benefit from distributing selected content across several channels, while a creator-founded brand may prioritise customer relationships and product quality. A podcast business may focus on multi-platform distribution, editorial standards and a balanced revenue model.</w:t>
      </w:r>
    </w:p>
    <w:p w14:paraId="05B89AA4" w14:textId="77777777" w:rsidR="00455438" w:rsidRPr="00380524" w:rsidRDefault="00455438" w:rsidP="00380524">
      <w:pPr>
        <w:spacing w:line="360" w:lineRule="auto"/>
        <w:jc w:val="both"/>
        <w:rPr>
          <w:rFonts w:ascii="Arial" w:hAnsi="Arial" w:cs="Arial"/>
        </w:rPr>
      </w:pPr>
      <w:r w:rsidRPr="00380524">
        <w:rPr>
          <w:rFonts w:ascii="Arial" w:hAnsi="Arial" w:cs="Arial"/>
        </w:rPr>
        <w:lastRenderedPageBreak/>
        <w:t>Creators should also establish consistent procedures for advertising disclosure, sponsorship selection, product claims and corrections. The ASA's influencer guidance explains how promotional content should be clearly identifiable as advertising (ASA, 2023). The CMA (2025a) likewise states that creators must make relevant commercial relationships clear, including when they promote their own products. Brands also have responsibilities to ensure that paid-for endorsements are properly labelled (CMA, 2025b).</w:t>
      </w:r>
    </w:p>
    <w:p w14:paraId="16113D41" w14:textId="77777777" w:rsidR="00455438" w:rsidRPr="00380524" w:rsidRDefault="00455438" w:rsidP="00380524">
      <w:pPr>
        <w:spacing w:line="360" w:lineRule="auto"/>
        <w:jc w:val="both"/>
        <w:rPr>
          <w:rFonts w:ascii="Arial" w:hAnsi="Arial" w:cs="Arial"/>
        </w:rPr>
      </w:pPr>
      <w:r w:rsidRPr="00380524">
        <w:rPr>
          <w:rFonts w:ascii="Arial" w:hAnsi="Arial" w:cs="Arial"/>
        </w:rPr>
        <w:t>The SWOT analysis in Appendix B shows that direct audience access is both a strength and a potential weakness when it depends on external platforms. Responses should therefore address both business resilience and audience trust.</w:t>
      </w:r>
    </w:p>
    <w:p w14:paraId="35518285" w14:textId="77777777" w:rsidR="00455438" w:rsidRPr="00380524" w:rsidRDefault="00455438" w:rsidP="00380524">
      <w:pPr>
        <w:spacing w:line="360" w:lineRule="auto"/>
        <w:jc w:val="both"/>
        <w:rPr>
          <w:rFonts w:ascii="Arial" w:hAnsi="Arial" w:cs="Arial"/>
        </w:rPr>
      </w:pPr>
    </w:p>
    <w:p w14:paraId="0D51D258" w14:textId="77777777" w:rsidR="00380524" w:rsidRPr="00380524" w:rsidRDefault="00455438" w:rsidP="00380524">
      <w:pPr>
        <w:pStyle w:val="ListParagraph"/>
        <w:numPr>
          <w:ilvl w:val="0"/>
          <w:numId w:val="13"/>
        </w:numPr>
        <w:spacing w:line="360" w:lineRule="auto"/>
        <w:jc w:val="both"/>
        <w:rPr>
          <w:rFonts w:ascii="Arial" w:hAnsi="Arial" w:cs="Arial"/>
          <w:color w:val="000000" w:themeColor="text1"/>
        </w:rPr>
      </w:pPr>
      <w:r w:rsidRPr="00380524">
        <w:rPr>
          <w:rFonts w:ascii="Arial" w:hAnsi="Arial" w:cs="Arial"/>
          <w:b/>
          <w:bCs/>
          <w:color w:val="000000" w:themeColor="text1"/>
        </w:rPr>
        <w:t>FUTURE LENS</w:t>
      </w:r>
      <w:r w:rsidR="00380524" w:rsidRPr="00380524">
        <w:rPr>
          <w:rFonts w:ascii="Arial" w:hAnsi="Arial" w:cs="Arial"/>
          <w:color w:val="000000" w:themeColor="text1"/>
        </w:rPr>
        <w:t>:</w:t>
      </w:r>
    </w:p>
    <w:p w14:paraId="67DD3A87" w14:textId="372B25B1" w:rsidR="00455438" w:rsidRPr="00380524" w:rsidRDefault="00455438" w:rsidP="00380524">
      <w:pPr>
        <w:spacing w:line="360" w:lineRule="auto"/>
        <w:jc w:val="both"/>
        <w:rPr>
          <w:rFonts w:ascii="Arial" w:hAnsi="Arial" w:cs="Arial"/>
          <w:color w:val="000000" w:themeColor="text1"/>
        </w:rPr>
      </w:pPr>
      <w:r w:rsidRPr="00380524">
        <w:rPr>
          <w:rFonts w:ascii="Arial" w:hAnsi="Arial" w:cs="Arial"/>
          <w:color w:val="000000" w:themeColor="text1"/>
        </w:rPr>
        <w:t xml:space="preserve"> </w:t>
      </w:r>
      <w:r w:rsidRPr="00380524">
        <w:rPr>
          <w:rFonts w:ascii="Arial" w:hAnsi="Arial" w:cs="Arial"/>
          <w:color w:val="000000" w:themeColor="text1"/>
        </w:rPr>
        <w:t>Over the next three to five years, AI-assisted production, regulatory expectations and competition for audience attention are likely to shape the creator economy. These developments are uncertain, but existing research provides a basis for assessing their potential implications.</w:t>
      </w:r>
    </w:p>
    <w:p w14:paraId="2D1B3964" w14:textId="77777777" w:rsidR="00455438" w:rsidRPr="00380524" w:rsidRDefault="00455438" w:rsidP="00380524">
      <w:pPr>
        <w:spacing w:line="360" w:lineRule="auto"/>
        <w:jc w:val="both"/>
        <w:rPr>
          <w:rFonts w:ascii="Arial" w:hAnsi="Arial" w:cs="Arial"/>
          <w:color w:val="000000" w:themeColor="text1"/>
        </w:rPr>
      </w:pPr>
      <w:r w:rsidRPr="00380524">
        <w:rPr>
          <w:rFonts w:ascii="Arial" w:hAnsi="Arial" w:cs="Arial"/>
          <w:color w:val="000000" w:themeColor="text1"/>
        </w:rPr>
        <w:t>First, AI tools may reduce the cost of editing, captioning, translation and content adaptation. Peres et al. (2024) identify AI and platform technologies as part of the developing creator ecosystem. These tools could help creators reach audiences across language markets, but they may also increase content supply and make differentiation more difficult. Creators may need to compete through distinctive expertise, originality and trust rather than volume alone.</w:t>
      </w:r>
    </w:p>
    <w:p w14:paraId="08757DD5" w14:textId="77777777" w:rsidR="00455438" w:rsidRPr="00380524" w:rsidRDefault="00455438" w:rsidP="00380524">
      <w:pPr>
        <w:spacing w:line="360" w:lineRule="auto"/>
        <w:jc w:val="both"/>
        <w:rPr>
          <w:rFonts w:ascii="Arial" w:hAnsi="Arial" w:cs="Arial"/>
          <w:color w:val="000000" w:themeColor="text1"/>
        </w:rPr>
      </w:pPr>
      <w:r w:rsidRPr="00380524">
        <w:rPr>
          <w:rFonts w:ascii="Arial" w:hAnsi="Arial" w:cs="Arial"/>
          <w:color w:val="000000" w:themeColor="text1"/>
        </w:rPr>
        <w:t xml:space="preserve">Second, transparency and authenticity are likely to remain important. Abidin (2018) examines the construction of internet celebrity, while </w:t>
      </w:r>
      <w:proofErr w:type="spellStart"/>
      <w:r w:rsidRPr="00380524">
        <w:rPr>
          <w:rFonts w:ascii="Arial" w:hAnsi="Arial" w:cs="Arial"/>
          <w:color w:val="000000" w:themeColor="text1"/>
        </w:rPr>
        <w:t>Hudders</w:t>
      </w:r>
      <w:proofErr w:type="spellEnd"/>
      <w:r w:rsidRPr="00380524">
        <w:rPr>
          <w:rFonts w:ascii="Arial" w:hAnsi="Arial" w:cs="Arial"/>
          <w:color w:val="000000" w:themeColor="text1"/>
        </w:rPr>
        <w:t xml:space="preserve">, De Jans and De </w:t>
      </w:r>
      <w:proofErr w:type="spellStart"/>
      <w:r w:rsidRPr="00380524">
        <w:rPr>
          <w:rFonts w:ascii="Arial" w:hAnsi="Arial" w:cs="Arial"/>
          <w:color w:val="000000" w:themeColor="text1"/>
        </w:rPr>
        <w:t>Veirman</w:t>
      </w:r>
      <w:proofErr w:type="spellEnd"/>
      <w:r w:rsidRPr="00380524">
        <w:rPr>
          <w:rFonts w:ascii="Arial" w:hAnsi="Arial" w:cs="Arial"/>
          <w:color w:val="000000" w:themeColor="text1"/>
        </w:rPr>
        <w:t xml:space="preserve"> (2021) review how influencer marketing is strategically used by brands. As synthetic media develops, creators and platforms may face additional questions about disclosure, authenticity and intellectual property. Gillespie (2018) also demonstrates that platforms make consequential decisions about content governance, suggesting that creator opportunities will continue to be influenced by platform policies and moderation.</w:t>
      </w:r>
    </w:p>
    <w:p w14:paraId="1E691951" w14:textId="77777777" w:rsidR="00455438" w:rsidRPr="00380524" w:rsidRDefault="00455438" w:rsidP="00380524">
      <w:pPr>
        <w:spacing w:line="360" w:lineRule="auto"/>
        <w:jc w:val="both"/>
        <w:rPr>
          <w:rFonts w:ascii="Arial" w:hAnsi="Arial" w:cs="Arial"/>
          <w:color w:val="000000" w:themeColor="text1"/>
        </w:rPr>
      </w:pPr>
      <w:r w:rsidRPr="00380524">
        <w:rPr>
          <w:rFonts w:ascii="Arial" w:hAnsi="Arial" w:cs="Arial"/>
          <w:color w:val="000000" w:themeColor="text1"/>
        </w:rPr>
        <w:lastRenderedPageBreak/>
        <w:t xml:space="preserve">Third, market saturation may encourage creators to develop more resilient business models. Creator-owned products, paid communities, licensing and multi-platform media can provide alternatives to dependence on advertising, but they also create additional costs and management responsibilities. A strategy that works for one creator may not suit another. </w:t>
      </w:r>
      <w:proofErr w:type="spellStart"/>
      <w:r w:rsidRPr="00380524">
        <w:rPr>
          <w:rFonts w:ascii="Arial" w:hAnsi="Arial" w:cs="Arial"/>
          <w:color w:val="000000" w:themeColor="text1"/>
        </w:rPr>
        <w:t>IShowSpeed's</w:t>
      </w:r>
      <w:proofErr w:type="spellEnd"/>
      <w:r w:rsidRPr="00380524">
        <w:rPr>
          <w:rFonts w:ascii="Arial" w:hAnsi="Arial" w:cs="Arial"/>
          <w:color w:val="000000" w:themeColor="text1"/>
        </w:rPr>
        <w:t xml:space="preserve"> opportunities are linked to entertainment and live participation; Huda Kattan's model demonstrates the potential of connecting personal branding with products; and Bartlett's podcasting illustrates the potential of long-form media distributed across channels.</w:t>
      </w:r>
    </w:p>
    <w:p w14:paraId="40FCF019" w14:textId="77777777" w:rsidR="00455438" w:rsidRPr="00380524" w:rsidRDefault="00455438" w:rsidP="00380524">
      <w:pPr>
        <w:spacing w:line="360" w:lineRule="auto"/>
        <w:jc w:val="both"/>
        <w:rPr>
          <w:rFonts w:ascii="Arial" w:hAnsi="Arial" w:cs="Arial"/>
          <w:color w:val="000000" w:themeColor="text1"/>
        </w:rPr>
      </w:pPr>
      <w:r w:rsidRPr="00380524">
        <w:rPr>
          <w:rFonts w:ascii="Arial" w:hAnsi="Arial" w:cs="Arial"/>
          <w:color w:val="000000" w:themeColor="text1"/>
        </w:rPr>
        <w:t>These predictions are scenarios rather than guaranteed outcomes. Their implications depend on technology, consumer behaviour, platform policy and creators' capacity to adapt. The comparison in Appendix F shows how a common external trend can have different consequences across creator business models.</w:t>
      </w:r>
    </w:p>
    <w:p w14:paraId="68CE7AED" w14:textId="77777777" w:rsidR="00380524" w:rsidRPr="00380524" w:rsidRDefault="00380524" w:rsidP="00380524">
      <w:pPr>
        <w:spacing w:line="360" w:lineRule="auto"/>
        <w:jc w:val="both"/>
        <w:rPr>
          <w:rFonts w:ascii="Arial" w:hAnsi="Arial" w:cs="Arial"/>
          <w:color w:val="000000" w:themeColor="text1"/>
        </w:rPr>
      </w:pPr>
    </w:p>
    <w:p w14:paraId="6AE86E89" w14:textId="3E9E4462" w:rsidR="00380524" w:rsidRPr="00380524" w:rsidRDefault="00380524" w:rsidP="00380524">
      <w:pPr>
        <w:pStyle w:val="ListParagraph"/>
        <w:numPr>
          <w:ilvl w:val="0"/>
          <w:numId w:val="13"/>
        </w:numPr>
        <w:spacing w:line="360" w:lineRule="auto"/>
        <w:jc w:val="both"/>
        <w:rPr>
          <w:rFonts w:ascii="Arial" w:hAnsi="Arial" w:cs="Arial"/>
          <w:b/>
          <w:bCs/>
          <w:color w:val="000000" w:themeColor="text1"/>
        </w:rPr>
      </w:pPr>
      <w:r w:rsidRPr="00380524">
        <w:rPr>
          <w:rFonts w:ascii="Arial" w:hAnsi="Arial" w:cs="Arial"/>
          <w:b/>
          <w:bCs/>
          <w:color w:val="000000" w:themeColor="text1"/>
        </w:rPr>
        <w:t xml:space="preserve">Recommendations </w:t>
      </w:r>
    </w:p>
    <w:p w14:paraId="0334ADD6" w14:textId="77777777" w:rsidR="00380524" w:rsidRPr="00380524" w:rsidRDefault="00380524" w:rsidP="00380524">
      <w:pPr>
        <w:pStyle w:val="ListParagraph"/>
        <w:spacing w:line="360" w:lineRule="auto"/>
        <w:jc w:val="both"/>
        <w:rPr>
          <w:rFonts w:ascii="Arial" w:hAnsi="Arial" w:cs="Arial"/>
          <w:b/>
          <w:bCs/>
          <w:color w:val="000000" w:themeColor="text1"/>
        </w:rPr>
      </w:pPr>
    </w:p>
    <w:p w14:paraId="6DFEB865" w14:textId="77777777" w:rsidR="00380524" w:rsidRPr="00380524" w:rsidRDefault="00380524" w:rsidP="00380524">
      <w:pPr>
        <w:spacing w:line="360" w:lineRule="auto"/>
        <w:jc w:val="both"/>
        <w:rPr>
          <w:rFonts w:ascii="Arial" w:hAnsi="Arial" w:cs="Arial"/>
          <w:color w:val="000000" w:themeColor="text1"/>
        </w:rPr>
      </w:pPr>
      <w:r w:rsidRPr="00380524">
        <w:rPr>
          <w:rFonts w:ascii="Arial" w:hAnsi="Arial" w:cs="Arial"/>
          <w:b/>
          <w:bCs/>
          <w:color w:val="000000" w:themeColor="text1"/>
        </w:rPr>
        <w:t>Recommendation 1</w:t>
      </w:r>
      <w:r w:rsidRPr="00380524">
        <w:rPr>
          <w:rFonts w:ascii="Arial" w:hAnsi="Arial" w:cs="Arial"/>
          <w:color w:val="000000" w:themeColor="text1"/>
        </w:rPr>
        <w:t xml:space="preserve">: Develop a diversified business and distribution model. Creators should reduce dependence on a single platform and revenue source. They should select complementary distribution channels and, where appropriate, develop direct relationships with audiences through newsletters, memberships, customer databases or owned sales channels. This recommendation is consistent with Teece's (2010) emphasis on business models as a means of capturing value and with Peres et al.'s (2024) analysis of the creator economy as a wider commercial ecosystem. The practical approach should reflect the creator's business model: </w:t>
      </w:r>
      <w:proofErr w:type="spellStart"/>
      <w:r w:rsidRPr="00380524">
        <w:rPr>
          <w:rFonts w:ascii="Arial" w:hAnsi="Arial" w:cs="Arial"/>
          <w:color w:val="000000" w:themeColor="text1"/>
        </w:rPr>
        <w:t>livestreamers</w:t>
      </w:r>
      <w:proofErr w:type="spellEnd"/>
      <w:r w:rsidRPr="00380524">
        <w:rPr>
          <w:rFonts w:ascii="Arial" w:hAnsi="Arial" w:cs="Arial"/>
          <w:color w:val="000000" w:themeColor="text1"/>
        </w:rPr>
        <w:t xml:space="preserve"> can repurpose suitable content, creator-led brands can strengthen direct customer relationships, and podcasters can distribute content across audio and video services.</w:t>
      </w:r>
    </w:p>
    <w:p w14:paraId="0B09EC79" w14:textId="77777777" w:rsidR="00380524" w:rsidRPr="00380524" w:rsidRDefault="00380524" w:rsidP="00380524">
      <w:pPr>
        <w:pStyle w:val="ListParagraph"/>
        <w:spacing w:line="360" w:lineRule="auto"/>
        <w:jc w:val="both"/>
        <w:rPr>
          <w:rFonts w:ascii="Arial" w:hAnsi="Arial" w:cs="Arial"/>
          <w:color w:val="000000" w:themeColor="text1"/>
        </w:rPr>
      </w:pPr>
    </w:p>
    <w:p w14:paraId="51B7B2A1" w14:textId="531606E7" w:rsidR="00380524" w:rsidRPr="00380524" w:rsidRDefault="00380524" w:rsidP="00380524">
      <w:pPr>
        <w:spacing w:line="360" w:lineRule="auto"/>
        <w:jc w:val="both"/>
        <w:rPr>
          <w:rFonts w:ascii="Arial" w:hAnsi="Arial" w:cs="Arial"/>
          <w:color w:val="000000" w:themeColor="text1"/>
        </w:rPr>
      </w:pPr>
      <w:r w:rsidRPr="00380524">
        <w:rPr>
          <w:rFonts w:ascii="Arial" w:hAnsi="Arial" w:cs="Arial"/>
          <w:b/>
          <w:bCs/>
          <w:color w:val="000000" w:themeColor="text1"/>
        </w:rPr>
        <w:t>Recommendation 2:</w:t>
      </w:r>
      <w:r w:rsidRPr="00380524">
        <w:rPr>
          <w:rFonts w:ascii="Arial" w:hAnsi="Arial" w:cs="Arial"/>
          <w:color w:val="000000" w:themeColor="text1"/>
        </w:rPr>
        <w:t xml:space="preserve"> Establish a formal trust and compliance framework. Creators and their teams should adopt consistent procedures for sponsorship disclosure, product claims, commercial partnerships, corrections and moderation of high-risk content. The ASA (2023) and CMA (2025a) provide guidance on making advertising recognisable and transparent. These practices can reduce legal and reputational risks </w:t>
      </w:r>
      <w:r w:rsidRPr="00380524">
        <w:rPr>
          <w:rFonts w:ascii="Arial" w:hAnsi="Arial" w:cs="Arial"/>
          <w:color w:val="000000" w:themeColor="text1"/>
        </w:rPr>
        <w:lastRenderedPageBreak/>
        <w:t xml:space="preserve">while supporting audience trust. Implementation should reflect the content format: </w:t>
      </w:r>
      <w:proofErr w:type="spellStart"/>
      <w:r w:rsidRPr="00380524">
        <w:rPr>
          <w:rFonts w:ascii="Arial" w:hAnsi="Arial" w:cs="Arial"/>
          <w:color w:val="000000" w:themeColor="text1"/>
        </w:rPr>
        <w:t>livestreamers</w:t>
      </w:r>
      <w:proofErr w:type="spellEnd"/>
      <w:r w:rsidRPr="00380524">
        <w:rPr>
          <w:rFonts w:ascii="Arial" w:hAnsi="Arial" w:cs="Arial"/>
          <w:color w:val="000000" w:themeColor="text1"/>
        </w:rPr>
        <w:t xml:space="preserve"> need safeguards suitable for real-time broadcasts, creator-led brands need product and marketing controls, and podcasters should maintain clear sponsorship disclosures and appropriate editorial </w:t>
      </w:r>
      <w:proofErr w:type="spellStart"/>
      <w:proofErr w:type="gramStart"/>
      <w:r w:rsidRPr="00380524">
        <w:rPr>
          <w:rFonts w:ascii="Arial" w:hAnsi="Arial" w:cs="Arial"/>
          <w:color w:val="000000" w:themeColor="text1"/>
        </w:rPr>
        <w:t>checks.Both</w:t>
      </w:r>
      <w:proofErr w:type="spellEnd"/>
      <w:proofErr w:type="gramEnd"/>
      <w:r w:rsidRPr="00380524">
        <w:rPr>
          <w:rFonts w:ascii="Arial" w:hAnsi="Arial" w:cs="Arial"/>
          <w:color w:val="000000" w:themeColor="text1"/>
        </w:rPr>
        <w:t xml:space="preserve"> recommendations respond to the pressures identified in the DPSIR analysis and the weaknesses and threats presented in Appendix B.</w:t>
      </w:r>
    </w:p>
    <w:p w14:paraId="1E08BD90" w14:textId="77777777" w:rsidR="00380524" w:rsidRPr="00380524" w:rsidRDefault="00380524" w:rsidP="00380524">
      <w:pPr>
        <w:pStyle w:val="ListParagraph"/>
        <w:spacing w:line="360" w:lineRule="auto"/>
        <w:jc w:val="both"/>
        <w:rPr>
          <w:rFonts w:ascii="Arial" w:hAnsi="Arial" w:cs="Arial"/>
          <w:color w:val="000000" w:themeColor="text1"/>
        </w:rPr>
      </w:pPr>
    </w:p>
    <w:p w14:paraId="1BBEA254" w14:textId="09DE680B" w:rsidR="00380524" w:rsidRPr="00380524" w:rsidRDefault="00380524" w:rsidP="00380524">
      <w:pPr>
        <w:pStyle w:val="ListParagraph"/>
        <w:numPr>
          <w:ilvl w:val="0"/>
          <w:numId w:val="13"/>
        </w:numPr>
        <w:spacing w:line="360" w:lineRule="auto"/>
        <w:jc w:val="both"/>
        <w:rPr>
          <w:rFonts w:ascii="Arial" w:hAnsi="Arial" w:cs="Arial"/>
          <w:color w:val="000000" w:themeColor="text1"/>
        </w:rPr>
      </w:pPr>
      <w:r w:rsidRPr="00380524">
        <w:rPr>
          <w:rFonts w:ascii="Arial" w:hAnsi="Arial" w:cs="Arial"/>
          <w:b/>
          <w:bCs/>
          <w:color w:val="000000" w:themeColor="text1"/>
        </w:rPr>
        <w:t>Conclusion</w:t>
      </w:r>
    </w:p>
    <w:p w14:paraId="72C0372A" w14:textId="77777777" w:rsidR="00380524" w:rsidRDefault="00380524" w:rsidP="00380524">
      <w:pPr>
        <w:pStyle w:val="ListParagraph"/>
        <w:spacing w:line="360" w:lineRule="auto"/>
        <w:jc w:val="both"/>
        <w:rPr>
          <w:rFonts w:ascii="Arial" w:hAnsi="Arial" w:cs="Arial"/>
          <w:b/>
          <w:bCs/>
          <w:color w:val="000000" w:themeColor="text1"/>
        </w:rPr>
      </w:pPr>
    </w:p>
    <w:p w14:paraId="55539672" w14:textId="77777777" w:rsidR="00380524" w:rsidRPr="00380524" w:rsidRDefault="00380524" w:rsidP="00380524">
      <w:pPr>
        <w:pStyle w:val="ListParagraph"/>
        <w:spacing w:line="360" w:lineRule="auto"/>
        <w:jc w:val="both"/>
        <w:rPr>
          <w:rFonts w:ascii="Arial" w:hAnsi="Arial" w:cs="Arial"/>
          <w:color w:val="000000" w:themeColor="text1"/>
        </w:rPr>
      </w:pPr>
    </w:p>
    <w:p w14:paraId="45402A66" w14:textId="77777777" w:rsidR="00380524" w:rsidRPr="00380524" w:rsidRDefault="00380524" w:rsidP="00380524">
      <w:pPr>
        <w:spacing w:line="360" w:lineRule="auto"/>
        <w:jc w:val="both"/>
        <w:rPr>
          <w:rFonts w:ascii="Arial" w:hAnsi="Arial" w:cs="Arial"/>
        </w:rPr>
      </w:pPr>
      <w:r w:rsidRPr="00380524">
        <w:rPr>
          <w:rFonts w:ascii="Arial" w:hAnsi="Arial" w:cs="Arial"/>
        </w:rPr>
        <w:t>The creator economy provides opportunities for entrepreneurship, cultural participation and global communication, but its development is shaped by platform dependence, economic uncertainty, technological change and legal and ethical responsibilities. The DPSIR analysis demonstrates that the forces driving growth can also create pressures that threaten long-term sustainability.</w:t>
      </w:r>
    </w:p>
    <w:p w14:paraId="49A757C8" w14:textId="77777777" w:rsidR="00380524" w:rsidRDefault="00380524" w:rsidP="00380524">
      <w:pPr>
        <w:spacing w:line="360" w:lineRule="auto"/>
        <w:jc w:val="both"/>
        <w:rPr>
          <w:rFonts w:ascii="Arial" w:hAnsi="Arial" w:cs="Arial"/>
        </w:rPr>
      </w:pPr>
      <w:r w:rsidRPr="00380524">
        <w:rPr>
          <w:rFonts w:ascii="Arial" w:hAnsi="Arial" w:cs="Arial"/>
        </w:rPr>
        <w:t xml:space="preserve">The comparison of </w:t>
      </w:r>
      <w:proofErr w:type="spellStart"/>
      <w:r w:rsidRPr="00380524">
        <w:rPr>
          <w:rFonts w:ascii="Arial" w:hAnsi="Arial" w:cs="Arial"/>
        </w:rPr>
        <w:t>IShowSpeed</w:t>
      </w:r>
      <w:proofErr w:type="spellEnd"/>
      <w:r w:rsidRPr="00380524">
        <w:rPr>
          <w:rFonts w:ascii="Arial" w:hAnsi="Arial" w:cs="Arial"/>
        </w:rPr>
        <w:t xml:space="preserve">, Huda Kattan and Steven Bartlett </w:t>
      </w:r>
      <w:proofErr w:type="gramStart"/>
      <w:r w:rsidRPr="00380524">
        <w:rPr>
          <w:rFonts w:ascii="Arial" w:hAnsi="Arial" w:cs="Arial"/>
        </w:rPr>
        <w:t>shows</w:t>
      </w:r>
      <w:proofErr w:type="gramEnd"/>
      <w:r w:rsidRPr="00380524">
        <w:rPr>
          <w:rFonts w:ascii="Arial" w:hAnsi="Arial" w:cs="Arial"/>
        </w:rPr>
        <w:t xml:space="preserve"> why no single strategy is appropriate for every creator. Livestreaming, creator-led product businesses and podcasting rely on different sources of value and face different external risks. Nevertheless, diversification and audience trust are relevant across all three models. Creators who adapt their business models while maintaining transparent commercial practices may be better positioned to respond to future change, although these strategies cannot eliminate the uncertainty inherent in platform-based work.</w:t>
      </w:r>
    </w:p>
    <w:p w14:paraId="00F3B404" w14:textId="77777777" w:rsidR="00380524" w:rsidRDefault="00380524" w:rsidP="00380524">
      <w:pPr>
        <w:spacing w:line="360" w:lineRule="auto"/>
        <w:jc w:val="both"/>
        <w:rPr>
          <w:rFonts w:ascii="Arial" w:hAnsi="Arial" w:cs="Arial"/>
        </w:rPr>
      </w:pPr>
    </w:p>
    <w:p w14:paraId="5D47A621" w14:textId="77777777" w:rsidR="00380524" w:rsidRDefault="00380524" w:rsidP="00380524">
      <w:pPr>
        <w:spacing w:line="360" w:lineRule="auto"/>
        <w:jc w:val="both"/>
        <w:rPr>
          <w:rFonts w:ascii="Arial" w:hAnsi="Arial" w:cs="Arial"/>
        </w:rPr>
      </w:pPr>
    </w:p>
    <w:p w14:paraId="10E3E39B" w14:textId="77777777" w:rsidR="00380524" w:rsidRDefault="00380524" w:rsidP="00380524">
      <w:pPr>
        <w:spacing w:line="360" w:lineRule="auto"/>
        <w:jc w:val="both"/>
        <w:rPr>
          <w:rFonts w:ascii="Arial" w:hAnsi="Arial" w:cs="Arial"/>
        </w:rPr>
      </w:pPr>
    </w:p>
    <w:p w14:paraId="2DCFE354" w14:textId="77777777" w:rsidR="00380524" w:rsidRDefault="00380524" w:rsidP="00380524">
      <w:pPr>
        <w:spacing w:line="360" w:lineRule="auto"/>
        <w:jc w:val="both"/>
        <w:rPr>
          <w:rFonts w:ascii="Arial" w:hAnsi="Arial" w:cs="Arial"/>
        </w:rPr>
      </w:pPr>
    </w:p>
    <w:p w14:paraId="059B0FD8" w14:textId="77777777" w:rsidR="00380524" w:rsidRDefault="00380524" w:rsidP="00380524">
      <w:pPr>
        <w:spacing w:line="360" w:lineRule="auto"/>
        <w:jc w:val="both"/>
        <w:rPr>
          <w:rFonts w:ascii="Arial" w:hAnsi="Arial" w:cs="Arial"/>
        </w:rPr>
      </w:pPr>
    </w:p>
    <w:p w14:paraId="3C9D4CF3" w14:textId="77777777" w:rsidR="00380524" w:rsidRDefault="00380524" w:rsidP="00380524">
      <w:pPr>
        <w:spacing w:line="360" w:lineRule="auto"/>
        <w:jc w:val="both"/>
        <w:rPr>
          <w:rFonts w:ascii="Arial" w:hAnsi="Arial" w:cs="Arial"/>
        </w:rPr>
      </w:pPr>
    </w:p>
    <w:p w14:paraId="315F9368" w14:textId="77777777" w:rsidR="00380524" w:rsidRDefault="00380524" w:rsidP="00380524">
      <w:pPr>
        <w:spacing w:line="360" w:lineRule="auto"/>
        <w:jc w:val="both"/>
        <w:rPr>
          <w:rFonts w:ascii="Arial" w:hAnsi="Arial" w:cs="Arial"/>
        </w:rPr>
      </w:pPr>
    </w:p>
    <w:p w14:paraId="299650B3" w14:textId="71324630" w:rsidR="00380524" w:rsidRDefault="00A9241C" w:rsidP="00380524">
      <w:pPr>
        <w:spacing w:line="360" w:lineRule="auto"/>
        <w:jc w:val="both"/>
        <w:rPr>
          <w:rFonts w:ascii="Arial" w:hAnsi="Arial" w:cs="Arial"/>
          <w:b/>
          <w:bCs/>
          <w:sz w:val="28"/>
          <w:szCs w:val="28"/>
        </w:rPr>
      </w:pPr>
      <w:r>
        <w:rPr>
          <w:rFonts w:ascii="Arial" w:hAnsi="Arial" w:cs="Arial"/>
          <w:b/>
          <w:bCs/>
          <w:sz w:val="28"/>
          <w:szCs w:val="28"/>
        </w:rPr>
        <w:lastRenderedPageBreak/>
        <w:t xml:space="preserve">10. </w:t>
      </w:r>
      <w:r w:rsidR="00380524" w:rsidRPr="00380524">
        <w:rPr>
          <w:rFonts w:ascii="Arial" w:hAnsi="Arial" w:cs="Arial"/>
          <w:b/>
          <w:bCs/>
          <w:sz w:val="28"/>
          <w:szCs w:val="28"/>
        </w:rPr>
        <w:t xml:space="preserve">Full Harvard reference </w:t>
      </w:r>
      <w:proofErr w:type="gramStart"/>
      <w:r w:rsidR="00380524" w:rsidRPr="00380524">
        <w:rPr>
          <w:rFonts w:ascii="Arial" w:hAnsi="Arial" w:cs="Arial"/>
          <w:b/>
          <w:bCs/>
          <w:sz w:val="28"/>
          <w:szCs w:val="28"/>
        </w:rPr>
        <w:t>list :</w:t>
      </w:r>
      <w:proofErr w:type="gramEnd"/>
      <w:r w:rsidR="00380524" w:rsidRPr="00380524">
        <w:rPr>
          <w:rFonts w:ascii="Arial" w:hAnsi="Arial" w:cs="Arial"/>
          <w:b/>
          <w:bCs/>
          <w:sz w:val="28"/>
          <w:szCs w:val="28"/>
        </w:rPr>
        <w:t xml:space="preserve"> </w:t>
      </w:r>
    </w:p>
    <w:p w14:paraId="4C69FCC0" w14:textId="77777777" w:rsidR="00380524" w:rsidRPr="00380524" w:rsidRDefault="00380524" w:rsidP="00380524">
      <w:pPr>
        <w:spacing w:line="360" w:lineRule="auto"/>
        <w:rPr>
          <w:rFonts w:ascii="Arial" w:hAnsi="Arial" w:cs="Arial"/>
        </w:rPr>
      </w:pPr>
      <w:r w:rsidRPr="00380524">
        <w:rPr>
          <w:rFonts w:ascii="Arial" w:hAnsi="Arial" w:cs="Arial"/>
        </w:rPr>
        <w:t>Abidin, C. (2016) ‘</w:t>
      </w:r>
      <w:r w:rsidRPr="00380524">
        <w:rPr>
          <w:rFonts w:ascii="Arial" w:hAnsi="Arial" w:cs="Arial"/>
          <w:i/>
          <w:iCs/>
        </w:rPr>
        <w:t>Visibility labour: Engaging with influencers’ fashion brands and #OOTD advertorial campaigns on Instagram’, Media International Australia,</w:t>
      </w:r>
      <w:r w:rsidRPr="00380524">
        <w:rPr>
          <w:rFonts w:ascii="Arial" w:hAnsi="Arial" w:cs="Arial"/>
        </w:rPr>
        <w:t xml:space="preserve"> 161(1), pp. 86–100. Available at: </w:t>
      </w:r>
      <w:hyperlink r:id="rId6" w:history="1">
        <w:r w:rsidRPr="00380524">
          <w:rPr>
            <w:rStyle w:val="Hyperlink"/>
            <w:rFonts w:ascii="Arial" w:hAnsi="Arial" w:cs="Arial"/>
          </w:rPr>
          <w:t>https://doi.org/10.1177/1329878X16665177</w:t>
        </w:r>
      </w:hyperlink>
      <w:r w:rsidRPr="00380524">
        <w:rPr>
          <w:rFonts w:ascii="Arial" w:hAnsi="Arial" w:cs="Arial"/>
        </w:rPr>
        <w:t xml:space="preserve"> </w:t>
      </w:r>
    </w:p>
    <w:p w14:paraId="191223CD" w14:textId="77777777" w:rsidR="00380524" w:rsidRPr="00380524" w:rsidRDefault="00380524" w:rsidP="00380524">
      <w:pPr>
        <w:spacing w:line="360" w:lineRule="auto"/>
        <w:rPr>
          <w:rFonts w:ascii="Arial" w:hAnsi="Arial" w:cs="Arial"/>
        </w:rPr>
      </w:pPr>
      <w:r w:rsidRPr="00380524">
        <w:rPr>
          <w:rFonts w:ascii="Arial" w:hAnsi="Arial" w:cs="Arial"/>
        </w:rPr>
        <w:t xml:space="preserve">Abidin, C. (2018) </w:t>
      </w:r>
      <w:r w:rsidRPr="00380524">
        <w:rPr>
          <w:rFonts w:ascii="Arial" w:hAnsi="Arial" w:cs="Arial"/>
          <w:i/>
          <w:iCs/>
        </w:rPr>
        <w:t>Internet Celebrity: Understanding Fame Online.</w:t>
      </w:r>
      <w:r w:rsidRPr="00380524">
        <w:rPr>
          <w:rFonts w:ascii="Arial" w:hAnsi="Arial" w:cs="Arial"/>
        </w:rPr>
        <w:t xml:space="preserve"> Bingley: Emerald Publishing.</w:t>
      </w:r>
    </w:p>
    <w:p w14:paraId="67F41EFA" w14:textId="14B5DFFE" w:rsidR="00380524" w:rsidRPr="00380524" w:rsidRDefault="00380524" w:rsidP="00380524">
      <w:pPr>
        <w:spacing w:line="360" w:lineRule="auto"/>
        <w:rPr>
          <w:rFonts w:ascii="Arial" w:hAnsi="Arial" w:cs="Arial"/>
        </w:rPr>
      </w:pPr>
      <w:r w:rsidRPr="00380524">
        <w:rPr>
          <w:rFonts w:ascii="Arial" w:hAnsi="Arial" w:cs="Arial"/>
        </w:rPr>
        <w:t xml:space="preserve">Advertising Standards Authority (ASA) (2023) Influencers’ guide to making clear that ads are ads. Available at: </w:t>
      </w:r>
      <w:hyperlink r:id="rId7" w:history="1">
        <w:r w:rsidRPr="00380524">
          <w:rPr>
            <w:rStyle w:val="Hyperlink"/>
            <w:rFonts w:ascii="Arial" w:hAnsi="Arial" w:cs="Arial"/>
          </w:rPr>
          <w:t>https://www.asa.org.uk/resource/influencers-guide.html</w:t>
        </w:r>
      </w:hyperlink>
      <w:r w:rsidRPr="00380524">
        <w:rPr>
          <w:rFonts w:ascii="Arial" w:hAnsi="Arial" w:cs="Arial"/>
        </w:rPr>
        <w:t xml:space="preserve">  (Accessed: </w:t>
      </w:r>
      <w:r>
        <w:rPr>
          <w:rFonts w:ascii="Arial" w:hAnsi="Arial" w:cs="Arial"/>
        </w:rPr>
        <w:t>18</w:t>
      </w:r>
      <w:r w:rsidRPr="00380524">
        <w:rPr>
          <w:rFonts w:ascii="Arial" w:hAnsi="Arial" w:cs="Arial"/>
        </w:rPr>
        <w:t xml:space="preserve"> October 2026).</w:t>
      </w:r>
    </w:p>
    <w:p w14:paraId="1B553CCE" w14:textId="6E82CADA" w:rsidR="00380524" w:rsidRPr="00380524" w:rsidRDefault="00380524" w:rsidP="00380524">
      <w:pPr>
        <w:spacing w:line="360" w:lineRule="auto"/>
        <w:rPr>
          <w:rFonts w:ascii="Arial" w:hAnsi="Arial" w:cs="Arial"/>
        </w:rPr>
      </w:pPr>
      <w:r w:rsidRPr="00380524">
        <w:rPr>
          <w:rFonts w:ascii="Arial" w:hAnsi="Arial" w:cs="Arial"/>
        </w:rPr>
        <w:t xml:space="preserve">Advertising Standards Authority (ASA) (2025) </w:t>
      </w:r>
      <w:r w:rsidRPr="00380524">
        <w:rPr>
          <w:rFonts w:ascii="Arial" w:hAnsi="Arial" w:cs="Arial"/>
          <w:i/>
          <w:iCs/>
        </w:rPr>
        <w:t>Influencer ad disclosure on social media: Instagram and TikTok report</w:t>
      </w:r>
      <w:r w:rsidRPr="00380524">
        <w:rPr>
          <w:rFonts w:ascii="Arial" w:hAnsi="Arial" w:cs="Arial"/>
        </w:rPr>
        <w:t xml:space="preserve"> (2024). Available at: </w:t>
      </w:r>
      <w:hyperlink r:id="rId8" w:history="1">
        <w:r w:rsidRPr="00380524">
          <w:rPr>
            <w:rStyle w:val="Hyperlink"/>
            <w:rFonts w:ascii="Arial" w:hAnsi="Arial" w:cs="Arial"/>
          </w:rPr>
          <w:t>https://www.asa.org.uk/news/influencer-ad-disclosure-on-social-media-instagram-and-tiktok-report-2024.html</w:t>
        </w:r>
      </w:hyperlink>
      <w:r w:rsidRPr="00380524">
        <w:rPr>
          <w:rFonts w:ascii="Arial" w:hAnsi="Arial" w:cs="Arial"/>
        </w:rPr>
        <w:t xml:space="preserve">  (Accessed: 2</w:t>
      </w:r>
      <w:r>
        <w:rPr>
          <w:rFonts w:ascii="Arial" w:hAnsi="Arial" w:cs="Arial"/>
        </w:rPr>
        <w:t>0</w:t>
      </w:r>
      <w:r w:rsidRPr="00380524">
        <w:rPr>
          <w:rFonts w:ascii="Arial" w:hAnsi="Arial" w:cs="Arial"/>
        </w:rPr>
        <w:t xml:space="preserve"> October 2026).</w:t>
      </w:r>
    </w:p>
    <w:p w14:paraId="300A7877" w14:textId="77777777" w:rsidR="00380524" w:rsidRPr="00380524" w:rsidRDefault="00380524" w:rsidP="00380524">
      <w:pPr>
        <w:spacing w:line="360" w:lineRule="auto"/>
        <w:rPr>
          <w:rFonts w:ascii="Arial" w:hAnsi="Arial" w:cs="Arial"/>
        </w:rPr>
      </w:pPr>
      <w:proofErr w:type="spellStart"/>
      <w:r w:rsidRPr="00380524">
        <w:rPr>
          <w:rFonts w:ascii="Arial" w:hAnsi="Arial" w:cs="Arial"/>
        </w:rPr>
        <w:t>Audrezet</w:t>
      </w:r>
      <w:proofErr w:type="spellEnd"/>
      <w:r w:rsidRPr="00380524">
        <w:rPr>
          <w:rFonts w:ascii="Arial" w:hAnsi="Arial" w:cs="Arial"/>
        </w:rPr>
        <w:t xml:space="preserve">, A., de </w:t>
      </w:r>
      <w:proofErr w:type="spellStart"/>
      <w:r w:rsidRPr="00380524">
        <w:rPr>
          <w:rFonts w:ascii="Arial" w:hAnsi="Arial" w:cs="Arial"/>
        </w:rPr>
        <w:t>Kerviler</w:t>
      </w:r>
      <w:proofErr w:type="spellEnd"/>
      <w:r w:rsidRPr="00380524">
        <w:rPr>
          <w:rFonts w:ascii="Arial" w:hAnsi="Arial" w:cs="Arial"/>
        </w:rPr>
        <w:t xml:space="preserve">, G. and Guidry Moulard, J. (2020) ‘Authenticity under threat: When social media influencers need to go beyond self-presentation’, Journal of Business Research, 117, pp. 557–569. Available at: </w:t>
      </w:r>
      <w:hyperlink r:id="rId9" w:history="1">
        <w:r w:rsidRPr="00380524">
          <w:rPr>
            <w:rStyle w:val="Hyperlink"/>
            <w:rFonts w:ascii="Arial" w:hAnsi="Arial" w:cs="Arial"/>
          </w:rPr>
          <w:t>https://doi.org/10.1016/j.jbusres.2018.07.002</w:t>
        </w:r>
      </w:hyperlink>
      <w:r w:rsidRPr="00380524">
        <w:rPr>
          <w:rFonts w:ascii="Arial" w:hAnsi="Arial" w:cs="Arial"/>
        </w:rPr>
        <w:t xml:space="preserve"> </w:t>
      </w:r>
    </w:p>
    <w:p w14:paraId="1CBC279A" w14:textId="4907F4E9" w:rsidR="00380524" w:rsidRPr="00380524" w:rsidRDefault="00380524" w:rsidP="00380524">
      <w:pPr>
        <w:spacing w:line="360" w:lineRule="auto"/>
        <w:rPr>
          <w:rFonts w:ascii="Arial" w:hAnsi="Arial" w:cs="Arial"/>
        </w:rPr>
      </w:pPr>
      <w:r w:rsidRPr="00380524">
        <w:rPr>
          <w:rFonts w:ascii="Arial" w:hAnsi="Arial" w:cs="Arial"/>
        </w:rPr>
        <w:t xml:space="preserve">Bartlett, S. (n.d.) </w:t>
      </w:r>
      <w:r w:rsidRPr="00380524">
        <w:rPr>
          <w:rFonts w:ascii="Arial" w:hAnsi="Arial" w:cs="Arial"/>
          <w:i/>
          <w:iCs/>
        </w:rPr>
        <w:t>Steven Bartlett</w:t>
      </w:r>
      <w:r w:rsidRPr="00380524">
        <w:rPr>
          <w:rFonts w:ascii="Arial" w:hAnsi="Arial" w:cs="Arial"/>
        </w:rPr>
        <w:t xml:space="preserve"> — official website. Available at: </w:t>
      </w:r>
      <w:hyperlink r:id="rId10" w:history="1">
        <w:r w:rsidRPr="00380524">
          <w:rPr>
            <w:rStyle w:val="Hyperlink"/>
            <w:rFonts w:ascii="Arial" w:hAnsi="Arial" w:cs="Arial"/>
          </w:rPr>
          <w:t>https://stevenbartlett.com/</w:t>
        </w:r>
      </w:hyperlink>
      <w:r w:rsidRPr="00380524">
        <w:rPr>
          <w:rFonts w:ascii="Arial" w:hAnsi="Arial" w:cs="Arial"/>
        </w:rPr>
        <w:t xml:space="preserve">  (Accessed: 2</w:t>
      </w:r>
      <w:r>
        <w:rPr>
          <w:rFonts w:ascii="Arial" w:hAnsi="Arial" w:cs="Arial"/>
        </w:rPr>
        <w:t>1</w:t>
      </w:r>
      <w:r w:rsidRPr="00380524">
        <w:rPr>
          <w:rFonts w:ascii="Arial" w:hAnsi="Arial" w:cs="Arial"/>
        </w:rPr>
        <w:t xml:space="preserve"> October 2026).</w:t>
      </w:r>
    </w:p>
    <w:p w14:paraId="79480586" w14:textId="77777777" w:rsidR="00380524" w:rsidRPr="00380524" w:rsidRDefault="00380524" w:rsidP="00380524">
      <w:pPr>
        <w:spacing w:line="360" w:lineRule="auto"/>
        <w:rPr>
          <w:rFonts w:ascii="Arial" w:hAnsi="Arial" w:cs="Arial"/>
        </w:rPr>
      </w:pPr>
      <w:r w:rsidRPr="00380524">
        <w:rPr>
          <w:rFonts w:ascii="Arial" w:hAnsi="Arial" w:cs="Arial"/>
        </w:rPr>
        <w:t xml:space="preserve">Bucher, T. (2018) </w:t>
      </w:r>
      <w:r w:rsidRPr="00380524">
        <w:rPr>
          <w:rFonts w:ascii="Arial" w:hAnsi="Arial" w:cs="Arial"/>
          <w:i/>
          <w:iCs/>
        </w:rPr>
        <w:t>If...Then: Algorithmic Power and Politics</w:t>
      </w:r>
      <w:r w:rsidRPr="00380524">
        <w:rPr>
          <w:rFonts w:ascii="Arial" w:hAnsi="Arial" w:cs="Arial"/>
        </w:rPr>
        <w:t>. Oxford: Oxford University Press.</w:t>
      </w:r>
    </w:p>
    <w:p w14:paraId="5B08E9ED" w14:textId="35AC949D" w:rsidR="00380524" w:rsidRPr="00380524" w:rsidRDefault="00380524" w:rsidP="00380524">
      <w:pPr>
        <w:spacing w:line="360" w:lineRule="auto"/>
        <w:rPr>
          <w:rFonts w:ascii="Arial" w:hAnsi="Arial" w:cs="Arial"/>
        </w:rPr>
      </w:pPr>
      <w:r w:rsidRPr="00380524">
        <w:rPr>
          <w:rFonts w:ascii="Arial" w:hAnsi="Arial" w:cs="Arial"/>
        </w:rPr>
        <w:t xml:space="preserve">Competition and Markets Authority (CMA) (2025a) </w:t>
      </w:r>
      <w:r w:rsidRPr="00380524">
        <w:rPr>
          <w:rFonts w:ascii="Arial" w:hAnsi="Arial" w:cs="Arial"/>
          <w:i/>
          <w:iCs/>
        </w:rPr>
        <w:t>Social media endorsements: Guidance for content creators</w:t>
      </w:r>
      <w:r w:rsidRPr="00380524">
        <w:rPr>
          <w:rFonts w:ascii="Arial" w:hAnsi="Arial" w:cs="Arial"/>
        </w:rPr>
        <w:t xml:space="preserve">. Available at: </w:t>
      </w:r>
      <w:hyperlink r:id="rId11" w:history="1">
        <w:r w:rsidRPr="00380524">
          <w:rPr>
            <w:rStyle w:val="Hyperlink"/>
            <w:rFonts w:ascii="Arial" w:hAnsi="Arial" w:cs="Arial"/>
          </w:rPr>
          <w:t>https://www.gov.uk/government/publications/social-media-endorsements-guidance-for-content-creators</w:t>
        </w:r>
      </w:hyperlink>
      <w:r w:rsidRPr="00380524">
        <w:rPr>
          <w:rFonts w:ascii="Arial" w:hAnsi="Arial" w:cs="Arial"/>
        </w:rPr>
        <w:t xml:space="preserve">  (Accessed: </w:t>
      </w:r>
      <w:r>
        <w:rPr>
          <w:rFonts w:ascii="Arial" w:hAnsi="Arial" w:cs="Arial"/>
        </w:rPr>
        <w:t>17</w:t>
      </w:r>
      <w:r w:rsidRPr="00380524">
        <w:rPr>
          <w:rFonts w:ascii="Arial" w:hAnsi="Arial" w:cs="Arial"/>
        </w:rPr>
        <w:t xml:space="preserve"> October 2026).</w:t>
      </w:r>
    </w:p>
    <w:p w14:paraId="000319DE" w14:textId="01F5BA15" w:rsidR="00380524" w:rsidRPr="00380524" w:rsidRDefault="00380524" w:rsidP="00380524">
      <w:pPr>
        <w:spacing w:line="360" w:lineRule="auto"/>
        <w:rPr>
          <w:rFonts w:ascii="Arial" w:hAnsi="Arial" w:cs="Arial"/>
        </w:rPr>
      </w:pPr>
      <w:r w:rsidRPr="00380524">
        <w:rPr>
          <w:rFonts w:ascii="Arial" w:hAnsi="Arial" w:cs="Arial"/>
        </w:rPr>
        <w:t xml:space="preserve">Competition and Markets Authority (CMA) (2025b) </w:t>
      </w:r>
      <w:r w:rsidRPr="00380524">
        <w:rPr>
          <w:rFonts w:ascii="Arial" w:hAnsi="Arial" w:cs="Arial"/>
          <w:i/>
          <w:iCs/>
        </w:rPr>
        <w:t>Social media endorsements: Guidance for brands</w:t>
      </w:r>
      <w:r w:rsidRPr="00380524">
        <w:rPr>
          <w:rFonts w:ascii="Arial" w:hAnsi="Arial" w:cs="Arial"/>
        </w:rPr>
        <w:t>. Available at:</w:t>
      </w:r>
      <w:r>
        <w:rPr>
          <w:rFonts w:ascii="Arial" w:hAnsi="Arial" w:cs="Arial"/>
        </w:rPr>
        <w:t xml:space="preserve"> </w:t>
      </w:r>
      <w:hyperlink r:id="rId12" w:history="1">
        <w:r w:rsidRPr="00A45941">
          <w:rPr>
            <w:rStyle w:val="Hyperlink"/>
            <w:rFonts w:ascii="Arial" w:hAnsi="Arial" w:cs="Arial"/>
          </w:rPr>
          <w:t>https://www.gov.uk/government/publications/reviews-and-social-media-endorsements-guidance-for-businesses-and-brands/social-media-endorsements-guidance-for-brands</w:t>
        </w:r>
      </w:hyperlink>
      <w:r>
        <w:rPr>
          <w:rFonts w:ascii="Arial" w:hAnsi="Arial" w:cs="Arial"/>
        </w:rPr>
        <w:t xml:space="preserve"> </w:t>
      </w:r>
      <w:r w:rsidRPr="00380524">
        <w:rPr>
          <w:rFonts w:ascii="Arial" w:hAnsi="Arial" w:cs="Arial"/>
        </w:rPr>
        <w:t xml:space="preserve"> (Accessed: 2</w:t>
      </w:r>
      <w:r>
        <w:rPr>
          <w:rFonts w:ascii="Arial" w:hAnsi="Arial" w:cs="Arial"/>
        </w:rPr>
        <w:t>0</w:t>
      </w:r>
      <w:r w:rsidRPr="00380524">
        <w:rPr>
          <w:rFonts w:ascii="Arial" w:hAnsi="Arial" w:cs="Arial"/>
        </w:rPr>
        <w:t xml:space="preserve"> October 2026).</w:t>
      </w:r>
    </w:p>
    <w:p w14:paraId="12041B4A" w14:textId="1D3A2BBE" w:rsidR="00380524" w:rsidRPr="00380524" w:rsidRDefault="00380524" w:rsidP="00380524">
      <w:pPr>
        <w:spacing w:line="360" w:lineRule="auto"/>
        <w:rPr>
          <w:rFonts w:ascii="Arial" w:hAnsi="Arial" w:cs="Arial"/>
        </w:rPr>
      </w:pPr>
      <w:r w:rsidRPr="00380524">
        <w:rPr>
          <w:rFonts w:ascii="Arial" w:hAnsi="Arial" w:cs="Arial"/>
        </w:rPr>
        <w:lastRenderedPageBreak/>
        <w:t>Cotter, K. (2019) ‘</w:t>
      </w:r>
      <w:r w:rsidRPr="00380524">
        <w:rPr>
          <w:rFonts w:ascii="Arial" w:hAnsi="Arial" w:cs="Arial"/>
          <w:i/>
          <w:iCs/>
        </w:rPr>
        <w:t>Playing the visibility game: How digital influencers and algorithms negotiate influence on Instagram’</w:t>
      </w:r>
      <w:r w:rsidRPr="00380524">
        <w:rPr>
          <w:rFonts w:ascii="Arial" w:hAnsi="Arial" w:cs="Arial"/>
        </w:rPr>
        <w:t xml:space="preserve">, New Media &amp; Society, 21(4), pp. 895–913. Available at: </w:t>
      </w:r>
      <w:hyperlink r:id="rId13" w:history="1">
        <w:r w:rsidRPr="00A45941">
          <w:rPr>
            <w:rStyle w:val="Hyperlink"/>
            <w:rFonts w:ascii="Arial" w:hAnsi="Arial" w:cs="Arial"/>
          </w:rPr>
          <w:t>https://doi.org/10.1177/1461444818815684</w:t>
        </w:r>
      </w:hyperlink>
      <w:r>
        <w:rPr>
          <w:rFonts w:ascii="Arial" w:hAnsi="Arial" w:cs="Arial"/>
        </w:rPr>
        <w:t xml:space="preserve"> </w:t>
      </w:r>
    </w:p>
    <w:p w14:paraId="6E30563F" w14:textId="4F69AE57" w:rsidR="00380524" w:rsidRPr="00380524" w:rsidRDefault="00380524" w:rsidP="00380524">
      <w:pPr>
        <w:spacing w:line="360" w:lineRule="auto"/>
        <w:rPr>
          <w:rFonts w:ascii="Arial" w:hAnsi="Arial" w:cs="Arial"/>
        </w:rPr>
      </w:pPr>
      <w:r w:rsidRPr="00380524">
        <w:rPr>
          <w:rFonts w:ascii="Arial" w:hAnsi="Arial" w:cs="Arial"/>
        </w:rPr>
        <w:t xml:space="preserve">Cunningham, S. and Craig, D. (2019) </w:t>
      </w:r>
      <w:r w:rsidRPr="00380524">
        <w:rPr>
          <w:rFonts w:ascii="Arial" w:hAnsi="Arial" w:cs="Arial"/>
          <w:i/>
          <w:iCs/>
        </w:rPr>
        <w:t>Social Media Entertainment: The New Intersection of Hollywood and Silicon Valley.</w:t>
      </w:r>
      <w:r w:rsidRPr="00380524">
        <w:rPr>
          <w:rFonts w:ascii="Arial" w:hAnsi="Arial" w:cs="Arial"/>
        </w:rPr>
        <w:t xml:space="preserve"> New York: New York University Press.</w:t>
      </w:r>
    </w:p>
    <w:p w14:paraId="4D8FB628" w14:textId="7067BF6E" w:rsidR="00380524" w:rsidRPr="00380524" w:rsidRDefault="00380524" w:rsidP="00380524">
      <w:pPr>
        <w:spacing w:line="360" w:lineRule="auto"/>
        <w:rPr>
          <w:rFonts w:ascii="Arial" w:hAnsi="Arial" w:cs="Arial"/>
        </w:rPr>
      </w:pPr>
      <w:r w:rsidRPr="00380524">
        <w:rPr>
          <w:rFonts w:ascii="Arial" w:hAnsi="Arial" w:cs="Arial"/>
        </w:rPr>
        <w:t xml:space="preserve">De </w:t>
      </w:r>
      <w:proofErr w:type="spellStart"/>
      <w:r w:rsidRPr="00380524">
        <w:rPr>
          <w:rFonts w:ascii="Arial" w:hAnsi="Arial" w:cs="Arial"/>
        </w:rPr>
        <w:t>Veirman</w:t>
      </w:r>
      <w:proofErr w:type="spellEnd"/>
      <w:r w:rsidRPr="00380524">
        <w:rPr>
          <w:rFonts w:ascii="Arial" w:hAnsi="Arial" w:cs="Arial"/>
        </w:rPr>
        <w:t xml:space="preserve">, M., Cauberghe, V. and </w:t>
      </w:r>
      <w:proofErr w:type="spellStart"/>
      <w:r w:rsidRPr="00380524">
        <w:rPr>
          <w:rFonts w:ascii="Arial" w:hAnsi="Arial" w:cs="Arial"/>
        </w:rPr>
        <w:t>Hudders</w:t>
      </w:r>
      <w:proofErr w:type="spellEnd"/>
      <w:r w:rsidRPr="00380524">
        <w:rPr>
          <w:rFonts w:ascii="Arial" w:hAnsi="Arial" w:cs="Arial"/>
        </w:rPr>
        <w:t>, L. (2017) ‘M</w:t>
      </w:r>
      <w:r w:rsidRPr="00380524">
        <w:rPr>
          <w:rFonts w:ascii="Arial" w:hAnsi="Arial" w:cs="Arial"/>
          <w:i/>
          <w:iCs/>
        </w:rPr>
        <w:t>arketing through Instagram influencers: The impact of number of followers and product divergence on brand attitude’, International Journal of Advertising</w:t>
      </w:r>
      <w:r w:rsidRPr="00380524">
        <w:rPr>
          <w:rFonts w:ascii="Arial" w:hAnsi="Arial" w:cs="Arial"/>
        </w:rPr>
        <w:t xml:space="preserve">, 36(5), pp. 798–828. Available at: </w:t>
      </w:r>
      <w:hyperlink r:id="rId14" w:history="1">
        <w:r w:rsidRPr="00A45941">
          <w:rPr>
            <w:rStyle w:val="Hyperlink"/>
            <w:rFonts w:ascii="Arial" w:hAnsi="Arial" w:cs="Arial"/>
          </w:rPr>
          <w:t>https://doi.org/10.1080/02650487.2017.1348035</w:t>
        </w:r>
      </w:hyperlink>
      <w:r>
        <w:rPr>
          <w:rFonts w:ascii="Arial" w:hAnsi="Arial" w:cs="Arial"/>
        </w:rPr>
        <w:t xml:space="preserve"> </w:t>
      </w:r>
    </w:p>
    <w:p w14:paraId="1D4C0BBA" w14:textId="77777777" w:rsidR="00380524" w:rsidRPr="00380524" w:rsidRDefault="00380524" w:rsidP="00380524">
      <w:pPr>
        <w:spacing w:line="360" w:lineRule="auto"/>
        <w:rPr>
          <w:rFonts w:ascii="Arial" w:hAnsi="Arial" w:cs="Arial"/>
        </w:rPr>
      </w:pPr>
      <w:r w:rsidRPr="00380524">
        <w:rPr>
          <w:rFonts w:ascii="Arial" w:hAnsi="Arial" w:cs="Arial"/>
        </w:rPr>
        <w:t>Duffy, B.E. (2017) (</w:t>
      </w:r>
      <w:r w:rsidRPr="00380524">
        <w:rPr>
          <w:rFonts w:ascii="Arial" w:hAnsi="Arial" w:cs="Arial"/>
          <w:i/>
          <w:iCs/>
        </w:rPr>
        <w:t>Not) Getting Paid to Do What You Love: Gender, Social Media, and Aspirational Work</w:t>
      </w:r>
      <w:r w:rsidRPr="00380524">
        <w:rPr>
          <w:rFonts w:ascii="Arial" w:hAnsi="Arial" w:cs="Arial"/>
        </w:rPr>
        <w:t>. New Haven, CT: Yale University Press.</w:t>
      </w:r>
    </w:p>
    <w:p w14:paraId="096AA754" w14:textId="36569215" w:rsidR="00380524" w:rsidRPr="00380524" w:rsidRDefault="00380524" w:rsidP="00380524">
      <w:pPr>
        <w:spacing w:line="360" w:lineRule="auto"/>
        <w:rPr>
          <w:rFonts w:ascii="Arial" w:hAnsi="Arial" w:cs="Arial"/>
        </w:rPr>
      </w:pPr>
      <w:r w:rsidRPr="00380524">
        <w:rPr>
          <w:rFonts w:ascii="Arial" w:hAnsi="Arial" w:cs="Arial"/>
        </w:rPr>
        <w:t>Duffy, B.E. and Hund, E. (2019) ‘</w:t>
      </w:r>
      <w:r w:rsidRPr="00380524">
        <w:rPr>
          <w:rFonts w:ascii="Arial" w:hAnsi="Arial" w:cs="Arial"/>
          <w:i/>
          <w:iCs/>
        </w:rPr>
        <w:t>Gendered visibility on social media: Navigating Instagram’s authenticity bind’, International Journal of Communication,</w:t>
      </w:r>
      <w:r w:rsidRPr="00380524">
        <w:rPr>
          <w:rFonts w:ascii="Arial" w:hAnsi="Arial" w:cs="Arial"/>
        </w:rPr>
        <w:t xml:space="preserve"> 13, pp. 4983–5002. Available at: </w:t>
      </w:r>
      <w:hyperlink r:id="rId15" w:history="1">
        <w:r w:rsidRPr="00A45941">
          <w:rPr>
            <w:rStyle w:val="Hyperlink"/>
            <w:rFonts w:ascii="Arial" w:hAnsi="Arial" w:cs="Arial"/>
          </w:rPr>
          <w:t>https://ijoc.org/index.php/ijoc/article/view/11729</w:t>
        </w:r>
      </w:hyperlink>
      <w:r>
        <w:rPr>
          <w:rFonts w:ascii="Arial" w:hAnsi="Arial" w:cs="Arial"/>
        </w:rPr>
        <w:t xml:space="preserve"> </w:t>
      </w:r>
    </w:p>
    <w:p w14:paraId="5BA2034D" w14:textId="121DB300" w:rsidR="00380524" w:rsidRPr="00380524" w:rsidRDefault="00380524" w:rsidP="00380524">
      <w:pPr>
        <w:spacing w:line="360" w:lineRule="auto"/>
        <w:rPr>
          <w:rFonts w:ascii="Arial" w:hAnsi="Arial" w:cs="Arial"/>
        </w:rPr>
      </w:pPr>
      <w:r w:rsidRPr="00380524">
        <w:rPr>
          <w:rFonts w:ascii="Arial" w:hAnsi="Arial" w:cs="Arial"/>
        </w:rPr>
        <w:t>Evans, N.J., Phua, J., Lim, J. and Jun, H. (2017) ‘</w:t>
      </w:r>
      <w:r w:rsidRPr="00380524">
        <w:rPr>
          <w:rFonts w:ascii="Arial" w:hAnsi="Arial" w:cs="Arial"/>
          <w:i/>
          <w:iCs/>
        </w:rPr>
        <w:t xml:space="preserve">Disclosing Instagram influencer advertising: The effects of disclosure language on advertising recognition, attitudes, and </w:t>
      </w:r>
      <w:proofErr w:type="spellStart"/>
      <w:r w:rsidRPr="00380524">
        <w:rPr>
          <w:rFonts w:ascii="Arial" w:hAnsi="Arial" w:cs="Arial"/>
          <w:i/>
          <w:iCs/>
        </w:rPr>
        <w:t>behavioral</w:t>
      </w:r>
      <w:proofErr w:type="spellEnd"/>
      <w:r w:rsidRPr="00380524">
        <w:rPr>
          <w:rFonts w:ascii="Arial" w:hAnsi="Arial" w:cs="Arial"/>
          <w:i/>
          <w:iCs/>
        </w:rPr>
        <w:t xml:space="preserve"> intent’, Journal of Interactive Advertising</w:t>
      </w:r>
      <w:r w:rsidRPr="00380524">
        <w:rPr>
          <w:rFonts w:ascii="Arial" w:hAnsi="Arial" w:cs="Arial"/>
        </w:rPr>
        <w:t xml:space="preserve">, 17(2), pp. 138–149. Available at: </w:t>
      </w:r>
      <w:hyperlink r:id="rId16" w:history="1">
        <w:r w:rsidRPr="00A45941">
          <w:rPr>
            <w:rStyle w:val="Hyperlink"/>
            <w:rFonts w:ascii="Arial" w:hAnsi="Arial" w:cs="Arial"/>
          </w:rPr>
          <w:t>https://doi.org/10.1080/15252019.2017.1366885</w:t>
        </w:r>
      </w:hyperlink>
      <w:r>
        <w:rPr>
          <w:rFonts w:ascii="Arial" w:hAnsi="Arial" w:cs="Arial"/>
        </w:rPr>
        <w:t xml:space="preserve"> </w:t>
      </w:r>
    </w:p>
    <w:p w14:paraId="71658D3E" w14:textId="77777777" w:rsidR="00380524" w:rsidRPr="00380524" w:rsidRDefault="00380524" w:rsidP="00380524">
      <w:pPr>
        <w:spacing w:line="360" w:lineRule="auto"/>
        <w:rPr>
          <w:rFonts w:ascii="Arial" w:hAnsi="Arial" w:cs="Arial"/>
        </w:rPr>
      </w:pPr>
      <w:r w:rsidRPr="00380524">
        <w:rPr>
          <w:rFonts w:ascii="Arial" w:hAnsi="Arial" w:cs="Arial"/>
        </w:rPr>
        <w:t xml:space="preserve">Gillespie, T. (2018) </w:t>
      </w:r>
      <w:r w:rsidRPr="00380524">
        <w:rPr>
          <w:rFonts w:ascii="Arial" w:hAnsi="Arial" w:cs="Arial"/>
          <w:i/>
          <w:iCs/>
        </w:rPr>
        <w:t>Custodians of the Internet: Platforms, Content Moderation, and the Hidden Decisions That Shape Social Media</w:t>
      </w:r>
      <w:r w:rsidRPr="00380524">
        <w:rPr>
          <w:rFonts w:ascii="Arial" w:hAnsi="Arial" w:cs="Arial"/>
        </w:rPr>
        <w:t>. New Haven, CT: Yale University Press.</w:t>
      </w:r>
    </w:p>
    <w:p w14:paraId="5FE86F6B" w14:textId="02BEE1BE" w:rsidR="00380524" w:rsidRPr="00380524" w:rsidRDefault="00380524" w:rsidP="00380524">
      <w:pPr>
        <w:spacing w:line="360" w:lineRule="auto"/>
        <w:rPr>
          <w:rFonts w:ascii="Arial" w:hAnsi="Arial" w:cs="Arial"/>
        </w:rPr>
      </w:pPr>
      <w:r w:rsidRPr="00380524">
        <w:rPr>
          <w:rFonts w:ascii="Arial" w:hAnsi="Arial" w:cs="Arial"/>
        </w:rPr>
        <w:t xml:space="preserve">Huda Beauty (n.d.) </w:t>
      </w:r>
      <w:r w:rsidRPr="00380524">
        <w:rPr>
          <w:rFonts w:ascii="Arial" w:hAnsi="Arial" w:cs="Arial"/>
          <w:i/>
          <w:iCs/>
        </w:rPr>
        <w:t>Official website</w:t>
      </w:r>
      <w:r w:rsidRPr="00380524">
        <w:rPr>
          <w:rFonts w:ascii="Arial" w:hAnsi="Arial" w:cs="Arial"/>
        </w:rPr>
        <w:t xml:space="preserve">. Available at: </w:t>
      </w:r>
      <w:hyperlink r:id="rId17" w:history="1">
        <w:r w:rsidRPr="00A45941">
          <w:rPr>
            <w:rStyle w:val="Hyperlink"/>
            <w:rFonts w:ascii="Arial" w:hAnsi="Arial" w:cs="Arial"/>
          </w:rPr>
          <w:t>https://hudabeauty.com/</w:t>
        </w:r>
      </w:hyperlink>
      <w:r>
        <w:rPr>
          <w:rFonts w:ascii="Arial" w:hAnsi="Arial" w:cs="Arial"/>
        </w:rPr>
        <w:t xml:space="preserve"> </w:t>
      </w:r>
      <w:r w:rsidRPr="00380524">
        <w:rPr>
          <w:rFonts w:ascii="Arial" w:hAnsi="Arial" w:cs="Arial"/>
        </w:rPr>
        <w:t xml:space="preserve"> (Accessed: 2</w:t>
      </w:r>
      <w:r>
        <w:rPr>
          <w:rFonts w:ascii="Arial" w:hAnsi="Arial" w:cs="Arial"/>
        </w:rPr>
        <w:t>1</w:t>
      </w:r>
      <w:r w:rsidRPr="00380524">
        <w:rPr>
          <w:rFonts w:ascii="Arial" w:hAnsi="Arial" w:cs="Arial"/>
        </w:rPr>
        <w:t xml:space="preserve"> October 2026).</w:t>
      </w:r>
    </w:p>
    <w:p w14:paraId="73074B49" w14:textId="5219745C" w:rsidR="00380524" w:rsidRPr="00380524" w:rsidRDefault="00380524" w:rsidP="00380524">
      <w:pPr>
        <w:spacing w:line="360" w:lineRule="auto"/>
        <w:rPr>
          <w:rFonts w:ascii="Arial" w:hAnsi="Arial" w:cs="Arial"/>
        </w:rPr>
      </w:pPr>
      <w:proofErr w:type="spellStart"/>
      <w:r w:rsidRPr="00380524">
        <w:rPr>
          <w:rFonts w:ascii="Arial" w:hAnsi="Arial" w:cs="Arial"/>
        </w:rPr>
        <w:t>Hudders</w:t>
      </w:r>
      <w:proofErr w:type="spellEnd"/>
      <w:r w:rsidRPr="00380524">
        <w:rPr>
          <w:rFonts w:ascii="Arial" w:hAnsi="Arial" w:cs="Arial"/>
        </w:rPr>
        <w:t xml:space="preserve">, L., De Jans, S. and De </w:t>
      </w:r>
      <w:proofErr w:type="spellStart"/>
      <w:r w:rsidRPr="00380524">
        <w:rPr>
          <w:rFonts w:ascii="Arial" w:hAnsi="Arial" w:cs="Arial"/>
        </w:rPr>
        <w:t>Veirman</w:t>
      </w:r>
      <w:proofErr w:type="spellEnd"/>
      <w:r w:rsidRPr="00380524">
        <w:rPr>
          <w:rFonts w:ascii="Arial" w:hAnsi="Arial" w:cs="Arial"/>
        </w:rPr>
        <w:t>, M. (2021) ‘</w:t>
      </w:r>
      <w:r w:rsidRPr="00380524">
        <w:rPr>
          <w:rFonts w:ascii="Arial" w:hAnsi="Arial" w:cs="Arial"/>
          <w:i/>
          <w:iCs/>
        </w:rPr>
        <w:t>The commercialization of social media stars: A literature review and conceptual framework on the strategic use of social media influencers’, International Journal of Advertising</w:t>
      </w:r>
      <w:r w:rsidRPr="00380524">
        <w:rPr>
          <w:rFonts w:ascii="Arial" w:hAnsi="Arial" w:cs="Arial"/>
        </w:rPr>
        <w:t xml:space="preserve">, 40(3), pp. 327–375. Available at: </w:t>
      </w:r>
      <w:hyperlink r:id="rId18" w:history="1">
        <w:r w:rsidRPr="00A45941">
          <w:rPr>
            <w:rStyle w:val="Hyperlink"/>
            <w:rFonts w:ascii="Arial" w:hAnsi="Arial" w:cs="Arial"/>
          </w:rPr>
          <w:t>https://doi.org/10.1080/02650487.2020.1836925</w:t>
        </w:r>
      </w:hyperlink>
      <w:r>
        <w:rPr>
          <w:rFonts w:ascii="Arial" w:hAnsi="Arial" w:cs="Arial"/>
        </w:rPr>
        <w:t xml:space="preserve"> </w:t>
      </w:r>
    </w:p>
    <w:p w14:paraId="79E0338A" w14:textId="6318278F" w:rsidR="00380524" w:rsidRPr="00380524" w:rsidRDefault="00380524" w:rsidP="00380524">
      <w:pPr>
        <w:spacing w:line="360" w:lineRule="auto"/>
        <w:rPr>
          <w:rFonts w:ascii="Arial" w:hAnsi="Arial" w:cs="Arial"/>
        </w:rPr>
      </w:pPr>
      <w:proofErr w:type="spellStart"/>
      <w:r w:rsidRPr="00380524">
        <w:rPr>
          <w:rFonts w:ascii="Arial" w:hAnsi="Arial" w:cs="Arial"/>
        </w:rPr>
        <w:t>HypeAuditor</w:t>
      </w:r>
      <w:proofErr w:type="spellEnd"/>
      <w:r w:rsidRPr="00380524">
        <w:rPr>
          <w:rFonts w:ascii="Arial" w:hAnsi="Arial" w:cs="Arial"/>
        </w:rPr>
        <w:t xml:space="preserve"> (2026) Huda (@huda) Instagram statistics and historical data. Available at: </w:t>
      </w:r>
      <w:hyperlink r:id="rId19" w:history="1">
        <w:r w:rsidRPr="00A45941">
          <w:rPr>
            <w:rStyle w:val="Hyperlink"/>
            <w:rFonts w:ascii="Arial" w:hAnsi="Arial" w:cs="Arial"/>
          </w:rPr>
          <w:t>https://hypeauditor.com/instagram/huda/</w:t>
        </w:r>
      </w:hyperlink>
      <w:r>
        <w:rPr>
          <w:rFonts w:ascii="Arial" w:hAnsi="Arial" w:cs="Arial"/>
        </w:rPr>
        <w:t xml:space="preserve"> </w:t>
      </w:r>
      <w:r w:rsidRPr="00380524">
        <w:rPr>
          <w:rFonts w:ascii="Arial" w:hAnsi="Arial" w:cs="Arial"/>
        </w:rPr>
        <w:t>(Accessed: 2</w:t>
      </w:r>
      <w:r>
        <w:rPr>
          <w:rFonts w:ascii="Arial" w:hAnsi="Arial" w:cs="Arial"/>
        </w:rPr>
        <w:t>0</w:t>
      </w:r>
      <w:r w:rsidRPr="00380524">
        <w:rPr>
          <w:rFonts w:ascii="Arial" w:hAnsi="Arial" w:cs="Arial"/>
        </w:rPr>
        <w:t xml:space="preserve"> October 2026).</w:t>
      </w:r>
      <w:r>
        <w:rPr>
          <w:rFonts w:ascii="Arial" w:hAnsi="Arial" w:cs="Arial"/>
        </w:rPr>
        <w:t xml:space="preserve"> </w:t>
      </w:r>
    </w:p>
    <w:p w14:paraId="2926376F" w14:textId="7AFED501" w:rsidR="00380524" w:rsidRPr="00380524" w:rsidRDefault="00380524" w:rsidP="00380524">
      <w:pPr>
        <w:spacing w:line="360" w:lineRule="auto"/>
        <w:rPr>
          <w:rFonts w:ascii="Arial" w:hAnsi="Arial" w:cs="Arial"/>
        </w:rPr>
      </w:pPr>
      <w:proofErr w:type="spellStart"/>
      <w:r w:rsidRPr="00380524">
        <w:rPr>
          <w:rFonts w:ascii="Arial" w:hAnsi="Arial" w:cs="Arial"/>
        </w:rPr>
        <w:lastRenderedPageBreak/>
        <w:t>HypeAuditor</w:t>
      </w:r>
      <w:proofErr w:type="spellEnd"/>
      <w:r w:rsidRPr="00380524">
        <w:rPr>
          <w:rFonts w:ascii="Arial" w:hAnsi="Arial" w:cs="Arial"/>
        </w:rPr>
        <w:t xml:space="preserve"> (2026) </w:t>
      </w:r>
      <w:proofErr w:type="spellStart"/>
      <w:r w:rsidRPr="00380524">
        <w:rPr>
          <w:rFonts w:ascii="Arial" w:hAnsi="Arial" w:cs="Arial"/>
        </w:rPr>
        <w:t>IShowSpeed</w:t>
      </w:r>
      <w:proofErr w:type="spellEnd"/>
      <w:r w:rsidRPr="00380524">
        <w:rPr>
          <w:rFonts w:ascii="Arial" w:hAnsi="Arial" w:cs="Arial"/>
        </w:rPr>
        <w:t xml:space="preserve"> (@ishowspeed) </w:t>
      </w:r>
      <w:r w:rsidRPr="00380524">
        <w:rPr>
          <w:rFonts w:ascii="Arial" w:hAnsi="Arial" w:cs="Arial"/>
          <w:i/>
          <w:iCs/>
        </w:rPr>
        <w:t>YouTube statistics and historical data.</w:t>
      </w:r>
      <w:r w:rsidRPr="00380524">
        <w:rPr>
          <w:rFonts w:ascii="Arial" w:hAnsi="Arial" w:cs="Arial"/>
        </w:rPr>
        <w:t xml:space="preserve"> Available at: </w:t>
      </w:r>
      <w:hyperlink r:id="rId20" w:history="1">
        <w:r w:rsidRPr="00A45941">
          <w:rPr>
            <w:rStyle w:val="Hyperlink"/>
            <w:rFonts w:ascii="Arial" w:hAnsi="Arial" w:cs="Arial"/>
          </w:rPr>
          <w:t>https://hypeauditor.com/youtube/UCWsDFcIhY2DBi3GB5uykGXA/</w:t>
        </w:r>
      </w:hyperlink>
      <w:r>
        <w:rPr>
          <w:rFonts w:ascii="Arial" w:hAnsi="Arial" w:cs="Arial"/>
        </w:rPr>
        <w:t xml:space="preserve"> </w:t>
      </w:r>
      <w:r w:rsidRPr="00380524">
        <w:rPr>
          <w:rFonts w:ascii="Arial" w:hAnsi="Arial" w:cs="Arial"/>
        </w:rPr>
        <w:t xml:space="preserve"> (Accessed: 22 October 2026).</w:t>
      </w:r>
    </w:p>
    <w:p w14:paraId="3A29725E" w14:textId="51286864" w:rsidR="00380524" w:rsidRPr="00380524" w:rsidRDefault="00380524" w:rsidP="00380524">
      <w:pPr>
        <w:spacing w:line="360" w:lineRule="auto"/>
        <w:rPr>
          <w:rFonts w:ascii="Arial" w:hAnsi="Arial" w:cs="Arial"/>
        </w:rPr>
      </w:pPr>
      <w:proofErr w:type="spellStart"/>
      <w:r w:rsidRPr="00380524">
        <w:rPr>
          <w:rFonts w:ascii="Arial" w:hAnsi="Arial" w:cs="Arial"/>
        </w:rPr>
        <w:t>HypeAuditor</w:t>
      </w:r>
      <w:proofErr w:type="spellEnd"/>
      <w:r w:rsidRPr="00380524">
        <w:rPr>
          <w:rFonts w:ascii="Arial" w:hAnsi="Arial" w:cs="Arial"/>
        </w:rPr>
        <w:t xml:space="preserve"> (2026) </w:t>
      </w:r>
      <w:r w:rsidRPr="00380524">
        <w:rPr>
          <w:rFonts w:ascii="Arial" w:hAnsi="Arial" w:cs="Arial"/>
          <w:i/>
          <w:iCs/>
        </w:rPr>
        <w:t>The Diary of a CEO</w:t>
      </w:r>
      <w:r w:rsidRPr="00380524">
        <w:rPr>
          <w:rFonts w:ascii="Arial" w:hAnsi="Arial" w:cs="Arial"/>
        </w:rPr>
        <w:t xml:space="preserve"> (@thediaryofaceo) YouTube statistics and historical data. Available at: </w:t>
      </w:r>
      <w:hyperlink r:id="rId21" w:history="1">
        <w:r w:rsidRPr="00A45941">
          <w:rPr>
            <w:rStyle w:val="Hyperlink"/>
            <w:rFonts w:ascii="Arial" w:hAnsi="Arial" w:cs="Arial"/>
          </w:rPr>
          <w:t>https://hypeauditor.com/youtube/UCGq-a57w-aPwyi3pW7XLiHw/</w:t>
        </w:r>
      </w:hyperlink>
      <w:r>
        <w:rPr>
          <w:rFonts w:ascii="Arial" w:hAnsi="Arial" w:cs="Arial"/>
        </w:rPr>
        <w:t xml:space="preserve"> </w:t>
      </w:r>
      <w:r w:rsidRPr="00380524">
        <w:rPr>
          <w:rFonts w:ascii="Arial" w:hAnsi="Arial" w:cs="Arial"/>
        </w:rPr>
        <w:t xml:space="preserve"> (Accessed: 2</w:t>
      </w:r>
      <w:r>
        <w:rPr>
          <w:rFonts w:ascii="Arial" w:hAnsi="Arial" w:cs="Arial"/>
        </w:rPr>
        <w:t xml:space="preserve">0 </w:t>
      </w:r>
      <w:r w:rsidRPr="00380524">
        <w:rPr>
          <w:rFonts w:ascii="Arial" w:hAnsi="Arial" w:cs="Arial"/>
        </w:rPr>
        <w:t>October 2026).</w:t>
      </w:r>
    </w:p>
    <w:p w14:paraId="63156034" w14:textId="45474254" w:rsidR="00380524" w:rsidRPr="00380524" w:rsidRDefault="00380524" w:rsidP="00380524">
      <w:pPr>
        <w:spacing w:line="360" w:lineRule="auto"/>
        <w:rPr>
          <w:rFonts w:ascii="Arial" w:hAnsi="Arial" w:cs="Arial"/>
        </w:rPr>
      </w:pPr>
      <w:proofErr w:type="spellStart"/>
      <w:r w:rsidRPr="00380524">
        <w:rPr>
          <w:rFonts w:ascii="Arial" w:hAnsi="Arial" w:cs="Arial"/>
        </w:rPr>
        <w:t>IShowSpeed</w:t>
      </w:r>
      <w:proofErr w:type="spellEnd"/>
      <w:r w:rsidRPr="00380524">
        <w:rPr>
          <w:rFonts w:ascii="Arial" w:hAnsi="Arial" w:cs="Arial"/>
        </w:rPr>
        <w:t xml:space="preserve"> (n.d.) </w:t>
      </w:r>
      <w:r w:rsidRPr="00380524">
        <w:rPr>
          <w:rFonts w:ascii="Arial" w:hAnsi="Arial" w:cs="Arial"/>
          <w:i/>
          <w:iCs/>
        </w:rPr>
        <w:t>Official YouTube channel.</w:t>
      </w:r>
      <w:r w:rsidRPr="00380524">
        <w:rPr>
          <w:rFonts w:ascii="Arial" w:hAnsi="Arial" w:cs="Arial"/>
        </w:rPr>
        <w:t xml:space="preserve"> Available at: </w:t>
      </w:r>
      <w:hyperlink r:id="rId22" w:history="1">
        <w:r w:rsidRPr="00A45941">
          <w:rPr>
            <w:rStyle w:val="Hyperlink"/>
            <w:rFonts w:ascii="Arial" w:hAnsi="Arial" w:cs="Arial"/>
          </w:rPr>
          <w:t>https://www.youtube.com/@IShowSpeed</w:t>
        </w:r>
      </w:hyperlink>
      <w:r>
        <w:rPr>
          <w:rFonts w:ascii="Arial" w:hAnsi="Arial" w:cs="Arial"/>
        </w:rPr>
        <w:t xml:space="preserve"> </w:t>
      </w:r>
      <w:r w:rsidRPr="00380524">
        <w:rPr>
          <w:rFonts w:ascii="Arial" w:hAnsi="Arial" w:cs="Arial"/>
        </w:rPr>
        <w:t>(Accessed: 22 October 2026).</w:t>
      </w:r>
    </w:p>
    <w:p w14:paraId="4618A5D9" w14:textId="77777777" w:rsidR="00380524" w:rsidRPr="00380524" w:rsidRDefault="00380524" w:rsidP="00380524">
      <w:pPr>
        <w:spacing w:line="360" w:lineRule="auto"/>
        <w:rPr>
          <w:rFonts w:ascii="Arial" w:hAnsi="Arial" w:cs="Arial"/>
        </w:rPr>
      </w:pPr>
      <w:r w:rsidRPr="00380524">
        <w:rPr>
          <w:rFonts w:ascii="Arial" w:hAnsi="Arial" w:cs="Arial"/>
        </w:rPr>
        <w:t xml:space="preserve">Jenkins, H. (2006) Convergence Culture: </w:t>
      </w:r>
      <w:r w:rsidRPr="00380524">
        <w:rPr>
          <w:rFonts w:ascii="Arial" w:hAnsi="Arial" w:cs="Arial"/>
          <w:i/>
          <w:iCs/>
        </w:rPr>
        <w:t>Where Old and New Media Collide</w:t>
      </w:r>
      <w:r w:rsidRPr="00380524">
        <w:rPr>
          <w:rFonts w:ascii="Arial" w:hAnsi="Arial" w:cs="Arial"/>
        </w:rPr>
        <w:t>. New York: New York University Press.</w:t>
      </w:r>
    </w:p>
    <w:p w14:paraId="3A9F5272" w14:textId="1EB73D8D" w:rsidR="00380524" w:rsidRPr="00380524" w:rsidRDefault="00380524" w:rsidP="00380524">
      <w:pPr>
        <w:spacing w:line="360" w:lineRule="auto"/>
        <w:rPr>
          <w:rFonts w:ascii="Arial" w:hAnsi="Arial" w:cs="Arial"/>
        </w:rPr>
      </w:pPr>
      <w:r w:rsidRPr="00380524">
        <w:rPr>
          <w:rFonts w:ascii="Arial" w:hAnsi="Arial" w:cs="Arial"/>
        </w:rPr>
        <w:t>Khamis, S., Ang, L. and Welling, R. (2017) ‘</w:t>
      </w:r>
      <w:r w:rsidRPr="00380524">
        <w:rPr>
          <w:rFonts w:ascii="Arial" w:hAnsi="Arial" w:cs="Arial"/>
          <w:i/>
          <w:iCs/>
        </w:rPr>
        <w:t>Self-branding, “micro-celebrity” and the rise of social media influencers’, Celebrity Studies</w:t>
      </w:r>
      <w:r w:rsidRPr="00380524">
        <w:rPr>
          <w:rFonts w:ascii="Arial" w:hAnsi="Arial" w:cs="Arial"/>
        </w:rPr>
        <w:t xml:space="preserve">, 8(2), pp. 191–208. Available at: </w:t>
      </w:r>
      <w:hyperlink r:id="rId23" w:history="1">
        <w:r w:rsidRPr="00A45941">
          <w:rPr>
            <w:rStyle w:val="Hyperlink"/>
            <w:rFonts w:ascii="Arial" w:hAnsi="Arial" w:cs="Arial"/>
          </w:rPr>
          <w:t>https://doi.org/10.1080/19392397.2016.1218292</w:t>
        </w:r>
      </w:hyperlink>
      <w:r>
        <w:rPr>
          <w:rFonts w:ascii="Arial" w:hAnsi="Arial" w:cs="Arial"/>
        </w:rPr>
        <w:t xml:space="preserve"> </w:t>
      </w:r>
    </w:p>
    <w:p w14:paraId="0D2AA660" w14:textId="4B656026" w:rsidR="00380524" w:rsidRPr="00380524" w:rsidRDefault="00380524" w:rsidP="00380524">
      <w:pPr>
        <w:spacing w:line="360" w:lineRule="auto"/>
        <w:rPr>
          <w:rFonts w:ascii="Arial" w:hAnsi="Arial" w:cs="Arial"/>
        </w:rPr>
      </w:pPr>
      <w:r w:rsidRPr="00380524">
        <w:rPr>
          <w:rFonts w:ascii="Arial" w:hAnsi="Arial" w:cs="Arial"/>
        </w:rPr>
        <w:t xml:space="preserve">Lou, C. and Yuan, S. (2019) </w:t>
      </w:r>
      <w:r w:rsidRPr="00380524">
        <w:rPr>
          <w:rFonts w:ascii="Arial" w:hAnsi="Arial" w:cs="Arial"/>
          <w:i/>
          <w:iCs/>
        </w:rPr>
        <w:t>‘Influencer marketing: How message value and credibility affect consumer trust of branded content on social media’, Journal of Interactive Advertising</w:t>
      </w:r>
      <w:r w:rsidRPr="00380524">
        <w:rPr>
          <w:rFonts w:ascii="Arial" w:hAnsi="Arial" w:cs="Arial"/>
        </w:rPr>
        <w:t xml:space="preserve">, 19(1), pp. 58–73. Available at: </w:t>
      </w:r>
      <w:hyperlink r:id="rId24" w:history="1">
        <w:r w:rsidRPr="00A45941">
          <w:rPr>
            <w:rStyle w:val="Hyperlink"/>
            <w:rFonts w:ascii="Arial" w:hAnsi="Arial" w:cs="Arial"/>
          </w:rPr>
          <w:t>https://doi.org/10.1080/15252019.2018.1533501</w:t>
        </w:r>
      </w:hyperlink>
      <w:r>
        <w:rPr>
          <w:rFonts w:ascii="Arial" w:hAnsi="Arial" w:cs="Arial"/>
        </w:rPr>
        <w:t xml:space="preserve"> </w:t>
      </w:r>
    </w:p>
    <w:p w14:paraId="383D64E0" w14:textId="77777777" w:rsidR="00380524" w:rsidRPr="00380524" w:rsidRDefault="00380524" w:rsidP="00380524">
      <w:pPr>
        <w:spacing w:line="360" w:lineRule="auto"/>
        <w:rPr>
          <w:rFonts w:ascii="Arial" w:hAnsi="Arial" w:cs="Arial"/>
        </w:rPr>
      </w:pPr>
      <w:r w:rsidRPr="00380524">
        <w:rPr>
          <w:rFonts w:ascii="Arial" w:hAnsi="Arial" w:cs="Arial"/>
        </w:rPr>
        <w:t xml:space="preserve">Marwick, A.E. (2013) </w:t>
      </w:r>
      <w:r w:rsidRPr="00380524">
        <w:rPr>
          <w:rFonts w:ascii="Arial" w:hAnsi="Arial" w:cs="Arial"/>
          <w:i/>
          <w:iCs/>
        </w:rPr>
        <w:t>Status Update: Celebrity, Publicity, and Branding in the Social Media Age. N</w:t>
      </w:r>
      <w:r w:rsidRPr="00380524">
        <w:rPr>
          <w:rFonts w:ascii="Arial" w:hAnsi="Arial" w:cs="Arial"/>
        </w:rPr>
        <w:t>ew Haven, CT: Yale University Press.</w:t>
      </w:r>
    </w:p>
    <w:p w14:paraId="2653C177" w14:textId="3DF4588A" w:rsidR="00380524" w:rsidRPr="00380524" w:rsidRDefault="00380524" w:rsidP="00380524">
      <w:pPr>
        <w:spacing w:line="360" w:lineRule="auto"/>
        <w:rPr>
          <w:rFonts w:ascii="Arial" w:hAnsi="Arial" w:cs="Arial"/>
        </w:rPr>
      </w:pPr>
      <w:r w:rsidRPr="00380524">
        <w:rPr>
          <w:rFonts w:ascii="Arial" w:hAnsi="Arial" w:cs="Arial"/>
        </w:rPr>
        <w:t xml:space="preserve">McCracken, G. (1989) </w:t>
      </w:r>
      <w:r w:rsidRPr="00380524">
        <w:rPr>
          <w:rFonts w:ascii="Arial" w:hAnsi="Arial" w:cs="Arial"/>
          <w:i/>
          <w:iCs/>
        </w:rPr>
        <w:t>‘Who is the celebrity endorser? Cultural foundations of the endorsement process’,</w:t>
      </w:r>
      <w:r w:rsidRPr="00380524">
        <w:rPr>
          <w:rFonts w:ascii="Arial" w:hAnsi="Arial" w:cs="Arial"/>
        </w:rPr>
        <w:t xml:space="preserve"> Journal of Consumer Research, 16(3), pp. 310–321. Available at: </w:t>
      </w:r>
      <w:hyperlink r:id="rId25" w:history="1">
        <w:r w:rsidRPr="00A45941">
          <w:rPr>
            <w:rStyle w:val="Hyperlink"/>
            <w:rFonts w:ascii="Arial" w:hAnsi="Arial" w:cs="Arial"/>
          </w:rPr>
          <w:t>https://doi.org/10.1086/209217</w:t>
        </w:r>
      </w:hyperlink>
      <w:r>
        <w:rPr>
          <w:rFonts w:ascii="Arial" w:hAnsi="Arial" w:cs="Arial"/>
        </w:rPr>
        <w:t xml:space="preserve"> </w:t>
      </w:r>
    </w:p>
    <w:p w14:paraId="7631AEC5" w14:textId="076932CA" w:rsidR="00380524" w:rsidRPr="00380524" w:rsidRDefault="00380524" w:rsidP="00380524">
      <w:pPr>
        <w:spacing w:line="360" w:lineRule="auto"/>
        <w:rPr>
          <w:rFonts w:ascii="Arial" w:hAnsi="Arial" w:cs="Arial"/>
        </w:rPr>
      </w:pPr>
      <w:proofErr w:type="spellStart"/>
      <w:r w:rsidRPr="00380524">
        <w:rPr>
          <w:rFonts w:ascii="Arial" w:hAnsi="Arial" w:cs="Arial"/>
        </w:rPr>
        <w:t>Nieborg</w:t>
      </w:r>
      <w:proofErr w:type="spellEnd"/>
      <w:r w:rsidRPr="00380524">
        <w:rPr>
          <w:rFonts w:ascii="Arial" w:hAnsi="Arial" w:cs="Arial"/>
        </w:rPr>
        <w:t>, D.B. and Poell, T. (2018) ‘</w:t>
      </w:r>
      <w:r w:rsidRPr="00380524">
        <w:rPr>
          <w:rFonts w:ascii="Arial" w:hAnsi="Arial" w:cs="Arial"/>
          <w:i/>
          <w:iCs/>
        </w:rPr>
        <w:t xml:space="preserve">The </w:t>
      </w:r>
      <w:proofErr w:type="spellStart"/>
      <w:r w:rsidRPr="00380524">
        <w:rPr>
          <w:rFonts w:ascii="Arial" w:hAnsi="Arial" w:cs="Arial"/>
          <w:i/>
          <w:iCs/>
        </w:rPr>
        <w:t>platformization</w:t>
      </w:r>
      <w:proofErr w:type="spellEnd"/>
      <w:r w:rsidRPr="00380524">
        <w:rPr>
          <w:rFonts w:ascii="Arial" w:hAnsi="Arial" w:cs="Arial"/>
          <w:i/>
          <w:iCs/>
        </w:rPr>
        <w:t xml:space="preserve"> of cultural production: Theorizing the contingent cultural commodity’, New Media &amp; Society</w:t>
      </w:r>
      <w:r w:rsidRPr="00380524">
        <w:rPr>
          <w:rFonts w:ascii="Arial" w:hAnsi="Arial" w:cs="Arial"/>
        </w:rPr>
        <w:t xml:space="preserve">, 20(11), pp. 4275–4292. Available at: </w:t>
      </w:r>
      <w:hyperlink r:id="rId26" w:history="1">
        <w:r w:rsidRPr="00A45941">
          <w:rPr>
            <w:rStyle w:val="Hyperlink"/>
            <w:rFonts w:ascii="Arial" w:hAnsi="Arial" w:cs="Arial"/>
          </w:rPr>
          <w:t>https://doi.org/10.1177/1461444818769694</w:t>
        </w:r>
      </w:hyperlink>
      <w:r>
        <w:rPr>
          <w:rFonts w:ascii="Arial" w:hAnsi="Arial" w:cs="Arial"/>
        </w:rPr>
        <w:t xml:space="preserve"> </w:t>
      </w:r>
    </w:p>
    <w:p w14:paraId="6B0AB2C6" w14:textId="492C901F" w:rsidR="00380524" w:rsidRPr="00380524" w:rsidRDefault="00380524" w:rsidP="00380524">
      <w:pPr>
        <w:spacing w:line="360" w:lineRule="auto"/>
        <w:rPr>
          <w:rFonts w:ascii="Arial" w:hAnsi="Arial" w:cs="Arial"/>
        </w:rPr>
      </w:pPr>
      <w:r w:rsidRPr="00380524">
        <w:rPr>
          <w:rFonts w:ascii="Arial" w:hAnsi="Arial" w:cs="Arial"/>
        </w:rPr>
        <w:t xml:space="preserve">OECD (2007) </w:t>
      </w:r>
      <w:r w:rsidRPr="00380524">
        <w:rPr>
          <w:rFonts w:ascii="Arial" w:hAnsi="Arial" w:cs="Arial"/>
          <w:i/>
          <w:iCs/>
        </w:rPr>
        <w:t>Participative Web and User-Created Content: Web 2.0, Wikis and Social Networking. Paris: OECD Publishing.</w:t>
      </w:r>
      <w:r w:rsidRPr="00380524">
        <w:rPr>
          <w:rFonts w:ascii="Arial" w:hAnsi="Arial" w:cs="Arial"/>
        </w:rPr>
        <w:t xml:space="preserve"> Available at: </w:t>
      </w:r>
      <w:hyperlink r:id="rId27" w:history="1">
        <w:r w:rsidRPr="00A45941">
          <w:rPr>
            <w:rStyle w:val="Hyperlink"/>
            <w:rFonts w:ascii="Arial" w:hAnsi="Arial" w:cs="Arial"/>
          </w:rPr>
          <w:t>https://doi.org/10.1787/9789264037472-en</w:t>
        </w:r>
      </w:hyperlink>
      <w:r>
        <w:rPr>
          <w:rFonts w:ascii="Arial" w:hAnsi="Arial" w:cs="Arial"/>
        </w:rPr>
        <w:t xml:space="preserve"> </w:t>
      </w:r>
    </w:p>
    <w:p w14:paraId="147955D6" w14:textId="04905B6E" w:rsidR="00380524" w:rsidRPr="00380524" w:rsidRDefault="00380524" w:rsidP="00380524">
      <w:pPr>
        <w:spacing w:line="360" w:lineRule="auto"/>
        <w:rPr>
          <w:rFonts w:ascii="Arial" w:hAnsi="Arial" w:cs="Arial"/>
        </w:rPr>
      </w:pPr>
      <w:r w:rsidRPr="00380524">
        <w:rPr>
          <w:rFonts w:ascii="Arial" w:hAnsi="Arial" w:cs="Arial"/>
        </w:rPr>
        <w:t xml:space="preserve">Ofcom (2025) Online Nation 2025. Available at: </w:t>
      </w:r>
      <w:hyperlink r:id="rId28" w:history="1">
        <w:r w:rsidRPr="00A45941">
          <w:rPr>
            <w:rStyle w:val="Hyperlink"/>
            <w:rFonts w:ascii="Arial" w:hAnsi="Arial" w:cs="Arial"/>
          </w:rPr>
          <w:t>https://www.ofcom.org.uk/media-use-and-attitudes/online-habits/online-nation</w:t>
        </w:r>
      </w:hyperlink>
      <w:r>
        <w:rPr>
          <w:rFonts w:ascii="Arial" w:hAnsi="Arial" w:cs="Arial"/>
        </w:rPr>
        <w:t xml:space="preserve"> </w:t>
      </w:r>
      <w:r w:rsidRPr="00380524">
        <w:rPr>
          <w:rFonts w:ascii="Arial" w:hAnsi="Arial" w:cs="Arial"/>
        </w:rPr>
        <w:t xml:space="preserve"> (Accessed: </w:t>
      </w:r>
      <w:r>
        <w:rPr>
          <w:rFonts w:ascii="Arial" w:hAnsi="Arial" w:cs="Arial"/>
        </w:rPr>
        <w:t xml:space="preserve">19 </w:t>
      </w:r>
      <w:r w:rsidRPr="00380524">
        <w:rPr>
          <w:rFonts w:ascii="Arial" w:hAnsi="Arial" w:cs="Arial"/>
        </w:rPr>
        <w:t>October 2026).</w:t>
      </w:r>
    </w:p>
    <w:p w14:paraId="0DDEA89E" w14:textId="1EC57FC2" w:rsidR="00380524" w:rsidRPr="00380524" w:rsidRDefault="00380524" w:rsidP="00380524">
      <w:pPr>
        <w:spacing w:line="360" w:lineRule="auto"/>
        <w:rPr>
          <w:rFonts w:ascii="Arial" w:hAnsi="Arial" w:cs="Arial"/>
        </w:rPr>
      </w:pPr>
      <w:r w:rsidRPr="00380524">
        <w:rPr>
          <w:rFonts w:ascii="Arial" w:hAnsi="Arial" w:cs="Arial"/>
        </w:rPr>
        <w:lastRenderedPageBreak/>
        <w:t xml:space="preserve">Peres, R., Schreier, M., Schweidel, D.A. and </w:t>
      </w:r>
      <w:proofErr w:type="spellStart"/>
      <w:r w:rsidRPr="00380524">
        <w:rPr>
          <w:rFonts w:ascii="Arial" w:hAnsi="Arial" w:cs="Arial"/>
        </w:rPr>
        <w:t>Sorescu</w:t>
      </w:r>
      <w:proofErr w:type="spellEnd"/>
      <w:r w:rsidRPr="00380524">
        <w:rPr>
          <w:rFonts w:ascii="Arial" w:hAnsi="Arial" w:cs="Arial"/>
        </w:rPr>
        <w:t>, A. (2024) ‘</w:t>
      </w:r>
      <w:r w:rsidRPr="00380524">
        <w:rPr>
          <w:rFonts w:ascii="Arial" w:hAnsi="Arial" w:cs="Arial"/>
          <w:i/>
          <w:iCs/>
        </w:rPr>
        <w:t>The creator economy: An introduction and a call for scholarly research</w:t>
      </w:r>
      <w:r w:rsidRPr="00380524">
        <w:rPr>
          <w:rFonts w:ascii="Arial" w:hAnsi="Arial" w:cs="Arial"/>
        </w:rPr>
        <w:t xml:space="preserve">’, International Journal of Research in Marketing, 41(3), pp. 403–410. Available at: </w:t>
      </w:r>
      <w:hyperlink r:id="rId29" w:history="1">
        <w:r w:rsidRPr="00A45941">
          <w:rPr>
            <w:rStyle w:val="Hyperlink"/>
            <w:rFonts w:ascii="Arial" w:hAnsi="Arial" w:cs="Arial"/>
          </w:rPr>
          <w:t>https://doi.org/10.1016/j.ijresmar.2024.07.005</w:t>
        </w:r>
      </w:hyperlink>
      <w:r>
        <w:rPr>
          <w:rFonts w:ascii="Arial" w:hAnsi="Arial" w:cs="Arial"/>
        </w:rPr>
        <w:t xml:space="preserve"> </w:t>
      </w:r>
    </w:p>
    <w:p w14:paraId="31F77FE1" w14:textId="7C4356D8" w:rsidR="00380524" w:rsidRPr="00380524" w:rsidRDefault="00380524" w:rsidP="00380524">
      <w:pPr>
        <w:spacing w:line="360" w:lineRule="auto"/>
        <w:rPr>
          <w:rFonts w:ascii="Arial" w:hAnsi="Arial" w:cs="Arial"/>
        </w:rPr>
      </w:pPr>
      <w:r w:rsidRPr="00380524">
        <w:rPr>
          <w:rFonts w:ascii="Arial" w:hAnsi="Arial" w:cs="Arial"/>
        </w:rPr>
        <w:t>Social Blade (2026</w:t>
      </w:r>
      <w:r w:rsidRPr="00380524">
        <w:rPr>
          <w:rFonts w:ascii="Arial" w:hAnsi="Arial" w:cs="Arial"/>
          <w:i/>
          <w:iCs/>
        </w:rPr>
        <w:t xml:space="preserve">) </w:t>
      </w:r>
      <w:proofErr w:type="spellStart"/>
      <w:r w:rsidRPr="00380524">
        <w:rPr>
          <w:rFonts w:ascii="Arial" w:hAnsi="Arial" w:cs="Arial"/>
          <w:i/>
          <w:iCs/>
        </w:rPr>
        <w:t>IShowSpeed</w:t>
      </w:r>
      <w:proofErr w:type="spellEnd"/>
      <w:r w:rsidRPr="00380524">
        <w:rPr>
          <w:rFonts w:ascii="Arial" w:hAnsi="Arial" w:cs="Arial"/>
          <w:i/>
          <w:iCs/>
        </w:rPr>
        <w:t xml:space="preserve"> YouTube statistics</w:t>
      </w:r>
      <w:r w:rsidRPr="00380524">
        <w:rPr>
          <w:rFonts w:ascii="Arial" w:hAnsi="Arial" w:cs="Arial"/>
        </w:rPr>
        <w:t xml:space="preserve">. Available at: </w:t>
      </w:r>
      <w:hyperlink r:id="rId30" w:history="1">
        <w:r w:rsidRPr="00A45941">
          <w:rPr>
            <w:rStyle w:val="Hyperlink"/>
            <w:rFonts w:ascii="Arial" w:hAnsi="Arial" w:cs="Arial"/>
          </w:rPr>
          <w:t>https://socialblade.com/youtube/handle/ishowspeed</w:t>
        </w:r>
      </w:hyperlink>
      <w:r>
        <w:rPr>
          <w:rFonts w:ascii="Arial" w:hAnsi="Arial" w:cs="Arial"/>
        </w:rPr>
        <w:t xml:space="preserve"> </w:t>
      </w:r>
      <w:r w:rsidRPr="00380524">
        <w:rPr>
          <w:rFonts w:ascii="Arial" w:hAnsi="Arial" w:cs="Arial"/>
        </w:rPr>
        <w:t xml:space="preserve"> (Accessed: 2</w:t>
      </w:r>
      <w:r>
        <w:rPr>
          <w:rFonts w:ascii="Arial" w:hAnsi="Arial" w:cs="Arial"/>
        </w:rPr>
        <w:t>0</w:t>
      </w:r>
      <w:r w:rsidRPr="00380524">
        <w:rPr>
          <w:rFonts w:ascii="Arial" w:hAnsi="Arial" w:cs="Arial"/>
        </w:rPr>
        <w:t xml:space="preserve"> October 2026).</w:t>
      </w:r>
    </w:p>
    <w:p w14:paraId="7EF1A357" w14:textId="5FF9DB2C" w:rsidR="00380524" w:rsidRPr="00380524" w:rsidRDefault="00380524" w:rsidP="00380524">
      <w:pPr>
        <w:spacing w:line="360" w:lineRule="auto"/>
        <w:rPr>
          <w:rFonts w:ascii="Arial" w:hAnsi="Arial" w:cs="Arial"/>
        </w:rPr>
      </w:pPr>
      <w:r w:rsidRPr="00380524">
        <w:rPr>
          <w:rFonts w:ascii="Arial" w:hAnsi="Arial" w:cs="Arial"/>
        </w:rPr>
        <w:t xml:space="preserve">Social Blade (2026) The Diary of a CEO YouTube statistics. Available at: </w:t>
      </w:r>
      <w:hyperlink r:id="rId31" w:history="1">
        <w:r w:rsidRPr="00A45941">
          <w:rPr>
            <w:rStyle w:val="Hyperlink"/>
            <w:rFonts w:ascii="Arial" w:hAnsi="Arial" w:cs="Arial"/>
          </w:rPr>
          <w:t>https://socialblade.com/youtube/channel/UCGq-a57w-aPwyi3pW7XLiHw</w:t>
        </w:r>
      </w:hyperlink>
      <w:r>
        <w:rPr>
          <w:rFonts w:ascii="Arial" w:hAnsi="Arial" w:cs="Arial"/>
        </w:rPr>
        <w:t xml:space="preserve"> </w:t>
      </w:r>
      <w:r w:rsidRPr="00380524">
        <w:rPr>
          <w:rFonts w:ascii="Arial" w:hAnsi="Arial" w:cs="Arial"/>
        </w:rPr>
        <w:t xml:space="preserve">(Accessed: </w:t>
      </w:r>
      <w:r>
        <w:rPr>
          <w:rFonts w:ascii="Arial" w:hAnsi="Arial" w:cs="Arial"/>
        </w:rPr>
        <w:t>19</w:t>
      </w:r>
      <w:r w:rsidRPr="00380524">
        <w:rPr>
          <w:rFonts w:ascii="Arial" w:hAnsi="Arial" w:cs="Arial"/>
        </w:rPr>
        <w:t xml:space="preserve"> October 2026).</w:t>
      </w:r>
    </w:p>
    <w:p w14:paraId="1714412F" w14:textId="7033D259" w:rsidR="00380524" w:rsidRPr="00380524" w:rsidRDefault="00380524" w:rsidP="00380524">
      <w:pPr>
        <w:spacing w:line="360" w:lineRule="auto"/>
        <w:rPr>
          <w:rFonts w:ascii="Arial" w:hAnsi="Arial" w:cs="Arial"/>
        </w:rPr>
      </w:pPr>
      <w:r w:rsidRPr="00380524">
        <w:rPr>
          <w:rFonts w:ascii="Arial" w:hAnsi="Arial" w:cs="Arial"/>
        </w:rPr>
        <w:t xml:space="preserve">Sokolova, K. and </w:t>
      </w:r>
      <w:proofErr w:type="spellStart"/>
      <w:r w:rsidRPr="00380524">
        <w:rPr>
          <w:rFonts w:ascii="Arial" w:hAnsi="Arial" w:cs="Arial"/>
        </w:rPr>
        <w:t>Kefi</w:t>
      </w:r>
      <w:proofErr w:type="spellEnd"/>
      <w:r w:rsidRPr="00380524">
        <w:rPr>
          <w:rFonts w:ascii="Arial" w:hAnsi="Arial" w:cs="Arial"/>
        </w:rPr>
        <w:t>, H. (2020) ‘</w:t>
      </w:r>
      <w:r w:rsidRPr="00380524">
        <w:rPr>
          <w:rFonts w:ascii="Arial" w:hAnsi="Arial" w:cs="Arial"/>
          <w:i/>
          <w:iCs/>
        </w:rPr>
        <w:t>Instagram and YouTube bloggers promote it, why should I buy? How credibility and parasocial interaction influence purchase intentions’,</w:t>
      </w:r>
      <w:r w:rsidRPr="00380524">
        <w:rPr>
          <w:rFonts w:ascii="Arial" w:hAnsi="Arial" w:cs="Arial"/>
        </w:rPr>
        <w:t xml:space="preserve"> Journal of Retailing and Consumer Services, 53, article 101742. Available at: </w:t>
      </w:r>
      <w:hyperlink r:id="rId32" w:history="1">
        <w:r w:rsidRPr="00A45941">
          <w:rPr>
            <w:rStyle w:val="Hyperlink"/>
            <w:rFonts w:ascii="Arial" w:hAnsi="Arial" w:cs="Arial"/>
          </w:rPr>
          <w:t>https://doi.org/10.1016/j.jretconser.2019.01.011</w:t>
        </w:r>
      </w:hyperlink>
      <w:r>
        <w:rPr>
          <w:rFonts w:ascii="Arial" w:hAnsi="Arial" w:cs="Arial"/>
        </w:rPr>
        <w:t xml:space="preserve"> </w:t>
      </w:r>
    </w:p>
    <w:p w14:paraId="7F157639" w14:textId="69C20BBF" w:rsidR="00380524" w:rsidRPr="00380524" w:rsidRDefault="00380524" w:rsidP="00380524">
      <w:pPr>
        <w:spacing w:line="360" w:lineRule="auto"/>
        <w:rPr>
          <w:rFonts w:ascii="Arial" w:hAnsi="Arial" w:cs="Arial"/>
        </w:rPr>
      </w:pPr>
      <w:r w:rsidRPr="00380524">
        <w:rPr>
          <w:rFonts w:ascii="Arial" w:hAnsi="Arial" w:cs="Arial"/>
        </w:rPr>
        <w:t>Teece, D.J. (2010) ‘</w:t>
      </w:r>
      <w:r w:rsidRPr="00380524">
        <w:rPr>
          <w:rFonts w:ascii="Arial" w:hAnsi="Arial" w:cs="Arial"/>
          <w:i/>
          <w:iCs/>
        </w:rPr>
        <w:t>Business models, business strategy and innovation’, Long Range Planning</w:t>
      </w:r>
      <w:r w:rsidRPr="00380524">
        <w:rPr>
          <w:rFonts w:ascii="Arial" w:hAnsi="Arial" w:cs="Arial"/>
        </w:rPr>
        <w:t xml:space="preserve">, 43(2–3), pp. 172–194. Available at: </w:t>
      </w:r>
      <w:hyperlink r:id="rId33" w:history="1">
        <w:r w:rsidRPr="00A45941">
          <w:rPr>
            <w:rStyle w:val="Hyperlink"/>
            <w:rFonts w:ascii="Arial" w:hAnsi="Arial" w:cs="Arial"/>
          </w:rPr>
          <w:t>https://doi.org/10.1016/j.lrp.2009.07.003</w:t>
        </w:r>
      </w:hyperlink>
      <w:r>
        <w:rPr>
          <w:rFonts w:ascii="Arial" w:hAnsi="Arial" w:cs="Arial"/>
        </w:rPr>
        <w:t xml:space="preserve"> </w:t>
      </w:r>
    </w:p>
    <w:p w14:paraId="756553DA" w14:textId="7E255790" w:rsidR="00380524" w:rsidRDefault="00380524" w:rsidP="00380524">
      <w:pPr>
        <w:spacing w:line="360" w:lineRule="auto"/>
        <w:rPr>
          <w:rFonts w:ascii="Arial" w:hAnsi="Arial" w:cs="Arial"/>
        </w:rPr>
      </w:pPr>
      <w:proofErr w:type="spellStart"/>
      <w:r w:rsidRPr="00380524">
        <w:rPr>
          <w:rFonts w:ascii="Arial" w:hAnsi="Arial" w:cs="Arial"/>
        </w:rPr>
        <w:t>Vrontis</w:t>
      </w:r>
      <w:proofErr w:type="spellEnd"/>
      <w:r w:rsidRPr="00380524">
        <w:rPr>
          <w:rFonts w:ascii="Arial" w:hAnsi="Arial" w:cs="Arial"/>
        </w:rPr>
        <w:t xml:space="preserve">, D., Makrides, A., Christofi, M. and </w:t>
      </w:r>
      <w:proofErr w:type="spellStart"/>
      <w:r w:rsidRPr="00380524">
        <w:rPr>
          <w:rFonts w:ascii="Arial" w:hAnsi="Arial" w:cs="Arial"/>
        </w:rPr>
        <w:t>Thrassou</w:t>
      </w:r>
      <w:proofErr w:type="spellEnd"/>
      <w:r w:rsidRPr="00380524">
        <w:rPr>
          <w:rFonts w:ascii="Arial" w:hAnsi="Arial" w:cs="Arial"/>
        </w:rPr>
        <w:t>, A. (2021) ‘</w:t>
      </w:r>
      <w:r w:rsidRPr="00380524">
        <w:rPr>
          <w:rFonts w:ascii="Arial" w:hAnsi="Arial" w:cs="Arial"/>
          <w:i/>
          <w:iCs/>
        </w:rPr>
        <w:t>Social media influencer marketing: A systematic review, integrative framework and future research agenda’, International Journal of Consumer Studies</w:t>
      </w:r>
      <w:r w:rsidRPr="00380524">
        <w:rPr>
          <w:rFonts w:ascii="Arial" w:hAnsi="Arial" w:cs="Arial"/>
        </w:rPr>
        <w:t xml:space="preserve">, 45(4), pp. 617–644. Available at: </w:t>
      </w:r>
      <w:hyperlink r:id="rId34" w:history="1">
        <w:r w:rsidRPr="00A45941">
          <w:rPr>
            <w:rStyle w:val="Hyperlink"/>
            <w:rFonts w:ascii="Arial" w:hAnsi="Arial" w:cs="Arial"/>
          </w:rPr>
          <w:t>https://doi.org/10.1111/ijcs.12647</w:t>
        </w:r>
      </w:hyperlink>
      <w:r>
        <w:rPr>
          <w:rFonts w:ascii="Arial" w:hAnsi="Arial" w:cs="Arial"/>
        </w:rPr>
        <w:t xml:space="preserve"> </w:t>
      </w:r>
    </w:p>
    <w:p w14:paraId="3405E378" w14:textId="77777777" w:rsidR="00380524" w:rsidRDefault="00380524" w:rsidP="00380524">
      <w:pPr>
        <w:spacing w:line="360" w:lineRule="auto"/>
        <w:rPr>
          <w:rFonts w:ascii="Arial" w:hAnsi="Arial" w:cs="Arial"/>
        </w:rPr>
      </w:pPr>
    </w:p>
    <w:p w14:paraId="146A8F6D" w14:textId="77777777" w:rsidR="00380524" w:rsidRDefault="00380524" w:rsidP="00380524">
      <w:pPr>
        <w:spacing w:line="360" w:lineRule="auto"/>
        <w:rPr>
          <w:rFonts w:ascii="Arial" w:hAnsi="Arial" w:cs="Arial"/>
        </w:rPr>
      </w:pPr>
    </w:p>
    <w:p w14:paraId="28B6507F" w14:textId="77777777" w:rsidR="00380524" w:rsidRDefault="00380524" w:rsidP="00380524">
      <w:pPr>
        <w:spacing w:line="360" w:lineRule="auto"/>
        <w:rPr>
          <w:rFonts w:ascii="Arial" w:hAnsi="Arial" w:cs="Arial"/>
        </w:rPr>
      </w:pPr>
    </w:p>
    <w:p w14:paraId="7108B980" w14:textId="77777777" w:rsidR="00380524" w:rsidRDefault="00380524" w:rsidP="00380524">
      <w:pPr>
        <w:spacing w:line="360" w:lineRule="auto"/>
        <w:rPr>
          <w:rFonts w:ascii="Arial" w:hAnsi="Arial" w:cs="Arial"/>
        </w:rPr>
      </w:pPr>
    </w:p>
    <w:p w14:paraId="70326F24" w14:textId="77777777" w:rsidR="00380524" w:rsidRDefault="00380524" w:rsidP="00380524">
      <w:pPr>
        <w:spacing w:line="360" w:lineRule="auto"/>
        <w:rPr>
          <w:rFonts w:ascii="Arial" w:hAnsi="Arial" w:cs="Arial"/>
        </w:rPr>
      </w:pPr>
    </w:p>
    <w:p w14:paraId="4DC11164" w14:textId="77777777" w:rsidR="00380524" w:rsidRDefault="00380524" w:rsidP="00380524">
      <w:pPr>
        <w:spacing w:line="360" w:lineRule="auto"/>
        <w:rPr>
          <w:rFonts w:ascii="Arial" w:hAnsi="Arial" w:cs="Arial"/>
        </w:rPr>
      </w:pPr>
    </w:p>
    <w:p w14:paraId="592610AA" w14:textId="77777777" w:rsidR="00380524" w:rsidRDefault="00380524" w:rsidP="00380524">
      <w:pPr>
        <w:spacing w:line="360" w:lineRule="auto"/>
        <w:rPr>
          <w:rFonts w:ascii="Arial" w:hAnsi="Arial" w:cs="Arial"/>
        </w:rPr>
      </w:pPr>
    </w:p>
    <w:p w14:paraId="64EB13BC" w14:textId="77777777" w:rsidR="00380524" w:rsidRDefault="00380524" w:rsidP="00380524">
      <w:pPr>
        <w:spacing w:line="360" w:lineRule="auto"/>
        <w:rPr>
          <w:rFonts w:ascii="Arial" w:hAnsi="Arial" w:cs="Arial"/>
        </w:rPr>
      </w:pPr>
    </w:p>
    <w:p w14:paraId="6EC4AFBA" w14:textId="53EC310C" w:rsidR="00A9241C" w:rsidRDefault="00A9241C" w:rsidP="00A9241C">
      <w:pPr>
        <w:spacing w:line="360" w:lineRule="auto"/>
        <w:ind w:left="140"/>
        <w:rPr>
          <w:rFonts w:ascii="Arial" w:hAnsi="Arial" w:cs="Arial"/>
          <w:b/>
          <w:bCs/>
        </w:rPr>
      </w:pPr>
      <w:r w:rsidRPr="00A9241C">
        <w:rPr>
          <w:rFonts w:ascii="Arial" w:hAnsi="Arial" w:cs="Arial"/>
          <w:b/>
          <w:bCs/>
        </w:rPr>
        <w:lastRenderedPageBreak/>
        <w:t xml:space="preserve">11.Appendices </w:t>
      </w:r>
    </w:p>
    <w:p w14:paraId="08EEB594" w14:textId="77BC6EB3" w:rsidR="00A9241C" w:rsidRPr="00A9241C" w:rsidRDefault="00A9241C" w:rsidP="00A9241C">
      <w:pPr>
        <w:pStyle w:val="ListParagraph"/>
        <w:numPr>
          <w:ilvl w:val="0"/>
          <w:numId w:val="7"/>
        </w:numPr>
        <w:spacing w:line="360" w:lineRule="auto"/>
        <w:jc w:val="both"/>
        <w:rPr>
          <w:rFonts w:ascii="Arial" w:hAnsi="Arial" w:cs="Arial"/>
          <w:b/>
          <w:bCs/>
        </w:rPr>
      </w:pPr>
      <w:r w:rsidRPr="00A9241C">
        <w:rPr>
          <w:rFonts w:ascii="Arial" w:hAnsi="Arial" w:cs="Arial"/>
          <w:b/>
          <w:bCs/>
        </w:rPr>
        <w:t xml:space="preserve">Appendix A: STEEPLE Analysis </w:t>
      </w:r>
    </w:p>
    <w:tbl>
      <w:tblPr>
        <w:tblStyle w:val="TableGrid"/>
        <w:tblW w:w="0" w:type="auto"/>
        <w:tblInd w:w="140" w:type="dxa"/>
        <w:tblLook w:val="04A0" w:firstRow="1" w:lastRow="0" w:firstColumn="1" w:lastColumn="0" w:noHBand="0" w:noVBand="1"/>
      </w:tblPr>
      <w:tblGrid>
        <w:gridCol w:w="2233"/>
        <w:gridCol w:w="2208"/>
        <w:gridCol w:w="2209"/>
        <w:gridCol w:w="2226"/>
      </w:tblGrid>
      <w:tr w:rsidR="00A9241C" w14:paraId="060C8BB8" w14:textId="77777777" w:rsidTr="00A9241C">
        <w:tc>
          <w:tcPr>
            <w:tcW w:w="2233" w:type="dxa"/>
          </w:tcPr>
          <w:p w14:paraId="422ADCFD" w14:textId="0CB11520" w:rsidR="00A9241C" w:rsidRDefault="00A9241C" w:rsidP="00A9241C">
            <w:pPr>
              <w:spacing w:line="360" w:lineRule="auto"/>
              <w:rPr>
                <w:rFonts w:ascii="Arial" w:hAnsi="Arial" w:cs="Arial"/>
                <w:b/>
                <w:bCs/>
              </w:rPr>
            </w:pPr>
            <w:r>
              <w:rPr>
                <w:rFonts w:ascii="Arial" w:hAnsi="Arial" w:cs="Arial"/>
                <w:b/>
                <w:bCs/>
              </w:rPr>
              <w:t>Factor</w:t>
            </w:r>
          </w:p>
        </w:tc>
        <w:tc>
          <w:tcPr>
            <w:tcW w:w="2208" w:type="dxa"/>
          </w:tcPr>
          <w:p w14:paraId="016CB7D8" w14:textId="3DE4DBD8" w:rsidR="00A9241C" w:rsidRDefault="00A9241C" w:rsidP="00522C4B">
            <w:pPr>
              <w:rPr>
                <w:rFonts w:ascii="Arial" w:hAnsi="Arial" w:cs="Arial"/>
                <w:b/>
                <w:bCs/>
              </w:rPr>
            </w:pPr>
            <w:r>
              <w:rPr>
                <w:rFonts w:ascii="Arial" w:hAnsi="Arial" w:cs="Arial"/>
                <w:b/>
                <w:bCs/>
              </w:rPr>
              <w:t xml:space="preserve">External change and cause </w:t>
            </w:r>
          </w:p>
        </w:tc>
        <w:tc>
          <w:tcPr>
            <w:tcW w:w="2209" w:type="dxa"/>
          </w:tcPr>
          <w:p w14:paraId="42D59C74" w14:textId="521B11F9" w:rsidR="00A9241C" w:rsidRDefault="00A9241C" w:rsidP="00522C4B">
            <w:pPr>
              <w:rPr>
                <w:rFonts w:ascii="Arial" w:hAnsi="Arial" w:cs="Arial"/>
                <w:b/>
                <w:bCs/>
              </w:rPr>
            </w:pPr>
            <w:r>
              <w:rPr>
                <w:rFonts w:ascii="Arial" w:hAnsi="Arial" w:cs="Arial"/>
                <w:b/>
                <w:bCs/>
              </w:rPr>
              <w:t xml:space="preserve">Effect of influencers / creators </w:t>
            </w:r>
          </w:p>
        </w:tc>
        <w:tc>
          <w:tcPr>
            <w:tcW w:w="2226" w:type="dxa"/>
          </w:tcPr>
          <w:p w14:paraId="17DFF6D2" w14:textId="4BAE739C" w:rsidR="00A9241C" w:rsidRDefault="00A9241C" w:rsidP="00522C4B">
            <w:pPr>
              <w:rPr>
                <w:rFonts w:ascii="Arial" w:hAnsi="Arial" w:cs="Arial"/>
                <w:b/>
                <w:bCs/>
              </w:rPr>
            </w:pPr>
            <w:r>
              <w:rPr>
                <w:rFonts w:ascii="Arial" w:hAnsi="Arial" w:cs="Arial"/>
                <w:b/>
                <w:bCs/>
              </w:rPr>
              <w:t xml:space="preserve">Opportunities and Threats </w:t>
            </w:r>
          </w:p>
        </w:tc>
      </w:tr>
      <w:tr w:rsidR="00A9241C" w14:paraId="6DBE3B06" w14:textId="77777777" w:rsidTr="00A9241C">
        <w:tc>
          <w:tcPr>
            <w:tcW w:w="2233" w:type="dxa"/>
          </w:tcPr>
          <w:p w14:paraId="2A58B284" w14:textId="35A55887" w:rsidR="00A9241C" w:rsidRDefault="00A9241C" w:rsidP="00A9241C">
            <w:pPr>
              <w:spacing w:line="360" w:lineRule="auto"/>
              <w:rPr>
                <w:rFonts w:ascii="Arial" w:hAnsi="Arial" w:cs="Arial"/>
                <w:b/>
                <w:bCs/>
              </w:rPr>
            </w:pPr>
            <w:r>
              <w:rPr>
                <w:rFonts w:ascii="Arial" w:hAnsi="Arial" w:cs="Arial"/>
                <w:b/>
                <w:bCs/>
              </w:rPr>
              <w:t>Social</w:t>
            </w:r>
          </w:p>
        </w:tc>
        <w:tc>
          <w:tcPr>
            <w:tcW w:w="2208" w:type="dxa"/>
          </w:tcPr>
          <w:p w14:paraId="27C52CEC" w14:textId="0F80800E" w:rsidR="00A9241C" w:rsidRDefault="00A9241C" w:rsidP="00522C4B">
            <w:pPr>
              <w:rPr>
                <w:rFonts w:ascii="Arial" w:hAnsi="Arial" w:cs="Arial"/>
                <w:b/>
                <w:bCs/>
              </w:rPr>
            </w:pPr>
            <w:r w:rsidRPr="00810CA4">
              <w:rPr>
                <w:rFonts w:ascii="Arial" w:hAnsi="Arial" w:cs="Arial"/>
              </w:rPr>
              <w:t>Audiences increasingly engage with personality-led, interactive and niche content.</w:t>
            </w:r>
          </w:p>
        </w:tc>
        <w:tc>
          <w:tcPr>
            <w:tcW w:w="2209" w:type="dxa"/>
          </w:tcPr>
          <w:p w14:paraId="525931B3" w14:textId="4B225F49" w:rsidR="00A9241C" w:rsidRDefault="00A9241C" w:rsidP="00522C4B">
            <w:pPr>
              <w:rPr>
                <w:rFonts w:ascii="Arial" w:hAnsi="Arial" w:cs="Arial"/>
                <w:b/>
                <w:bCs/>
              </w:rPr>
            </w:pPr>
            <w:r w:rsidRPr="00810CA4">
              <w:rPr>
                <w:rFonts w:ascii="Arial" w:hAnsi="Arial" w:cs="Arial"/>
              </w:rPr>
              <w:t>Creators must maintain engagement and manage public reputation.</w:t>
            </w:r>
          </w:p>
        </w:tc>
        <w:tc>
          <w:tcPr>
            <w:tcW w:w="2226" w:type="dxa"/>
          </w:tcPr>
          <w:p w14:paraId="42D4834F" w14:textId="4C432639" w:rsidR="00A9241C" w:rsidRDefault="00A9241C" w:rsidP="00522C4B">
            <w:pPr>
              <w:rPr>
                <w:rFonts w:ascii="Arial" w:hAnsi="Arial" w:cs="Arial"/>
                <w:b/>
                <w:bCs/>
              </w:rPr>
            </w:pPr>
            <w:r w:rsidRPr="00810CA4">
              <w:rPr>
                <w:rFonts w:ascii="Arial" w:hAnsi="Arial" w:cs="Arial"/>
              </w:rPr>
              <w:t>Opportunity: loyal communities. Threat: audience fatigue and reputational crises.</w:t>
            </w:r>
          </w:p>
        </w:tc>
      </w:tr>
      <w:tr w:rsidR="00A9241C" w14:paraId="25703297" w14:textId="77777777" w:rsidTr="00A9241C">
        <w:tc>
          <w:tcPr>
            <w:tcW w:w="2233" w:type="dxa"/>
          </w:tcPr>
          <w:p w14:paraId="35EB4067" w14:textId="7CF97284" w:rsidR="00A9241C" w:rsidRDefault="00A9241C" w:rsidP="00A9241C">
            <w:pPr>
              <w:spacing w:line="360" w:lineRule="auto"/>
              <w:rPr>
                <w:rFonts w:ascii="Arial" w:hAnsi="Arial" w:cs="Arial"/>
                <w:b/>
                <w:bCs/>
              </w:rPr>
            </w:pPr>
            <w:r>
              <w:rPr>
                <w:rFonts w:ascii="Arial" w:hAnsi="Arial" w:cs="Arial"/>
                <w:b/>
                <w:bCs/>
              </w:rPr>
              <w:t xml:space="preserve">Technological </w:t>
            </w:r>
          </w:p>
        </w:tc>
        <w:tc>
          <w:tcPr>
            <w:tcW w:w="2208" w:type="dxa"/>
          </w:tcPr>
          <w:p w14:paraId="1D128690" w14:textId="45C04059" w:rsidR="00A9241C" w:rsidRDefault="00A9241C" w:rsidP="00522C4B">
            <w:pPr>
              <w:rPr>
                <w:rFonts w:ascii="Arial" w:hAnsi="Arial" w:cs="Arial"/>
                <w:b/>
                <w:bCs/>
              </w:rPr>
            </w:pPr>
            <w:r w:rsidRPr="00810CA4">
              <w:rPr>
                <w:rFonts w:ascii="Arial" w:hAnsi="Arial" w:cs="Arial"/>
              </w:rPr>
              <w:t>Algorithms, AI tools, livestreaming and distribution systems evolve rapidly.</w:t>
            </w:r>
          </w:p>
        </w:tc>
        <w:tc>
          <w:tcPr>
            <w:tcW w:w="2209" w:type="dxa"/>
          </w:tcPr>
          <w:p w14:paraId="6AC0FF4D" w14:textId="4AA9B0FE" w:rsidR="00A9241C" w:rsidRDefault="00A9241C" w:rsidP="00522C4B">
            <w:pPr>
              <w:rPr>
                <w:rFonts w:ascii="Arial" w:hAnsi="Arial" w:cs="Arial"/>
                <w:b/>
                <w:bCs/>
              </w:rPr>
            </w:pPr>
            <w:r w:rsidRPr="00810CA4">
              <w:rPr>
                <w:rFonts w:ascii="Arial" w:hAnsi="Arial" w:cs="Arial"/>
              </w:rPr>
              <w:t>Creators must adapt production and distribution strategies.</w:t>
            </w:r>
          </w:p>
        </w:tc>
        <w:tc>
          <w:tcPr>
            <w:tcW w:w="2226" w:type="dxa"/>
          </w:tcPr>
          <w:p w14:paraId="090F27A2" w14:textId="12E20F65" w:rsidR="00A9241C" w:rsidRDefault="00A9241C" w:rsidP="00522C4B">
            <w:pPr>
              <w:rPr>
                <w:rFonts w:ascii="Arial" w:hAnsi="Arial" w:cs="Arial"/>
                <w:b/>
                <w:bCs/>
              </w:rPr>
            </w:pPr>
            <w:r w:rsidRPr="00810CA4">
              <w:rPr>
                <w:rFonts w:ascii="Arial" w:hAnsi="Arial" w:cs="Arial"/>
              </w:rPr>
              <w:t>Opportunity: lower costs and wider reach. Threat: platform dependence and saturation.</w:t>
            </w:r>
          </w:p>
        </w:tc>
      </w:tr>
      <w:tr w:rsidR="00A9241C" w14:paraId="23647636" w14:textId="77777777" w:rsidTr="00A9241C">
        <w:tc>
          <w:tcPr>
            <w:tcW w:w="2233" w:type="dxa"/>
          </w:tcPr>
          <w:p w14:paraId="5C51A24C" w14:textId="451EA97F" w:rsidR="00A9241C" w:rsidRDefault="00A9241C" w:rsidP="00A9241C">
            <w:pPr>
              <w:spacing w:line="360" w:lineRule="auto"/>
              <w:rPr>
                <w:rFonts w:ascii="Arial" w:hAnsi="Arial" w:cs="Arial"/>
                <w:b/>
                <w:bCs/>
              </w:rPr>
            </w:pPr>
            <w:r>
              <w:rPr>
                <w:rFonts w:ascii="Arial" w:hAnsi="Arial" w:cs="Arial"/>
                <w:b/>
                <w:bCs/>
              </w:rPr>
              <w:t>Economic</w:t>
            </w:r>
          </w:p>
        </w:tc>
        <w:tc>
          <w:tcPr>
            <w:tcW w:w="2208" w:type="dxa"/>
          </w:tcPr>
          <w:p w14:paraId="42CC1679" w14:textId="3BC32128" w:rsidR="00A9241C" w:rsidRDefault="00A9241C" w:rsidP="00522C4B">
            <w:pPr>
              <w:rPr>
                <w:rFonts w:ascii="Arial" w:hAnsi="Arial" w:cs="Arial"/>
                <w:b/>
                <w:bCs/>
              </w:rPr>
            </w:pPr>
            <w:r w:rsidRPr="00810CA4">
              <w:rPr>
                <w:rFonts w:ascii="Arial" w:hAnsi="Arial" w:cs="Arial"/>
              </w:rPr>
              <w:t>Advertising budgets fluctuate; sponsorship competition and production costs vary.</w:t>
            </w:r>
          </w:p>
        </w:tc>
        <w:tc>
          <w:tcPr>
            <w:tcW w:w="2209" w:type="dxa"/>
          </w:tcPr>
          <w:p w14:paraId="2A870A22" w14:textId="5664BCE4" w:rsidR="00A9241C" w:rsidRDefault="00A9241C" w:rsidP="00522C4B">
            <w:pPr>
              <w:rPr>
                <w:rFonts w:ascii="Arial" w:hAnsi="Arial" w:cs="Arial"/>
                <w:b/>
                <w:bCs/>
              </w:rPr>
            </w:pPr>
            <w:r w:rsidRPr="00810CA4">
              <w:rPr>
                <w:rFonts w:ascii="Arial" w:hAnsi="Arial" w:cs="Arial"/>
              </w:rPr>
              <w:t>Income can be unpredictable, especially with one revenue stream.</w:t>
            </w:r>
          </w:p>
        </w:tc>
        <w:tc>
          <w:tcPr>
            <w:tcW w:w="2226" w:type="dxa"/>
          </w:tcPr>
          <w:p w14:paraId="199C7C97" w14:textId="013383CB" w:rsidR="00A9241C" w:rsidRDefault="00A9241C" w:rsidP="00522C4B">
            <w:pPr>
              <w:rPr>
                <w:rFonts w:ascii="Arial" w:hAnsi="Arial" w:cs="Arial"/>
                <w:b/>
                <w:bCs/>
              </w:rPr>
            </w:pPr>
            <w:r w:rsidRPr="00810CA4">
              <w:rPr>
                <w:rFonts w:ascii="Arial" w:hAnsi="Arial" w:cs="Arial"/>
              </w:rPr>
              <w:t>Opportunity: subscriptions, products and licensing. Threat: unstable earnings.</w:t>
            </w:r>
          </w:p>
        </w:tc>
      </w:tr>
      <w:tr w:rsidR="00A9241C" w14:paraId="7B71E060" w14:textId="77777777" w:rsidTr="00A9241C">
        <w:tc>
          <w:tcPr>
            <w:tcW w:w="2233" w:type="dxa"/>
          </w:tcPr>
          <w:p w14:paraId="6017C8C9" w14:textId="6DF1B62B" w:rsidR="00A9241C" w:rsidRDefault="00A9241C" w:rsidP="00A9241C">
            <w:pPr>
              <w:spacing w:line="360" w:lineRule="auto"/>
              <w:rPr>
                <w:rFonts w:ascii="Arial" w:hAnsi="Arial" w:cs="Arial"/>
                <w:b/>
                <w:bCs/>
              </w:rPr>
            </w:pPr>
            <w:r>
              <w:rPr>
                <w:rFonts w:ascii="Arial" w:hAnsi="Arial" w:cs="Arial"/>
                <w:b/>
                <w:bCs/>
              </w:rPr>
              <w:t>Environmental</w:t>
            </w:r>
          </w:p>
        </w:tc>
        <w:tc>
          <w:tcPr>
            <w:tcW w:w="2208" w:type="dxa"/>
          </w:tcPr>
          <w:p w14:paraId="0B7EB8B0" w14:textId="6FC002CB" w:rsidR="00A9241C" w:rsidRDefault="00A9241C" w:rsidP="00522C4B">
            <w:pPr>
              <w:rPr>
                <w:rFonts w:ascii="Arial" w:hAnsi="Arial" w:cs="Arial"/>
                <w:b/>
                <w:bCs/>
              </w:rPr>
            </w:pPr>
            <w:r w:rsidRPr="00810CA4">
              <w:rPr>
                <w:rFonts w:ascii="Arial" w:hAnsi="Arial" w:cs="Arial"/>
              </w:rPr>
              <w:t>Streaming, storage and AI processing require digital infrastructure and energy.</w:t>
            </w:r>
          </w:p>
        </w:tc>
        <w:tc>
          <w:tcPr>
            <w:tcW w:w="2209" w:type="dxa"/>
          </w:tcPr>
          <w:p w14:paraId="17800079" w14:textId="68BB90F5" w:rsidR="00A9241C" w:rsidRDefault="00A9241C" w:rsidP="00522C4B">
            <w:pPr>
              <w:rPr>
                <w:rFonts w:ascii="Arial" w:hAnsi="Arial" w:cs="Arial"/>
                <w:b/>
                <w:bCs/>
              </w:rPr>
            </w:pPr>
            <w:r w:rsidRPr="00810CA4">
              <w:rPr>
                <w:rFonts w:ascii="Arial" w:hAnsi="Arial" w:cs="Arial"/>
              </w:rPr>
              <w:t>Creators may have limited visibility into their content footprint.</w:t>
            </w:r>
          </w:p>
        </w:tc>
        <w:tc>
          <w:tcPr>
            <w:tcW w:w="2226" w:type="dxa"/>
          </w:tcPr>
          <w:p w14:paraId="249ECED7" w14:textId="427B7AD3" w:rsidR="00A9241C" w:rsidRDefault="00A9241C" w:rsidP="00522C4B">
            <w:pPr>
              <w:rPr>
                <w:rFonts w:ascii="Arial" w:hAnsi="Arial" w:cs="Arial"/>
                <w:b/>
                <w:bCs/>
              </w:rPr>
            </w:pPr>
            <w:r w:rsidRPr="00810CA4">
              <w:rPr>
                <w:rFonts w:ascii="Arial" w:hAnsi="Arial" w:cs="Arial"/>
              </w:rPr>
              <w:t>Opportunity: efficient production. Threat: growing infrastructure demand.</w:t>
            </w:r>
          </w:p>
        </w:tc>
      </w:tr>
      <w:tr w:rsidR="00A9241C" w14:paraId="579552C5" w14:textId="77777777" w:rsidTr="00A9241C">
        <w:tc>
          <w:tcPr>
            <w:tcW w:w="2233" w:type="dxa"/>
          </w:tcPr>
          <w:p w14:paraId="5AB9ADA6" w14:textId="5F18C63D" w:rsidR="00A9241C" w:rsidRDefault="00A9241C" w:rsidP="00A9241C">
            <w:pPr>
              <w:spacing w:line="360" w:lineRule="auto"/>
              <w:rPr>
                <w:rFonts w:ascii="Arial" w:hAnsi="Arial" w:cs="Arial"/>
                <w:b/>
                <w:bCs/>
              </w:rPr>
            </w:pPr>
            <w:r>
              <w:rPr>
                <w:rFonts w:ascii="Arial" w:hAnsi="Arial" w:cs="Arial"/>
                <w:b/>
                <w:bCs/>
              </w:rPr>
              <w:t>Political</w:t>
            </w:r>
          </w:p>
        </w:tc>
        <w:tc>
          <w:tcPr>
            <w:tcW w:w="2208" w:type="dxa"/>
          </w:tcPr>
          <w:p w14:paraId="20478D00" w14:textId="6A1486BE" w:rsidR="00A9241C" w:rsidRDefault="00A9241C" w:rsidP="00522C4B">
            <w:pPr>
              <w:rPr>
                <w:rFonts w:ascii="Arial" w:hAnsi="Arial" w:cs="Arial"/>
                <w:b/>
                <w:bCs/>
              </w:rPr>
            </w:pPr>
            <w:r w:rsidRPr="00810CA4">
              <w:rPr>
                <w:rFonts w:ascii="Arial" w:hAnsi="Arial" w:cs="Arial"/>
              </w:rPr>
              <w:t>Governments debate platform accountability, online safety and AI governance.</w:t>
            </w:r>
          </w:p>
        </w:tc>
        <w:tc>
          <w:tcPr>
            <w:tcW w:w="2209" w:type="dxa"/>
          </w:tcPr>
          <w:p w14:paraId="73F90EB7" w14:textId="174BB13F" w:rsidR="00A9241C" w:rsidRDefault="00A9241C" w:rsidP="00522C4B">
            <w:pPr>
              <w:rPr>
                <w:rFonts w:ascii="Arial" w:hAnsi="Arial" w:cs="Arial"/>
                <w:b/>
                <w:bCs/>
              </w:rPr>
            </w:pPr>
            <w:r w:rsidRPr="00810CA4">
              <w:rPr>
                <w:rFonts w:ascii="Arial" w:hAnsi="Arial" w:cs="Arial"/>
              </w:rPr>
              <w:t>Policy changes can alter digital publishing conditions.</w:t>
            </w:r>
          </w:p>
        </w:tc>
        <w:tc>
          <w:tcPr>
            <w:tcW w:w="2226" w:type="dxa"/>
          </w:tcPr>
          <w:p w14:paraId="34B67AE4" w14:textId="4E0133D1" w:rsidR="00A9241C" w:rsidRDefault="00A9241C" w:rsidP="00522C4B">
            <w:pPr>
              <w:rPr>
                <w:rFonts w:ascii="Arial" w:hAnsi="Arial" w:cs="Arial"/>
                <w:b/>
                <w:bCs/>
              </w:rPr>
            </w:pPr>
            <w:r w:rsidRPr="00810CA4">
              <w:rPr>
                <w:rFonts w:ascii="Arial" w:hAnsi="Arial" w:cs="Arial"/>
              </w:rPr>
              <w:t>Opportunity: clearer standards. Threat: regulatory uncertainty.</w:t>
            </w:r>
          </w:p>
        </w:tc>
      </w:tr>
      <w:tr w:rsidR="00A9241C" w14:paraId="3CB72E41" w14:textId="77777777" w:rsidTr="00A9241C">
        <w:tc>
          <w:tcPr>
            <w:tcW w:w="2233" w:type="dxa"/>
          </w:tcPr>
          <w:p w14:paraId="16953685" w14:textId="73E0CF8E" w:rsidR="00A9241C" w:rsidRDefault="00A9241C" w:rsidP="00A9241C">
            <w:pPr>
              <w:spacing w:line="360" w:lineRule="auto"/>
              <w:rPr>
                <w:rFonts w:ascii="Arial" w:hAnsi="Arial" w:cs="Arial"/>
                <w:b/>
                <w:bCs/>
              </w:rPr>
            </w:pPr>
            <w:r>
              <w:rPr>
                <w:rFonts w:ascii="Arial" w:hAnsi="Arial" w:cs="Arial"/>
                <w:b/>
                <w:bCs/>
              </w:rPr>
              <w:t>Legal</w:t>
            </w:r>
          </w:p>
        </w:tc>
        <w:tc>
          <w:tcPr>
            <w:tcW w:w="2208" w:type="dxa"/>
          </w:tcPr>
          <w:p w14:paraId="755955D1" w14:textId="39D63C5B" w:rsidR="00A9241C" w:rsidRDefault="00A9241C" w:rsidP="00522C4B">
            <w:pPr>
              <w:rPr>
                <w:rFonts w:ascii="Arial" w:hAnsi="Arial" w:cs="Arial"/>
                <w:b/>
                <w:bCs/>
              </w:rPr>
            </w:pPr>
            <w:r w:rsidRPr="00810CA4">
              <w:rPr>
                <w:rFonts w:ascii="Arial" w:hAnsi="Arial" w:cs="Arial"/>
              </w:rPr>
              <w:t>Advertising disclosure, consumer protection, copyright and privacy rules affect creators.</w:t>
            </w:r>
          </w:p>
        </w:tc>
        <w:tc>
          <w:tcPr>
            <w:tcW w:w="2209" w:type="dxa"/>
          </w:tcPr>
          <w:p w14:paraId="7F3E3A65" w14:textId="2B140930" w:rsidR="00A9241C" w:rsidRDefault="00A9241C" w:rsidP="00522C4B">
            <w:pPr>
              <w:rPr>
                <w:rFonts w:ascii="Arial" w:hAnsi="Arial" w:cs="Arial"/>
                <w:b/>
                <w:bCs/>
              </w:rPr>
            </w:pPr>
            <w:r w:rsidRPr="00810CA4">
              <w:rPr>
                <w:rFonts w:ascii="Arial" w:hAnsi="Arial" w:cs="Arial"/>
              </w:rPr>
              <w:t>Creators need procedures for promotions, content rights and data.</w:t>
            </w:r>
          </w:p>
        </w:tc>
        <w:tc>
          <w:tcPr>
            <w:tcW w:w="2226" w:type="dxa"/>
          </w:tcPr>
          <w:p w14:paraId="11531E1E" w14:textId="53ED0BEA" w:rsidR="00A9241C" w:rsidRDefault="00A9241C" w:rsidP="00522C4B">
            <w:pPr>
              <w:rPr>
                <w:rFonts w:ascii="Arial" w:hAnsi="Arial" w:cs="Arial"/>
                <w:b/>
                <w:bCs/>
              </w:rPr>
            </w:pPr>
            <w:r w:rsidRPr="00810CA4">
              <w:rPr>
                <w:rFonts w:ascii="Arial" w:hAnsi="Arial" w:cs="Arial"/>
              </w:rPr>
              <w:t>Opportunity: transparency. Threat: complaints and legal exposure.</w:t>
            </w:r>
          </w:p>
        </w:tc>
      </w:tr>
      <w:tr w:rsidR="00A9241C" w14:paraId="0EA856A3" w14:textId="77777777" w:rsidTr="00A9241C">
        <w:tc>
          <w:tcPr>
            <w:tcW w:w="2233" w:type="dxa"/>
          </w:tcPr>
          <w:p w14:paraId="5A7646C8" w14:textId="02B0B3E4" w:rsidR="00A9241C" w:rsidRDefault="00A9241C" w:rsidP="00A9241C">
            <w:pPr>
              <w:spacing w:line="360" w:lineRule="auto"/>
              <w:rPr>
                <w:rFonts w:ascii="Arial" w:hAnsi="Arial" w:cs="Arial"/>
                <w:b/>
                <w:bCs/>
              </w:rPr>
            </w:pPr>
            <w:r>
              <w:rPr>
                <w:rFonts w:ascii="Arial" w:hAnsi="Arial" w:cs="Arial"/>
                <w:b/>
                <w:bCs/>
              </w:rPr>
              <w:t xml:space="preserve">Ethical </w:t>
            </w:r>
          </w:p>
        </w:tc>
        <w:tc>
          <w:tcPr>
            <w:tcW w:w="2208" w:type="dxa"/>
          </w:tcPr>
          <w:p w14:paraId="06865854" w14:textId="1394B5FE" w:rsidR="00A9241C" w:rsidRDefault="00A9241C" w:rsidP="00522C4B">
            <w:pPr>
              <w:rPr>
                <w:rFonts w:ascii="Arial" w:hAnsi="Arial" w:cs="Arial"/>
                <w:b/>
                <w:bCs/>
              </w:rPr>
            </w:pPr>
            <w:r w:rsidRPr="00810CA4">
              <w:rPr>
                <w:rFonts w:ascii="Arial" w:hAnsi="Arial" w:cs="Arial"/>
              </w:rPr>
              <w:t>Concerns persist about authenticity, misinformation, hidden advertising and harmful content.</w:t>
            </w:r>
          </w:p>
        </w:tc>
        <w:tc>
          <w:tcPr>
            <w:tcW w:w="2209" w:type="dxa"/>
          </w:tcPr>
          <w:p w14:paraId="6AF730AE" w14:textId="3DFD483D" w:rsidR="00A9241C" w:rsidRDefault="00A9241C" w:rsidP="00522C4B">
            <w:pPr>
              <w:rPr>
                <w:rFonts w:ascii="Arial" w:hAnsi="Arial" w:cs="Arial"/>
                <w:b/>
                <w:bCs/>
              </w:rPr>
            </w:pPr>
            <w:r w:rsidRPr="00810CA4">
              <w:rPr>
                <w:rFonts w:ascii="Arial" w:hAnsi="Arial" w:cs="Arial"/>
              </w:rPr>
              <w:t>Creators must balance commercial incentives with audience welfare.</w:t>
            </w:r>
          </w:p>
        </w:tc>
        <w:tc>
          <w:tcPr>
            <w:tcW w:w="2226" w:type="dxa"/>
          </w:tcPr>
          <w:p w14:paraId="28137CD2" w14:textId="678ECE1B" w:rsidR="00A9241C" w:rsidRDefault="00A9241C" w:rsidP="00522C4B">
            <w:pPr>
              <w:rPr>
                <w:rFonts w:ascii="Arial" w:hAnsi="Arial" w:cs="Arial"/>
                <w:b/>
                <w:bCs/>
              </w:rPr>
            </w:pPr>
            <w:r w:rsidRPr="00810CA4">
              <w:rPr>
                <w:rFonts w:ascii="Arial" w:hAnsi="Arial" w:cs="Arial"/>
              </w:rPr>
              <w:t>Opportunity: long-term trust. Threat: loss of credibility and audience harm.</w:t>
            </w:r>
          </w:p>
        </w:tc>
      </w:tr>
    </w:tbl>
    <w:p w14:paraId="413F9035" w14:textId="77777777" w:rsidR="00522C4B" w:rsidRDefault="00522C4B" w:rsidP="00522C4B">
      <w:pPr>
        <w:spacing w:line="360" w:lineRule="auto"/>
        <w:jc w:val="both"/>
      </w:pPr>
      <w:r w:rsidRPr="00522C4B">
        <w:rPr>
          <w:b/>
          <w:bCs/>
        </w:rPr>
        <w:lastRenderedPageBreak/>
        <w:t xml:space="preserve">Critical evaluation: </w:t>
      </w:r>
      <w:r>
        <w:t>STEEPLE factors are interconnected. AI is technological but also raises ethical questions about authenticity, legal questions about intellectual property and economic questions about production costs. Advertising regulation creates compliance responsibilities while helping audiences identify commercial content.</w:t>
      </w:r>
    </w:p>
    <w:p w14:paraId="56C4EEE8" w14:textId="35659A74" w:rsidR="00A9241C" w:rsidRPr="00A9241C" w:rsidRDefault="00A9241C" w:rsidP="00A9241C">
      <w:pPr>
        <w:spacing w:line="360" w:lineRule="auto"/>
        <w:ind w:left="140"/>
        <w:rPr>
          <w:rFonts w:ascii="Arial" w:hAnsi="Arial" w:cs="Arial"/>
          <w:b/>
          <w:bCs/>
        </w:rPr>
      </w:pPr>
    </w:p>
    <w:p w14:paraId="5426055D" w14:textId="77777777" w:rsidR="00380524" w:rsidRPr="00380524" w:rsidRDefault="00380524" w:rsidP="00380524">
      <w:pPr>
        <w:spacing w:line="360" w:lineRule="auto"/>
        <w:jc w:val="both"/>
        <w:rPr>
          <w:rFonts w:ascii="Arial" w:hAnsi="Arial" w:cs="Arial"/>
          <w:b/>
          <w:bCs/>
        </w:rPr>
      </w:pPr>
    </w:p>
    <w:p w14:paraId="361ECE4B" w14:textId="77777777" w:rsidR="00A9241C" w:rsidRPr="00A9241C" w:rsidRDefault="00A9241C" w:rsidP="00A9241C">
      <w:pPr>
        <w:pStyle w:val="ListParagraph"/>
        <w:numPr>
          <w:ilvl w:val="0"/>
          <w:numId w:val="7"/>
        </w:numPr>
        <w:spacing w:line="360" w:lineRule="auto"/>
        <w:jc w:val="both"/>
        <w:rPr>
          <w:rFonts w:ascii="Arial" w:hAnsi="Arial" w:cs="Arial"/>
          <w:b/>
          <w:bCs/>
          <w:color w:val="000000" w:themeColor="text1"/>
          <w:sz w:val="28"/>
          <w:szCs w:val="28"/>
        </w:rPr>
      </w:pPr>
      <w:r w:rsidRPr="00A9241C">
        <w:rPr>
          <w:rFonts w:ascii="Arial" w:hAnsi="Arial" w:cs="Arial"/>
          <w:b/>
          <w:bCs/>
          <w:color w:val="000000" w:themeColor="text1"/>
          <w:sz w:val="28"/>
          <w:szCs w:val="28"/>
        </w:rPr>
        <w:t xml:space="preserve">Appendix B: SWOT Analysis </w:t>
      </w:r>
    </w:p>
    <w:p w14:paraId="564D21B1" w14:textId="77777777" w:rsidR="00380524" w:rsidRPr="00A9241C" w:rsidRDefault="00380524" w:rsidP="00A9241C">
      <w:pPr>
        <w:pStyle w:val="ListParagraph"/>
        <w:spacing w:line="360" w:lineRule="auto"/>
        <w:ind w:left="860"/>
        <w:jc w:val="both"/>
        <w:rPr>
          <w:rFonts w:ascii="Arial" w:hAnsi="Arial" w:cs="Arial"/>
        </w:rPr>
      </w:pPr>
    </w:p>
    <w:tbl>
      <w:tblPr>
        <w:tblStyle w:val="TableGrid"/>
        <w:tblW w:w="0" w:type="auto"/>
        <w:tblInd w:w="720" w:type="dxa"/>
        <w:tblLook w:val="04A0" w:firstRow="1" w:lastRow="0" w:firstColumn="1" w:lastColumn="0" w:noHBand="0" w:noVBand="1"/>
      </w:tblPr>
      <w:tblGrid>
        <w:gridCol w:w="2044"/>
        <w:gridCol w:w="2117"/>
        <w:gridCol w:w="2148"/>
        <w:gridCol w:w="1987"/>
      </w:tblGrid>
      <w:tr w:rsidR="00522C4B" w14:paraId="340178BE" w14:textId="77777777" w:rsidTr="00522C4B">
        <w:tc>
          <w:tcPr>
            <w:tcW w:w="2044" w:type="dxa"/>
          </w:tcPr>
          <w:p w14:paraId="05B1EAA0" w14:textId="2E3940D6" w:rsidR="00522C4B" w:rsidRPr="00522C4B" w:rsidRDefault="00522C4B" w:rsidP="00380524">
            <w:pPr>
              <w:pStyle w:val="ListParagraph"/>
              <w:spacing w:line="360" w:lineRule="auto"/>
              <w:ind w:left="0"/>
              <w:rPr>
                <w:rFonts w:ascii="Arial" w:hAnsi="Arial" w:cs="Arial"/>
                <w:b/>
                <w:bCs/>
                <w:color w:val="000000" w:themeColor="text1"/>
              </w:rPr>
            </w:pPr>
            <w:r>
              <w:rPr>
                <w:rFonts w:ascii="Arial" w:hAnsi="Arial" w:cs="Arial"/>
                <w:b/>
                <w:bCs/>
                <w:color w:val="000000" w:themeColor="text1"/>
              </w:rPr>
              <w:t xml:space="preserve">Strengths </w:t>
            </w:r>
          </w:p>
        </w:tc>
        <w:tc>
          <w:tcPr>
            <w:tcW w:w="2117" w:type="dxa"/>
          </w:tcPr>
          <w:p w14:paraId="15829D8C" w14:textId="18CF2580" w:rsidR="00522C4B" w:rsidRPr="00522C4B" w:rsidRDefault="00522C4B" w:rsidP="00380524">
            <w:pPr>
              <w:pStyle w:val="ListParagraph"/>
              <w:spacing w:line="360" w:lineRule="auto"/>
              <w:ind w:left="0"/>
              <w:rPr>
                <w:rFonts w:ascii="Arial" w:hAnsi="Arial" w:cs="Arial"/>
                <w:b/>
                <w:bCs/>
                <w:color w:val="000000" w:themeColor="text1"/>
              </w:rPr>
            </w:pPr>
            <w:r w:rsidRPr="00522C4B">
              <w:rPr>
                <w:rFonts w:ascii="Arial" w:hAnsi="Arial" w:cs="Arial"/>
                <w:b/>
                <w:bCs/>
                <w:color w:val="000000" w:themeColor="text1"/>
              </w:rPr>
              <w:t xml:space="preserve">Weaknesses </w:t>
            </w:r>
          </w:p>
        </w:tc>
        <w:tc>
          <w:tcPr>
            <w:tcW w:w="2148" w:type="dxa"/>
          </w:tcPr>
          <w:p w14:paraId="4EE2B7C9" w14:textId="74CDDE78" w:rsidR="00522C4B" w:rsidRPr="00522C4B" w:rsidRDefault="00522C4B" w:rsidP="00380524">
            <w:pPr>
              <w:pStyle w:val="ListParagraph"/>
              <w:spacing w:line="360" w:lineRule="auto"/>
              <w:ind w:left="0"/>
              <w:rPr>
                <w:rFonts w:ascii="Arial" w:hAnsi="Arial" w:cs="Arial"/>
                <w:b/>
                <w:bCs/>
                <w:color w:val="000000" w:themeColor="text1"/>
              </w:rPr>
            </w:pPr>
            <w:r w:rsidRPr="00522C4B">
              <w:rPr>
                <w:rFonts w:ascii="Arial" w:hAnsi="Arial" w:cs="Arial"/>
                <w:b/>
                <w:bCs/>
                <w:color w:val="000000" w:themeColor="text1"/>
              </w:rPr>
              <w:t xml:space="preserve">Opportunities </w:t>
            </w:r>
          </w:p>
        </w:tc>
        <w:tc>
          <w:tcPr>
            <w:tcW w:w="1987" w:type="dxa"/>
          </w:tcPr>
          <w:p w14:paraId="6AB16F23" w14:textId="41532526" w:rsidR="00522C4B" w:rsidRPr="00522C4B" w:rsidRDefault="00522C4B" w:rsidP="00380524">
            <w:pPr>
              <w:pStyle w:val="ListParagraph"/>
              <w:spacing w:line="360" w:lineRule="auto"/>
              <w:ind w:left="0"/>
              <w:rPr>
                <w:rFonts w:ascii="Arial" w:hAnsi="Arial" w:cs="Arial"/>
                <w:b/>
                <w:bCs/>
                <w:color w:val="000000" w:themeColor="text1"/>
              </w:rPr>
            </w:pPr>
            <w:r w:rsidRPr="00522C4B">
              <w:rPr>
                <w:rFonts w:ascii="Arial" w:hAnsi="Arial" w:cs="Arial"/>
                <w:b/>
                <w:bCs/>
                <w:color w:val="000000" w:themeColor="text1"/>
              </w:rPr>
              <w:t>Threats</w:t>
            </w:r>
          </w:p>
        </w:tc>
      </w:tr>
      <w:tr w:rsidR="00522C4B" w14:paraId="7C7ACEFF" w14:textId="77777777" w:rsidTr="00522C4B">
        <w:tc>
          <w:tcPr>
            <w:tcW w:w="2044" w:type="dxa"/>
          </w:tcPr>
          <w:p w14:paraId="3781E17F" w14:textId="57BD4D11" w:rsidR="00522C4B" w:rsidRDefault="00522C4B" w:rsidP="00522C4B">
            <w:pPr>
              <w:pStyle w:val="ListParagraph"/>
              <w:ind w:left="0"/>
              <w:rPr>
                <w:rFonts w:ascii="Arial" w:hAnsi="Arial" w:cs="Arial"/>
                <w:color w:val="000000" w:themeColor="text1"/>
              </w:rPr>
            </w:pPr>
            <w:r w:rsidRPr="000F1C3B">
              <w:rPr>
                <w:rFonts w:ascii="Arial" w:hAnsi="Arial" w:cs="Arial"/>
              </w:rPr>
              <w:t>Direct communication with audiences.</w:t>
            </w:r>
          </w:p>
        </w:tc>
        <w:tc>
          <w:tcPr>
            <w:tcW w:w="2117" w:type="dxa"/>
          </w:tcPr>
          <w:p w14:paraId="0CB4A220" w14:textId="5389232B" w:rsidR="00522C4B" w:rsidRDefault="00522C4B" w:rsidP="00522C4B">
            <w:pPr>
              <w:pStyle w:val="ListParagraph"/>
              <w:ind w:left="0"/>
              <w:rPr>
                <w:rFonts w:ascii="Arial" w:hAnsi="Arial" w:cs="Arial"/>
                <w:color w:val="000000" w:themeColor="text1"/>
              </w:rPr>
            </w:pPr>
            <w:r w:rsidRPr="000F1C3B">
              <w:rPr>
                <w:rFonts w:ascii="Arial" w:hAnsi="Arial" w:cs="Arial"/>
              </w:rPr>
              <w:t>Dependence on third-party platforms and algorithms.</w:t>
            </w:r>
          </w:p>
        </w:tc>
        <w:tc>
          <w:tcPr>
            <w:tcW w:w="2148" w:type="dxa"/>
          </w:tcPr>
          <w:p w14:paraId="08BC6910" w14:textId="18694F6A" w:rsidR="00522C4B" w:rsidRDefault="00522C4B" w:rsidP="00522C4B">
            <w:pPr>
              <w:pStyle w:val="ListParagraph"/>
              <w:ind w:left="0"/>
              <w:rPr>
                <w:rFonts w:ascii="Arial" w:hAnsi="Arial" w:cs="Arial"/>
                <w:color w:val="000000" w:themeColor="text1"/>
              </w:rPr>
            </w:pPr>
            <w:r>
              <w:t>AI-assisted production and translation</w:t>
            </w:r>
            <w:r>
              <w:t>.</w:t>
            </w:r>
          </w:p>
        </w:tc>
        <w:tc>
          <w:tcPr>
            <w:tcW w:w="1987" w:type="dxa"/>
          </w:tcPr>
          <w:p w14:paraId="3F175092" w14:textId="1518DD6D" w:rsidR="00522C4B" w:rsidRDefault="00522C4B" w:rsidP="00522C4B">
            <w:pPr>
              <w:pStyle w:val="ListParagraph"/>
              <w:ind w:left="0"/>
              <w:rPr>
                <w:rFonts w:ascii="Arial" w:hAnsi="Arial" w:cs="Arial"/>
                <w:color w:val="000000" w:themeColor="text1"/>
              </w:rPr>
            </w:pPr>
            <w:r>
              <w:t>Content saturation and intense competition.</w:t>
            </w:r>
          </w:p>
        </w:tc>
      </w:tr>
      <w:tr w:rsidR="00522C4B" w14:paraId="5F39B35C" w14:textId="77777777" w:rsidTr="00522C4B">
        <w:tc>
          <w:tcPr>
            <w:tcW w:w="2044" w:type="dxa"/>
          </w:tcPr>
          <w:p w14:paraId="0E64044D" w14:textId="19F3699F" w:rsidR="00522C4B" w:rsidRDefault="00522C4B" w:rsidP="00522C4B">
            <w:pPr>
              <w:pStyle w:val="ListParagraph"/>
              <w:ind w:left="0"/>
              <w:jc w:val="both"/>
              <w:rPr>
                <w:rFonts w:ascii="Arial" w:hAnsi="Arial" w:cs="Arial"/>
                <w:color w:val="000000" w:themeColor="text1"/>
              </w:rPr>
            </w:pPr>
            <w:r w:rsidRPr="000F1C3B">
              <w:rPr>
                <w:rFonts w:ascii="Arial" w:hAnsi="Arial" w:cs="Arial"/>
              </w:rPr>
              <w:t>Accessible routes into digital publishing.</w:t>
            </w:r>
          </w:p>
        </w:tc>
        <w:tc>
          <w:tcPr>
            <w:tcW w:w="2117" w:type="dxa"/>
          </w:tcPr>
          <w:p w14:paraId="2E05B499" w14:textId="08CADBF0" w:rsidR="00522C4B" w:rsidRDefault="00522C4B" w:rsidP="00522C4B">
            <w:pPr>
              <w:pStyle w:val="ListParagraph"/>
              <w:ind w:left="0"/>
              <w:rPr>
                <w:rFonts w:ascii="Arial" w:hAnsi="Arial" w:cs="Arial"/>
                <w:color w:val="000000" w:themeColor="text1"/>
              </w:rPr>
            </w:pPr>
            <w:r w:rsidRPr="000F1C3B">
              <w:rPr>
                <w:rFonts w:ascii="Arial" w:hAnsi="Arial" w:cs="Arial"/>
              </w:rPr>
              <w:t>Unequal income distribution and uncertain earnings.</w:t>
            </w:r>
          </w:p>
        </w:tc>
        <w:tc>
          <w:tcPr>
            <w:tcW w:w="2148" w:type="dxa"/>
          </w:tcPr>
          <w:p w14:paraId="2BEE1505" w14:textId="3CADC14E" w:rsidR="00522C4B" w:rsidRDefault="00522C4B" w:rsidP="00522C4B">
            <w:pPr>
              <w:pStyle w:val="ListParagraph"/>
              <w:ind w:left="0"/>
              <w:rPr>
                <w:rFonts w:ascii="Arial" w:hAnsi="Arial" w:cs="Arial"/>
                <w:color w:val="000000" w:themeColor="text1"/>
              </w:rPr>
            </w:pPr>
            <w:r>
              <w:t>Direct-to-consumer products and paid communities.</w:t>
            </w:r>
          </w:p>
        </w:tc>
        <w:tc>
          <w:tcPr>
            <w:tcW w:w="1987" w:type="dxa"/>
          </w:tcPr>
          <w:p w14:paraId="67A92693" w14:textId="21AEF9E3" w:rsidR="00522C4B" w:rsidRDefault="00522C4B" w:rsidP="00522C4B">
            <w:pPr>
              <w:pStyle w:val="ListParagraph"/>
              <w:ind w:left="0"/>
              <w:rPr>
                <w:rFonts w:ascii="Arial" w:hAnsi="Arial" w:cs="Arial"/>
                <w:color w:val="000000" w:themeColor="text1"/>
              </w:rPr>
            </w:pPr>
            <w:r>
              <w:t>Algorithm changes and account restrictions.</w:t>
            </w:r>
          </w:p>
        </w:tc>
      </w:tr>
      <w:tr w:rsidR="00522C4B" w14:paraId="4A911942" w14:textId="77777777" w:rsidTr="00522C4B">
        <w:tc>
          <w:tcPr>
            <w:tcW w:w="2044" w:type="dxa"/>
          </w:tcPr>
          <w:p w14:paraId="43A2C815" w14:textId="7F331DC0" w:rsidR="00522C4B" w:rsidRDefault="00522C4B" w:rsidP="00522C4B">
            <w:pPr>
              <w:pStyle w:val="ListParagraph"/>
              <w:ind w:left="0"/>
              <w:rPr>
                <w:rFonts w:ascii="Arial" w:hAnsi="Arial" w:cs="Arial"/>
                <w:color w:val="000000" w:themeColor="text1"/>
              </w:rPr>
            </w:pPr>
            <w:r w:rsidRPr="000F1C3B">
              <w:rPr>
                <w:rFonts w:ascii="Arial" w:hAnsi="Arial" w:cs="Arial"/>
              </w:rPr>
              <w:t>Ability to serve specialist communities.</w:t>
            </w:r>
          </w:p>
        </w:tc>
        <w:tc>
          <w:tcPr>
            <w:tcW w:w="2117" w:type="dxa"/>
          </w:tcPr>
          <w:p w14:paraId="56E2AA8A" w14:textId="751C597B" w:rsidR="00522C4B" w:rsidRDefault="00522C4B" w:rsidP="00522C4B">
            <w:pPr>
              <w:pStyle w:val="ListParagraph"/>
              <w:ind w:left="0"/>
              <w:rPr>
                <w:rFonts w:ascii="Arial" w:hAnsi="Arial" w:cs="Arial"/>
                <w:color w:val="000000" w:themeColor="text1"/>
              </w:rPr>
            </w:pPr>
            <w:r w:rsidRPr="000F1C3B">
              <w:rPr>
                <w:rFonts w:ascii="Arial" w:hAnsi="Arial" w:cs="Arial"/>
              </w:rPr>
              <w:t>Pressure to publish frequently and maintain visibility.</w:t>
            </w:r>
          </w:p>
        </w:tc>
        <w:tc>
          <w:tcPr>
            <w:tcW w:w="2148" w:type="dxa"/>
          </w:tcPr>
          <w:p w14:paraId="50B552F6" w14:textId="24A04F34" w:rsidR="00522C4B" w:rsidRDefault="00522C4B" w:rsidP="00522C4B">
            <w:pPr>
              <w:pStyle w:val="ListParagraph"/>
              <w:ind w:left="0"/>
              <w:rPr>
                <w:rFonts w:ascii="Arial" w:hAnsi="Arial" w:cs="Arial"/>
                <w:color w:val="000000" w:themeColor="text1"/>
              </w:rPr>
            </w:pPr>
            <w:r>
              <w:t>International audiences and cross-platform distribution.</w:t>
            </w:r>
          </w:p>
        </w:tc>
        <w:tc>
          <w:tcPr>
            <w:tcW w:w="1987" w:type="dxa"/>
          </w:tcPr>
          <w:p w14:paraId="573C979C" w14:textId="38CD132E" w:rsidR="00522C4B" w:rsidRDefault="00522C4B" w:rsidP="00522C4B">
            <w:pPr>
              <w:pStyle w:val="ListParagraph"/>
              <w:ind w:left="0"/>
              <w:rPr>
                <w:rFonts w:ascii="Arial" w:hAnsi="Arial" w:cs="Arial"/>
                <w:color w:val="000000" w:themeColor="text1"/>
              </w:rPr>
            </w:pPr>
            <w:r>
              <w:t>Reputational damage and undisclosed advertising.</w:t>
            </w:r>
          </w:p>
        </w:tc>
      </w:tr>
      <w:tr w:rsidR="00522C4B" w14:paraId="777C249A" w14:textId="77777777" w:rsidTr="00522C4B">
        <w:tc>
          <w:tcPr>
            <w:tcW w:w="2044" w:type="dxa"/>
          </w:tcPr>
          <w:p w14:paraId="3B82CDCC" w14:textId="1CC3CE00" w:rsidR="00522C4B" w:rsidRDefault="00522C4B" w:rsidP="00522C4B">
            <w:pPr>
              <w:pStyle w:val="ListParagraph"/>
              <w:ind w:left="0"/>
              <w:rPr>
                <w:rFonts w:ascii="Arial" w:hAnsi="Arial" w:cs="Arial"/>
                <w:color w:val="000000" w:themeColor="text1"/>
              </w:rPr>
            </w:pPr>
            <w:r w:rsidRPr="000F1C3B">
              <w:rPr>
                <w:rFonts w:ascii="Arial" w:hAnsi="Arial" w:cs="Arial"/>
              </w:rPr>
              <w:t>Flexible formats, including livestreams, podcasts and products.</w:t>
            </w:r>
          </w:p>
        </w:tc>
        <w:tc>
          <w:tcPr>
            <w:tcW w:w="2117" w:type="dxa"/>
          </w:tcPr>
          <w:p w14:paraId="241DD644" w14:textId="7339F963" w:rsidR="00522C4B" w:rsidRDefault="00522C4B" w:rsidP="00522C4B">
            <w:pPr>
              <w:pStyle w:val="ListParagraph"/>
              <w:ind w:left="0"/>
              <w:rPr>
                <w:rFonts w:ascii="Arial" w:hAnsi="Arial" w:cs="Arial"/>
                <w:color w:val="000000" w:themeColor="text1"/>
              </w:rPr>
            </w:pPr>
            <w:r w:rsidRPr="000F1C3B">
              <w:rPr>
                <w:rFonts w:ascii="Arial" w:hAnsi="Arial" w:cs="Arial"/>
              </w:rPr>
              <w:t>Smaller creators may lack legal, financial and production support.</w:t>
            </w:r>
          </w:p>
        </w:tc>
        <w:tc>
          <w:tcPr>
            <w:tcW w:w="2148" w:type="dxa"/>
          </w:tcPr>
          <w:p w14:paraId="27B1A94D" w14:textId="2624DB09" w:rsidR="00522C4B" w:rsidRDefault="00522C4B" w:rsidP="00522C4B">
            <w:pPr>
              <w:pStyle w:val="ListParagraph"/>
              <w:ind w:left="0"/>
              <w:rPr>
                <w:rFonts w:ascii="Arial" w:hAnsi="Arial" w:cs="Arial"/>
                <w:color w:val="000000" w:themeColor="text1"/>
              </w:rPr>
            </w:pPr>
            <w:r>
              <w:t>Licensing and creator-owned intellectual property.</w:t>
            </w:r>
          </w:p>
        </w:tc>
        <w:tc>
          <w:tcPr>
            <w:tcW w:w="1987" w:type="dxa"/>
          </w:tcPr>
          <w:p w14:paraId="65B8A418" w14:textId="57EC47B7" w:rsidR="00522C4B" w:rsidRDefault="00522C4B" w:rsidP="00522C4B">
            <w:pPr>
              <w:pStyle w:val="ListParagraph"/>
              <w:ind w:left="0"/>
              <w:rPr>
                <w:rFonts w:ascii="Arial" w:hAnsi="Arial" w:cs="Arial"/>
                <w:color w:val="000000" w:themeColor="text1"/>
              </w:rPr>
            </w:pPr>
            <w:r>
              <w:t>Copyright disputes and fluctuating advertising budgets.</w:t>
            </w:r>
          </w:p>
        </w:tc>
      </w:tr>
    </w:tbl>
    <w:p w14:paraId="246BBB92" w14:textId="77777777" w:rsidR="00380524" w:rsidRPr="00380524" w:rsidRDefault="00380524" w:rsidP="00522C4B">
      <w:pPr>
        <w:pStyle w:val="ListParagraph"/>
        <w:spacing w:line="360" w:lineRule="auto"/>
        <w:jc w:val="both"/>
        <w:rPr>
          <w:rFonts w:ascii="Arial" w:hAnsi="Arial" w:cs="Arial"/>
          <w:color w:val="000000" w:themeColor="text1"/>
        </w:rPr>
      </w:pPr>
    </w:p>
    <w:p w14:paraId="3ADF445B" w14:textId="77777777" w:rsidR="00522C4B" w:rsidRDefault="00522C4B" w:rsidP="00522C4B">
      <w:pPr>
        <w:spacing w:line="360" w:lineRule="auto"/>
        <w:jc w:val="both"/>
      </w:pPr>
      <w:r w:rsidRPr="00522C4B">
        <w:rPr>
          <w:b/>
          <w:bCs/>
        </w:rPr>
        <w:t>Critical evaluation:</w:t>
      </w:r>
      <w:r>
        <w:t xml:space="preserve"> Direct audience access is a strength, but it can become a weakness when controlled by external platforms. AI may reduce production costs while intensifying competition. Resilience requires audience relationships, diversified revenue, credible content and compliance.</w:t>
      </w:r>
    </w:p>
    <w:p w14:paraId="63ABF8BE" w14:textId="4293C759" w:rsidR="00455438" w:rsidRPr="00455438" w:rsidRDefault="00455438" w:rsidP="00455438">
      <w:pPr>
        <w:pStyle w:val="ListParagraph"/>
        <w:spacing w:line="360" w:lineRule="auto"/>
        <w:ind w:left="1140"/>
        <w:rPr>
          <w:rFonts w:ascii="Arial" w:hAnsi="Arial" w:cs="Arial"/>
          <w:b/>
          <w:bCs/>
        </w:rPr>
      </w:pPr>
    </w:p>
    <w:p w14:paraId="35942240" w14:textId="2A283429" w:rsidR="00455438" w:rsidRPr="00455438" w:rsidRDefault="00455438" w:rsidP="00455438">
      <w:pPr>
        <w:pStyle w:val="ListParagraph"/>
        <w:spacing w:line="360" w:lineRule="auto"/>
        <w:jc w:val="both"/>
        <w:rPr>
          <w:rFonts w:ascii="Arial" w:hAnsi="Arial" w:cs="Arial"/>
        </w:rPr>
      </w:pPr>
    </w:p>
    <w:p w14:paraId="4F122EAF" w14:textId="77777777" w:rsidR="00455438" w:rsidRPr="00455438" w:rsidRDefault="00455438" w:rsidP="00455438">
      <w:pPr>
        <w:pStyle w:val="ListParagraph"/>
        <w:spacing w:line="360" w:lineRule="auto"/>
        <w:ind w:left="1140"/>
        <w:jc w:val="both"/>
        <w:rPr>
          <w:rFonts w:ascii="Arial" w:hAnsi="Arial" w:cs="Arial"/>
        </w:rPr>
      </w:pPr>
    </w:p>
    <w:p w14:paraId="401B8888" w14:textId="77777777" w:rsidR="00522C4B" w:rsidRPr="00522C4B" w:rsidRDefault="00522C4B" w:rsidP="00522C4B">
      <w:pPr>
        <w:pStyle w:val="ListParagraph"/>
        <w:spacing w:line="360" w:lineRule="auto"/>
        <w:ind w:left="860"/>
        <w:jc w:val="both"/>
        <w:rPr>
          <w:rFonts w:ascii="Arial" w:hAnsi="Arial" w:cs="Arial"/>
          <w:b/>
          <w:bCs/>
          <w:sz w:val="28"/>
          <w:szCs w:val="28"/>
        </w:rPr>
      </w:pPr>
    </w:p>
    <w:p w14:paraId="35C90BB2" w14:textId="2B178379" w:rsidR="00522C4B" w:rsidRDefault="003452C8" w:rsidP="00522C4B">
      <w:pPr>
        <w:pStyle w:val="ListParagraph"/>
        <w:numPr>
          <w:ilvl w:val="0"/>
          <w:numId w:val="7"/>
        </w:numPr>
        <w:spacing w:line="360" w:lineRule="auto"/>
        <w:jc w:val="both"/>
        <w:rPr>
          <w:rFonts w:ascii="Arial" w:hAnsi="Arial" w:cs="Arial"/>
          <w:b/>
          <w:bCs/>
          <w:sz w:val="28"/>
          <w:szCs w:val="28"/>
        </w:rPr>
      </w:pPr>
      <w:r w:rsidRPr="00522C4B">
        <w:rPr>
          <w:b/>
          <w:bCs/>
          <w:sz w:val="28"/>
          <w:szCs w:val="28"/>
        </w:rPr>
        <w:lastRenderedPageBreak/>
        <w:t xml:space="preserve"> </w:t>
      </w:r>
      <w:r w:rsidR="00522C4B" w:rsidRPr="00522C4B">
        <w:rPr>
          <w:rFonts w:ascii="Arial" w:hAnsi="Arial" w:cs="Arial"/>
          <w:b/>
          <w:bCs/>
          <w:sz w:val="28"/>
          <w:szCs w:val="28"/>
        </w:rPr>
        <w:t xml:space="preserve">Appendix C: DPSIR diagram </w:t>
      </w:r>
    </w:p>
    <w:p w14:paraId="079E54F4" w14:textId="6DE52673" w:rsidR="005C7718" w:rsidRPr="005C7718" w:rsidRDefault="005C7718" w:rsidP="005C7718">
      <w:pPr>
        <w:pStyle w:val="ListParagraph"/>
        <w:spacing w:line="360" w:lineRule="auto"/>
        <w:ind w:left="860"/>
        <w:jc w:val="both"/>
        <w:rPr>
          <w:rFonts w:ascii="Arial" w:hAnsi="Arial" w:cs="Arial"/>
          <w:b/>
          <w:bCs/>
        </w:rPr>
      </w:pPr>
      <w:r w:rsidRPr="005C7718">
        <w:rPr>
          <w:rFonts w:ascii="Arial" w:hAnsi="Arial" w:cs="Arial"/>
          <w:b/>
          <w:bCs/>
        </w:rPr>
        <w:t>The DPSIR sequence. Responses can influence subsequent pressures and the future state of the industry.</w:t>
      </w:r>
    </w:p>
    <w:p w14:paraId="1E2070A4" w14:textId="5713E1BF" w:rsidR="00522C4B" w:rsidRPr="00522C4B" w:rsidRDefault="005C7718" w:rsidP="00522C4B">
      <w:pPr>
        <w:pStyle w:val="ListParagraph"/>
        <w:spacing w:line="360" w:lineRule="auto"/>
        <w:ind w:left="860"/>
        <w:jc w:val="both"/>
        <w:rPr>
          <w:rFonts w:ascii="Arial" w:hAnsi="Arial" w:cs="Arial"/>
          <w:b/>
          <w:bCs/>
          <w:sz w:val="28"/>
          <w:szCs w:val="28"/>
        </w:rPr>
      </w:pPr>
      <w:r>
        <w:rPr>
          <w:rFonts w:ascii="Arial" w:hAnsi="Arial" w:cs="Arial"/>
          <w:b/>
          <w:bCs/>
          <w:noProof/>
          <w:sz w:val="28"/>
          <w:szCs w:val="28"/>
        </w:rPr>
        <w:drawing>
          <wp:inline distT="0" distB="0" distL="0" distR="0" wp14:anchorId="30C8454A" wp14:editId="2F92797E">
            <wp:extent cx="5486400" cy="3200400"/>
            <wp:effectExtent l="0" t="0" r="12700" b="0"/>
            <wp:docPr id="574809098"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5" r:lo="rId36" r:qs="rId37" r:cs="rId38"/>
              </a:graphicData>
            </a:graphic>
          </wp:inline>
        </w:drawing>
      </w:r>
    </w:p>
    <w:p w14:paraId="6B7EF9D9" w14:textId="0E0532B5" w:rsidR="005C7718" w:rsidRDefault="005C7718" w:rsidP="005C7718"/>
    <w:p w14:paraId="01CFBD1B" w14:textId="77777777" w:rsidR="005C7718" w:rsidRPr="005C7718" w:rsidRDefault="005C7718" w:rsidP="005C7718">
      <w:pPr>
        <w:pStyle w:val="ListParagraph"/>
        <w:numPr>
          <w:ilvl w:val="0"/>
          <w:numId w:val="7"/>
        </w:numPr>
        <w:spacing w:line="360" w:lineRule="auto"/>
        <w:jc w:val="both"/>
        <w:rPr>
          <w:rFonts w:ascii="Arial" w:hAnsi="Arial" w:cs="Arial"/>
          <w:b/>
          <w:bCs/>
          <w:sz w:val="28"/>
          <w:szCs w:val="28"/>
        </w:rPr>
      </w:pPr>
      <w:r w:rsidRPr="005C7718">
        <w:rPr>
          <w:rFonts w:ascii="Arial" w:hAnsi="Arial" w:cs="Arial"/>
          <w:b/>
          <w:bCs/>
          <w:sz w:val="28"/>
          <w:szCs w:val="28"/>
        </w:rPr>
        <w:t xml:space="preserve">Appendix D: Evidence limitations </w:t>
      </w:r>
    </w:p>
    <w:p w14:paraId="1950368E" w14:textId="77777777" w:rsidR="005C7718" w:rsidRPr="00245B42" w:rsidRDefault="005C7718" w:rsidP="005C7718">
      <w:pPr>
        <w:pStyle w:val="ListBullet"/>
        <w:numPr>
          <w:ilvl w:val="0"/>
          <w:numId w:val="16"/>
        </w:numPr>
        <w:jc w:val="both"/>
        <w:rPr>
          <w:rFonts w:ascii="Arial" w:hAnsi="Arial" w:cs="Arial"/>
          <w:sz w:val="24"/>
          <w:szCs w:val="24"/>
        </w:rPr>
      </w:pPr>
      <w:r w:rsidRPr="00245B42">
        <w:rPr>
          <w:rFonts w:ascii="Arial" w:hAnsi="Arial" w:cs="Arial"/>
          <w:sz w:val="24"/>
          <w:szCs w:val="24"/>
        </w:rPr>
        <w:t>Audience metrics are not financial results. Followers, subscribers and views cannot establish income, profitability, customer loyalty or business valuation.</w:t>
      </w:r>
    </w:p>
    <w:p w14:paraId="3549B097" w14:textId="77777777" w:rsidR="005C7718" w:rsidRPr="00245B42" w:rsidRDefault="005C7718" w:rsidP="005C7718">
      <w:pPr>
        <w:pStyle w:val="ListBullet"/>
        <w:numPr>
          <w:ilvl w:val="0"/>
          <w:numId w:val="16"/>
        </w:numPr>
        <w:jc w:val="both"/>
        <w:rPr>
          <w:rFonts w:ascii="Arial" w:hAnsi="Arial" w:cs="Arial"/>
          <w:sz w:val="24"/>
          <w:szCs w:val="24"/>
        </w:rPr>
      </w:pPr>
      <w:r w:rsidRPr="00245B42">
        <w:rPr>
          <w:rFonts w:ascii="Arial" w:hAnsi="Arial" w:cs="Arial"/>
          <w:sz w:val="24"/>
          <w:szCs w:val="24"/>
        </w:rPr>
        <w:t>The case studies are illustrative. Three creators cannot represent the full diversity of the creator economy.</w:t>
      </w:r>
    </w:p>
    <w:p w14:paraId="670863E0" w14:textId="77777777" w:rsidR="005C7718" w:rsidRPr="00245B42" w:rsidRDefault="005C7718" w:rsidP="005C7718">
      <w:pPr>
        <w:pStyle w:val="ListBullet"/>
        <w:numPr>
          <w:ilvl w:val="0"/>
          <w:numId w:val="16"/>
        </w:numPr>
        <w:jc w:val="both"/>
        <w:rPr>
          <w:rFonts w:ascii="Arial" w:hAnsi="Arial" w:cs="Arial"/>
          <w:sz w:val="24"/>
          <w:szCs w:val="24"/>
        </w:rPr>
      </w:pPr>
      <w:r w:rsidRPr="00245B42">
        <w:rPr>
          <w:rFonts w:ascii="Arial" w:hAnsi="Arial" w:cs="Arial"/>
          <w:sz w:val="24"/>
          <w:szCs w:val="24"/>
        </w:rPr>
        <w:t>Regulatory monitoring has a defined sample. ASA findings describe the content monitored, not every influencer advertisement.</w:t>
      </w:r>
    </w:p>
    <w:p w14:paraId="47EC6C1B" w14:textId="77777777" w:rsidR="005C7718" w:rsidRPr="00245B42" w:rsidRDefault="005C7718" w:rsidP="005C7718">
      <w:pPr>
        <w:pStyle w:val="ListBullet"/>
        <w:numPr>
          <w:ilvl w:val="0"/>
          <w:numId w:val="16"/>
        </w:numPr>
        <w:jc w:val="both"/>
        <w:rPr>
          <w:rFonts w:ascii="Arial" w:hAnsi="Arial" w:cs="Arial"/>
          <w:sz w:val="24"/>
          <w:szCs w:val="24"/>
        </w:rPr>
      </w:pPr>
      <w:r w:rsidRPr="00245B42">
        <w:rPr>
          <w:rFonts w:ascii="Arial" w:hAnsi="Arial" w:cs="Arial"/>
          <w:sz w:val="24"/>
          <w:szCs w:val="24"/>
        </w:rPr>
        <w:t>Future developments are uncertain. Predictions about AI, regulation and market saturation are scenarios rather than guaranteed outcomes.</w:t>
      </w:r>
    </w:p>
    <w:p w14:paraId="24478976" w14:textId="77777777" w:rsidR="005C7718" w:rsidRDefault="005C7718" w:rsidP="005C7718">
      <w:pPr>
        <w:pStyle w:val="ListBullet"/>
        <w:numPr>
          <w:ilvl w:val="0"/>
          <w:numId w:val="16"/>
        </w:numPr>
        <w:jc w:val="both"/>
        <w:rPr>
          <w:rFonts w:ascii="Arial" w:hAnsi="Arial" w:cs="Arial"/>
          <w:sz w:val="24"/>
          <w:szCs w:val="24"/>
        </w:rPr>
      </w:pPr>
      <w:r w:rsidRPr="00245B42">
        <w:rPr>
          <w:rFonts w:ascii="Arial" w:hAnsi="Arial" w:cs="Arial"/>
          <w:sz w:val="24"/>
          <w:szCs w:val="24"/>
        </w:rPr>
        <w:t xml:space="preserve">Environmental effects are difficult to attribute. The footprint of digital content depends on devices, networks, data </w:t>
      </w:r>
      <w:proofErr w:type="spellStart"/>
      <w:r w:rsidRPr="00245B42">
        <w:rPr>
          <w:rFonts w:ascii="Arial" w:hAnsi="Arial" w:cs="Arial"/>
          <w:sz w:val="24"/>
          <w:szCs w:val="24"/>
        </w:rPr>
        <w:t>centres</w:t>
      </w:r>
      <w:proofErr w:type="spellEnd"/>
      <w:r w:rsidRPr="00245B42">
        <w:rPr>
          <w:rFonts w:ascii="Arial" w:hAnsi="Arial" w:cs="Arial"/>
          <w:sz w:val="24"/>
          <w:szCs w:val="24"/>
        </w:rPr>
        <w:t>, energy sources and production practices.</w:t>
      </w:r>
    </w:p>
    <w:p w14:paraId="0947DEA1" w14:textId="5E7AB390" w:rsidR="005C7718" w:rsidRPr="00245B42" w:rsidRDefault="005C7718" w:rsidP="005C7718">
      <w:pPr>
        <w:pStyle w:val="ListBullet"/>
        <w:numPr>
          <w:ilvl w:val="0"/>
          <w:numId w:val="16"/>
        </w:numPr>
        <w:jc w:val="both"/>
        <w:rPr>
          <w:rFonts w:ascii="Arial" w:hAnsi="Arial" w:cs="Arial"/>
          <w:sz w:val="24"/>
          <w:szCs w:val="24"/>
        </w:rPr>
      </w:pPr>
      <w:r w:rsidRPr="00245B42">
        <w:rPr>
          <w:rFonts w:ascii="Arial" w:hAnsi="Arial" w:cs="Arial"/>
          <w:sz w:val="24"/>
          <w:szCs w:val="24"/>
        </w:rPr>
        <w:t>The report uses audience metrics to illustrate reach and academic or regulatory sources to analyse broader patterns. It does not infer income or profitability from audience size.</w:t>
      </w:r>
    </w:p>
    <w:p w14:paraId="658B8EB2" w14:textId="7CD26BF3" w:rsidR="003452C8" w:rsidRDefault="003452C8" w:rsidP="005C7718">
      <w:pPr>
        <w:pStyle w:val="ListParagraph"/>
        <w:ind w:left="1580"/>
        <w:rPr>
          <w:rFonts w:ascii="Arial" w:hAnsi="Arial" w:cs="Arial"/>
          <w:b/>
          <w:bCs/>
        </w:rPr>
      </w:pPr>
    </w:p>
    <w:p w14:paraId="5EEA09DD" w14:textId="77777777" w:rsidR="005C7718" w:rsidRDefault="005C7718" w:rsidP="005C7718">
      <w:pPr>
        <w:pStyle w:val="ListParagraph"/>
        <w:ind w:left="1580"/>
        <w:rPr>
          <w:rFonts w:ascii="Arial" w:hAnsi="Arial" w:cs="Arial"/>
          <w:b/>
          <w:bCs/>
        </w:rPr>
      </w:pPr>
    </w:p>
    <w:p w14:paraId="5273AC60" w14:textId="77777777" w:rsidR="005C7718" w:rsidRDefault="005C7718" w:rsidP="005C7718">
      <w:pPr>
        <w:pStyle w:val="ListParagraph"/>
        <w:ind w:left="1580"/>
        <w:rPr>
          <w:rFonts w:ascii="Arial" w:hAnsi="Arial" w:cs="Arial"/>
          <w:b/>
          <w:bCs/>
        </w:rPr>
      </w:pPr>
    </w:p>
    <w:p w14:paraId="777482E6" w14:textId="77777777" w:rsidR="005C7718" w:rsidRDefault="005C7718" w:rsidP="005C7718">
      <w:pPr>
        <w:pStyle w:val="ListParagraph"/>
        <w:ind w:left="1580"/>
        <w:rPr>
          <w:rFonts w:ascii="Arial" w:hAnsi="Arial" w:cs="Arial"/>
          <w:b/>
          <w:bCs/>
        </w:rPr>
      </w:pPr>
    </w:p>
    <w:p w14:paraId="51CBD23D" w14:textId="77777777" w:rsidR="005C7718" w:rsidRPr="005C7718" w:rsidRDefault="005C7718" w:rsidP="005C7718">
      <w:pPr>
        <w:pStyle w:val="ListParagraph"/>
        <w:numPr>
          <w:ilvl w:val="0"/>
          <w:numId w:val="7"/>
        </w:numPr>
        <w:spacing w:line="360" w:lineRule="auto"/>
        <w:jc w:val="both"/>
        <w:rPr>
          <w:rFonts w:ascii="Arial" w:hAnsi="Arial" w:cs="Arial"/>
          <w:b/>
          <w:bCs/>
          <w:sz w:val="28"/>
          <w:szCs w:val="28"/>
        </w:rPr>
      </w:pPr>
      <w:r w:rsidRPr="005C7718">
        <w:rPr>
          <w:rFonts w:ascii="Arial" w:hAnsi="Arial" w:cs="Arial"/>
          <w:b/>
          <w:bCs/>
          <w:sz w:val="28"/>
          <w:szCs w:val="28"/>
        </w:rPr>
        <w:lastRenderedPageBreak/>
        <w:t>Appendix E: Creators reach and social blade statistics</w:t>
      </w:r>
    </w:p>
    <w:p w14:paraId="1CF7B064" w14:textId="77777777" w:rsidR="005C7718" w:rsidRPr="005C7718" w:rsidRDefault="005C7718" w:rsidP="005C7718">
      <w:pPr>
        <w:pStyle w:val="ListParagraph"/>
        <w:spacing w:line="360" w:lineRule="auto"/>
        <w:ind w:left="860"/>
        <w:jc w:val="both"/>
        <w:rPr>
          <w:rFonts w:ascii="Arial" w:hAnsi="Arial" w:cs="Arial"/>
        </w:rPr>
      </w:pPr>
      <w:r w:rsidRPr="005C7718">
        <w:rPr>
          <w:rFonts w:ascii="Arial" w:hAnsi="Arial" w:cs="Arial"/>
        </w:rPr>
        <w:t>The following figures illustrate different forms of audience reach. They should not be combined into a single ranking because they measure different things.</w:t>
      </w:r>
    </w:p>
    <w:p w14:paraId="40DAF659" w14:textId="77777777" w:rsidR="005C7718" w:rsidRDefault="005C7718" w:rsidP="005C7718">
      <w:pPr>
        <w:pStyle w:val="ListParagraph"/>
        <w:spacing w:line="360" w:lineRule="auto"/>
        <w:ind w:left="860"/>
        <w:jc w:val="both"/>
        <w:rPr>
          <w:rFonts w:ascii="Arial" w:hAnsi="Arial" w:cs="Arial"/>
        </w:rPr>
      </w:pPr>
    </w:p>
    <w:p w14:paraId="26163871" w14:textId="327724B3" w:rsidR="00853D6A" w:rsidRDefault="005C7718" w:rsidP="00853D6A">
      <w:pPr>
        <w:keepNext/>
      </w:pPr>
      <w:r w:rsidRPr="005C7718">
        <w:rPr>
          <w:rFonts w:ascii="Arial" w:hAnsi="Arial" w:cs="Arial"/>
        </w:rPr>
        <w:t>Figure E</w:t>
      </w:r>
      <w:proofErr w:type="gramStart"/>
      <w:r w:rsidRPr="005C7718">
        <w:rPr>
          <w:rFonts w:ascii="Arial" w:hAnsi="Arial" w:cs="Arial"/>
        </w:rPr>
        <w:t>1.</w:t>
      </w:r>
      <w:r w:rsidR="00853D6A">
        <w:t>IShowSpeed</w:t>
      </w:r>
      <w:proofErr w:type="gramEnd"/>
      <w:r w:rsidR="00853D6A">
        <w:t xml:space="preserve"> — monthly gained subscribers (Social Blade, 2024–2026).</w:t>
      </w:r>
    </w:p>
    <w:p w14:paraId="6536A858" w14:textId="3A100417" w:rsidR="005C7718" w:rsidRDefault="005C7718" w:rsidP="005C7718">
      <w:pPr>
        <w:pStyle w:val="ListParagraph"/>
        <w:spacing w:line="360" w:lineRule="auto"/>
        <w:ind w:left="860"/>
        <w:jc w:val="both"/>
        <w:rPr>
          <w:rFonts w:ascii="Arial" w:hAnsi="Arial" w:cs="Arial"/>
        </w:rPr>
      </w:pPr>
    </w:p>
    <w:p w14:paraId="10E26163" w14:textId="0D7FC04D" w:rsidR="005C7718" w:rsidRPr="005C7718" w:rsidRDefault="005C7718" w:rsidP="005C7718">
      <w:pPr>
        <w:pStyle w:val="ListParagraph"/>
        <w:spacing w:line="360" w:lineRule="auto"/>
        <w:ind w:left="860"/>
        <w:jc w:val="both"/>
        <w:rPr>
          <w:rFonts w:ascii="Arial" w:hAnsi="Arial" w:cs="Arial"/>
        </w:rPr>
      </w:pPr>
    </w:p>
    <w:p w14:paraId="3D9E520A" w14:textId="77777777" w:rsidR="00853D6A" w:rsidRDefault="00853D6A" w:rsidP="005C7718">
      <w:pPr>
        <w:pStyle w:val="ListParagraph"/>
        <w:ind w:left="860"/>
        <w:rPr>
          <w:rFonts w:ascii="Arial" w:hAnsi="Arial" w:cs="Arial"/>
          <w:b/>
          <w:bCs/>
        </w:rPr>
      </w:pPr>
      <w:r>
        <w:rPr>
          <w:rFonts w:ascii="Arial" w:hAnsi="Arial" w:cs="Arial"/>
          <w:b/>
          <w:bCs/>
          <w:noProof/>
        </w:rPr>
        <w:drawing>
          <wp:inline distT="0" distB="0" distL="0" distR="0" wp14:anchorId="193F2972" wp14:editId="7046EB22">
            <wp:extent cx="5731510" cy="1778635"/>
            <wp:effectExtent l="0" t="0" r="0" b="0"/>
            <wp:docPr id="1971351845" name="Picture 5" descr="A graph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351845" name="Picture 5" descr="A graph on a white background&#10;&#10;AI-generated content may be incorrect."/>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731510" cy="1778635"/>
                    </a:xfrm>
                    <a:prstGeom prst="rect">
                      <a:avLst/>
                    </a:prstGeom>
                  </pic:spPr>
                </pic:pic>
              </a:graphicData>
            </a:graphic>
          </wp:inline>
        </w:drawing>
      </w:r>
    </w:p>
    <w:p w14:paraId="3B452BCA" w14:textId="0C428698" w:rsidR="00853D6A" w:rsidRDefault="00853D6A" w:rsidP="00853D6A">
      <w:pPr>
        <w:keepNext/>
      </w:pPr>
      <w:r w:rsidRPr="005C7718">
        <w:rPr>
          <w:rFonts w:ascii="Arial" w:hAnsi="Arial" w:cs="Arial"/>
        </w:rPr>
        <w:t>Figure E</w:t>
      </w:r>
      <w:proofErr w:type="gramStart"/>
      <w:r>
        <w:rPr>
          <w:rFonts w:ascii="Arial" w:hAnsi="Arial" w:cs="Arial"/>
        </w:rPr>
        <w:t>2</w:t>
      </w:r>
      <w:r w:rsidRPr="005C7718">
        <w:rPr>
          <w:rFonts w:ascii="Arial" w:hAnsi="Arial" w:cs="Arial"/>
        </w:rPr>
        <w:t>.</w:t>
      </w:r>
      <w:r>
        <w:t>IShowSpeed</w:t>
      </w:r>
      <w:proofErr w:type="gramEnd"/>
      <w:r>
        <w:t xml:space="preserve"> — monthly gained subscribers (Social Blade, 2024–2026).</w:t>
      </w:r>
    </w:p>
    <w:p w14:paraId="473444EE" w14:textId="77777777" w:rsidR="00853D6A" w:rsidRDefault="00853D6A" w:rsidP="005C7718">
      <w:pPr>
        <w:pStyle w:val="ListParagraph"/>
        <w:ind w:left="860"/>
        <w:rPr>
          <w:rFonts w:ascii="Arial" w:hAnsi="Arial" w:cs="Arial"/>
          <w:b/>
          <w:bCs/>
        </w:rPr>
      </w:pPr>
    </w:p>
    <w:p w14:paraId="7902EC8D" w14:textId="77777777" w:rsidR="00853D6A" w:rsidRDefault="00853D6A" w:rsidP="005C7718">
      <w:pPr>
        <w:pStyle w:val="ListParagraph"/>
        <w:ind w:left="860"/>
        <w:rPr>
          <w:rFonts w:ascii="Arial" w:hAnsi="Arial" w:cs="Arial"/>
          <w:b/>
          <w:bCs/>
        </w:rPr>
      </w:pPr>
    </w:p>
    <w:p w14:paraId="532D1528" w14:textId="79BA3EAA" w:rsidR="005C7718" w:rsidRDefault="00853D6A" w:rsidP="005C7718">
      <w:pPr>
        <w:pStyle w:val="ListParagraph"/>
        <w:ind w:left="860"/>
        <w:rPr>
          <w:rFonts w:ascii="Arial" w:hAnsi="Arial" w:cs="Arial"/>
          <w:b/>
          <w:bCs/>
        </w:rPr>
      </w:pPr>
      <w:r>
        <w:rPr>
          <w:rFonts w:ascii="Arial" w:hAnsi="Arial" w:cs="Arial"/>
          <w:b/>
          <w:bCs/>
          <w:noProof/>
        </w:rPr>
        <w:drawing>
          <wp:inline distT="0" distB="0" distL="0" distR="0" wp14:anchorId="49B6D3E6" wp14:editId="7E17C0A8">
            <wp:extent cx="5731510" cy="1778635"/>
            <wp:effectExtent l="0" t="0" r="0" b="0"/>
            <wp:docPr id="2006887917" name="Picture 6" descr="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6887917" name="Picture 6" descr="A graph of a graph&#10;&#10;AI-generated content may be incorrect."/>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731510" cy="1778635"/>
                    </a:xfrm>
                    <a:prstGeom prst="rect">
                      <a:avLst/>
                    </a:prstGeom>
                  </pic:spPr>
                </pic:pic>
              </a:graphicData>
            </a:graphic>
          </wp:inline>
        </w:drawing>
      </w:r>
    </w:p>
    <w:p w14:paraId="4575016A" w14:textId="77777777" w:rsidR="00853D6A" w:rsidRDefault="00853D6A" w:rsidP="005C7718">
      <w:pPr>
        <w:pStyle w:val="ListParagraph"/>
        <w:ind w:left="860"/>
        <w:rPr>
          <w:rFonts w:ascii="Arial" w:hAnsi="Arial" w:cs="Arial"/>
          <w:b/>
          <w:bCs/>
        </w:rPr>
      </w:pPr>
    </w:p>
    <w:p w14:paraId="640FD43D" w14:textId="77777777" w:rsidR="00853D6A" w:rsidRDefault="00853D6A" w:rsidP="005C7718">
      <w:pPr>
        <w:pStyle w:val="ListParagraph"/>
        <w:ind w:left="860"/>
        <w:rPr>
          <w:rFonts w:ascii="Arial" w:hAnsi="Arial" w:cs="Arial"/>
          <w:b/>
          <w:bCs/>
        </w:rPr>
      </w:pPr>
    </w:p>
    <w:p w14:paraId="65F28D56" w14:textId="40D6093D" w:rsidR="00853D6A" w:rsidRDefault="00853D6A" w:rsidP="00853D6A">
      <w:pPr>
        <w:keepNext/>
      </w:pPr>
      <w:r w:rsidRPr="005C7718">
        <w:rPr>
          <w:rFonts w:ascii="Arial" w:hAnsi="Arial" w:cs="Arial"/>
        </w:rPr>
        <w:lastRenderedPageBreak/>
        <w:t>Figure E</w:t>
      </w:r>
      <w:proofErr w:type="gramStart"/>
      <w:r>
        <w:rPr>
          <w:rFonts w:ascii="Arial" w:hAnsi="Arial" w:cs="Arial"/>
        </w:rPr>
        <w:t>3</w:t>
      </w:r>
      <w:r w:rsidRPr="005C7718">
        <w:rPr>
          <w:rFonts w:ascii="Arial" w:hAnsi="Arial" w:cs="Arial"/>
        </w:rPr>
        <w:t>.</w:t>
      </w:r>
      <w:r>
        <w:t>IShowSpeed</w:t>
      </w:r>
      <w:proofErr w:type="gramEnd"/>
      <w:r>
        <w:t xml:space="preserve"> — </w:t>
      </w:r>
      <w:r>
        <w:t xml:space="preserve">Daily </w:t>
      </w:r>
      <w:proofErr w:type="gramStart"/>
      <w:r>
        <w:t xml:space="preserve">income </w:t>
      </w:r>
      <w:r>
        <w:t xml:space="preserve"> (</w:t>
      </w:r>
      <w:proofErr w:type="gramEnd"/>
      <w:r>
        <w:t xml:space="preserve">Social Blade, </w:t>
      </w:r>
      <w:r>
        <w:t>10.10.20026-17.10.2026</w:t>
      </w:r>
      <w:r>
        <w:t>).</w:t>
      </w:r>
    </w:p>
    <w:p w14:paraId="637696C8" w14:textId="77777777" w:rsidR="00853D6A" w:rsidRDefault="00853D6A" w:rsidP="00853D6A">
      <w:pPr>
        <w:keepNext/>
      </w:pPr>
    </w:p>
    <w:p w14:paraId="6873D31A" w14:textId="77777777" w:rsidR="00853D6A" w:rsidRDefault="00853D6A" w:rsidP="00853D6A">
      <w:pPr>
        <w:keepNext/>
      </w:pPr>
    </w:p>
    <w:p w14:paraId="7F61357E" w14:textId="02AC4DA4" w:rsidR="00853D6A" w:rsidRDefault="00853D6A" w:rsidP="00853D6A">
      <w:pPr>
        <w:rPr>
          <w:rFonts w:ascii="Arial" w:hAnsi="Arial" w:cs="Arial"/>
          <w:b/>
          <w:bCs/>
        </w:rPr>
      </w:pPr>
      <w:r>
        <w:rPr>
          <w:noProof/>
        </w:rPr>
        <w:drawing>
          <wp:inline distT="0" distB="0" distL="0" distR="0" wp14:anchorId="272B2C33" wp14:editId="47896C97">
            <wp:extent cx="4946650" cy="3844533"/>
            <wp:effectExtent l="0" t="0" r="0" b="3810"/>
            <wp:docPr id="1375603468" name="Picture 7" descr="A screenshot of a video chann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603468" name="Picture 7" descr="A screenshot of a video channel&#10;&#10;AI-generated content may be incorrect."/>
                    <pic:cNvPicPr/>
                  </pic:nvPicPr>
                  <pic:blipFill>
                    <a:blip r:embed="rId42" cstate="print">
                      <a:extLst>
                        <a:ext uri="{28A0092B-C50C-407E-A947-70E740481C1C}">
                          <a14:useLocalDpi xmlns:a14="http://schemas.microsoft.com/office/drawing/2010/main" val="0"/>
                        </a:ext>
                      </a:extLst>
                    </a:blip>
                    <a:stretch>
                      <a:fillRect/>
                    </a:stretch>
                  </pic:blipFill>
                  <pic:spPr>
                    <a:xfrm>
                      <a:off x="0" y="0"/>
                      <a:ext cx="4988579" cy="3877120"/>
                    </a:xfrm>
                    <a:prstGeom prst="rect">
                      <a:avLst/>
                    </a:prstGeom>
                  </pic:spPr>
                </pic:pic>
              </a:graphicData>
            </a:graphic>
          </wp:inline>
        </w:drawing>
      </w:r>
    </w:p>
    <w:p w14:paraId="6AB79E2B" w14:textId="77777777" w:rsidR="00853D6A" w:rsidRPr="00853D6A" w:rsidRDefault="00853D6A" w:rsidP="00853D6A">
      <w:pPr>
        <w:rPr>
          <w:rFonts w:ascii="Arial" w:hAnsi="Arial" w:cs="Arial"/>
          <w:b/>
          <w:bCs/>
        </w:rPr>
      </w:pPr>
    </w:p>
    <w:p w14:paraId="55929A09" w14:textId="6F577BC3" w:rsidR="00853D6A" w:rsidRPr="00E76A8E" w:rsidRDefault="00853D6A" w:rsidP="00853D6A">
      <w:pPr>
        <w:keepNext/>
        <w:rPr>
          <w:rFonts w:ascii="Arial" w:hAnsi="Arial" w:cs="Arial"/>
        </w:rPr>
      </w:pPr>
      <w:r w:rsidRPr="00E76A8E">
        <w:rPr>
          <w:rFonts w:ascii="Arial" w:hAnsi="Arial" w:cs="Arial"/>
        </w:rPr>
        <w:t xml:space="preserve">Source: Social Blade (2026), </w:t>
      </w:r>
      <w:proofErr w:type="spellStart"/>
      <w:r w:rsidRPr="00E76A8E">
        <w:rPr>
          <w:rFonts w:ascii="Arial" w:hAnsi="Arial" w:cs="Arial"/>
        </w:rPr>
        <w:t>IShowSpeed</w:t>
      </w:r>
      <w:proofErr w:type="spellEnd"/>
      <w:r w:rsidRPr="00E76A8E">
        <w:rPr>
          <w:rFonts w:ascii="Arial" w:hAnsi="Arial" w:cs="Arial"/>
        </w:rPr>
        <w:t xml:space="preserve"> YouTube statistics, monthly gained</w:t>
      </w:r>
      <w:r w:rsidRPr="00E76A8E">
        <w:rPr>
          <w:rFonts w:ascii="Arial" w:hAnsi="Arial" w:cs="Arial"/>
        </w:rPr>
        <w:t xml:space="preserve">, </w:t>
      </w:r>
      <w:proofErr w:type="gramStart"/>
      <w:r w:rsidRPr="00E76A8E">
        <w:rPr>
          <w:rFonts w:ascii="Arial" w:hAnsi="Arial" w:cs="Arial"/>
        </w:rPr>
        <w:t>income ,</w:t>
      </w:r>
      <w:proofErr w:type="gramEnd"/>
      <w:r w:rsidRPr="00E76A8E">
        <w:rPr>
          <w:rFonts w:ascii="Arial" w:hAnsi="Arial" w:cs="Arial"/>
        </w:rPr>
        <w:t xml:space="preserve"> </w:t>
      </w:r>
      <w:r w:rsidRPr="00E76A8E">
        <w:rPr>
          <w:rFonts w:ascii="Arial" w:hAnsi="Arial" w:cs="Arial"/>
        </w:rPr>
        <w:t>views chart; screenshot supplied for this report (accessed 23 October 2026).</w:t>
      </w:r>
    </w:p>
    <w:p w14:paraId="0E07A005" w14:textId="77777777" w:rsidR="00853D6A" w:rsidRDefault="00853D6A" w:rsidP="00853D6A">
      <w:pPr>
        <w:rPr>
          <w:rFonts w:ascii="Arial" w:hAnsi="Arial" w:cs="Arial"/>
          <w:b/>
          <w:bCs/>
        </w:rPr>
      </w:pPr>
    </w:p>
    <w:p w14:paraId="02AA9325" w14:textId="77777777" w:rsidR="00853D6A" w:rsidRDefault="00853D6A" w:rsidP="00853D6A">
      <w:pPr>
        <w:rPr>
          <w:rFonts w:ascii="Arial" w:hAnsi="Arial" w:cs="Arial"/>
          <w:b/>
          <w:bCs/>
        </w:rPr>
      </w:pPr>
    </w:p>
    <w:p w14:paraId="1C9123DE" w14:textId="77777777" w:rsidR="00E76A8E" w:rsidRDefault="00E76A8E" w:rsidP="00E76A8E">
      <w:pPr>
        <w:rPr>
          <w:rFonts w:ascii="Arial" w:hAnsi="Arial" w:cs="Arial"/>
          <w:b/>
          <w:bCs/>
        </w:rPr>
      </w:pPr>
    </w:p>
    <w:p w14:paraId="7F7FCEDF" w14:textId="77777777" w:rsidR="00E76A8E" w:rsidRDefault="00E76A8E" w:rsidP="00E76A8E">
      <w:pPr>
        <w:rPr>
          <w:rFonts w:ascii="Arial" w:hAnsi="Arial" w:cs="Arial"/>
          <w:b/>
          <w:bCs/>
        </w:rPr>
      </w:pPr>
    </w:p>
    <w:p w14:paraId="28CC1C50" w14:textId="77777777" w:rsidR="00E76A8E" w:rsidRDefault="00E76A8E" w:rsidP="00E76A8E">
      <w:pPr>
        <w:rPr>
          <w:rFonts w:ascii="Arial" w:hAnsi="Arial" w:cs="Arial"/>
          <w:b/>
          <w:bCs/>
        </w:rPr>
      </w:pPr>
    </w:p>
    <w:p w14:paraId="3BFED699" w14:textId="77777777" w:rsidR="00E76A8E" w:rsidRDefault="00E76A8E" w:rsidP="00E76A8E">
      <w:pPr>
        <w:rPr>
          <w:rFonts w:ascii="Arial" w:hAnsi="Arial" w:cs="Arial"/>
          <w:b/>
          <w:bCs/>
        </w:rPr>
      </w:pPr>
    </w:p>
    <w:p w14:paraId="2C1CBB8D" w14:textId="77777777" w:rsidR="00E76A8E" w:rsidRDefault="00E76A8E" w:rsidP="00E76A8E">
      <w:pPr>
        <w:rPr>
          <w:rFonts w:ascii="Arial" w:hAnsi="Arial" w:cs="Arial"/>
          <w:b/>
          <w:bCs/>
        </w:rPr>
      </w:pPr>
    </w:p>
    <w:p w14:paraId="5CDA556B" w14:textId="77777777" w:rsidR="00E76A8E" w:rsidRDefault="00E76A8E" w:rsidP="00E76A8E">
      <w:pPr>
        <w:rPr>
          <w:rFonts w:ascii="Arial" w:hAnsi="Arial" w:cs="Arial"/>
          <w:b/>
          <w:bCs/>
        </w:rPr>
      </w:pPr>
    </w:p>
    <w:p w14:paraId="4279A21E" w14:textId="77777777" w:rsidR="00E76A8E" w:rsidRDefault="00E76A8E" w:rsidP="00E76A8E">
      <w:pPr>
        <w:rPr>
          <w:rFonts w:ascii="Arial" w:hAnsi="Arial" w:cs="Arial"/>
          <w:b/>
          <w:bCs/>
        </w:rPr>
      </w:pPr>
    </w:p>
    <w:p w14:paraId="5C86F206" w14:textId="77777777" w:rsidR="00E76A8E" w:rsidRDefault="00E76A8E" w:rsidP="00E76A8E">
      <w:pPr>
        <w:rPr>
          <w:rFonts w:ascii="Arial" w:hAnsi="Arial" w:cs="Arial"/>
          <w:b/>
          <w:bCs/>
        </w:rPr>
      </w:pPr>
    </w:p>
    <w:p w14:paraId="51D36954" w14:textId="77777777" w:rsidR="00E76A8E" w:rsidRDefault="00E76A8E" w:rsidP="00E76A8E">
      <w:pPr>
        <w:rPr>
          <w:rFonts w:ascii="Arial" w:hAnsi="Arial" w:cs="Arial"/>
          <w:b/>
          <w:bCs/>
        </w:rPr>
      </w:pPr>
    </w:p>
    <w:p w14:paraId="69686212" w14:textId="77777777" w:rsidR="00E76A8E" w:rsidRPr="00E76A8E" w:rsidRDefault="00E76A8E" w:rsidP="00E76A8E">
      <w:pPr>
        <w:pStyle w:val="ListParagraph"/>
        <w:ind w:left="860"/>
        <w:rPr>
          <w:b/>
          <w:bCs/>
        </w:rPr>
      </w:pPr>
      <w:r w:rsidRPr="00E76A8E">
        <w:rPr>
          <w:rFonts w:ascii="Arial" w:hAnsi="Arial" w:cs="Arial"/>
          <w:b/>
          <w:bCs/>
        </w:rPr>
        <w:t xml:space="preserve">Figure E2. </w:t>
      </w:r>
      <w:r w:rsidRPr="00E76A8E">
        <w:rPr>
          <w:b/>
          <w:bCs/>
        </w:rPr>
        <w:t>Huda Kattan — personal Instagram follower count, October 2026.</w:t>
      </w:r>
    </w:p>
    <w:p w14:paraId="644C97CC" w14:textId="77777777" w:rsidR="00E76A8E" w:rsidRDefault="00E76A8E" w:rsidP="00E76A8E">
      <w:pPr>
        <w:rPr>
          <w:rFonts w:ascii="Arial" w:hAnsi="Arial" w:cs="Arial"/>
          <w:b/>
          <w:bCs/>
        </w:rPr>
      </w:pPr>
    </w:p>
    <w:p w14:paraId="70EE0485" w14:textId="0719AFF4" w:rsidR="00853D6A" w:rsidRDefault="00E76A8E" w:rsidP="00E76A8E">
      <w:pPr>
        <w:rPr>
          <w:rFonts w:ascii="Arial" w:hAnsi="Arial" w:cs="Arial"/>
          <w:b/>
          <w:bCs/>
        </w:rPr>
      </w:pPr>
      <w:r>
        <w:rPr>
          <w:rFonts w:ascii="Arial" w:hAnsi="Arial" w:cs="Arial"/>
          <w:b/>
          <w:bCs/>
          <w:noProof/>
        </w:rPr>
        <w:drawing>
          <wp:inline distT="0" distB="0" distL="0" distR="0" wp14:anchorId="6D1290C2" wp14:editId="5EB9D77F">
            <wp:extent cx="5731510" cy="2378710"/>
            <wp:effectExtent l="0" t="0" r="0" b="0"/>
            <wp:docPr id="1673112793" name="Picture 8" descr="A screenshot of a social media accou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112793" name="Picture 8" descr="A screenshot of a social media account&#10;&#10;AI-generated content may be incorrect."/>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731510" cy="2378710"/>
                    </a:xfrm>
                    <a:prstGeom prst="rect">
                      <a:avLst/>
                    </a:prstGeom>
                  </pic:spPr>
                </pic:pic>
              </a:graphicData>
            </a:graphic>
          </wp:inline>
        </w:drawing>
      </w:r>
    </w:p>
    <w:p w14:paraId="1F879141" w14:textId="77777777" w:rsidR="00E76A8E" w:rsidRDefault="00E76A8E" w:rsidP="00E76A8E">
      <w:pPr>
        <w:rPr>
          <w:rFonts w:ascii="Arial" w:hAnsi="Arial" w:cs="Arial"/>
          <w:b/>
          <w:bCs/>
        </w:rPr>
      </w:pPr>
    </w:p>
    <w:p w14:paraId="4E13832C" w14:textId="2D02981B" w:rsidR="00E76A8E" w:rsidRDefault="00E76A8E" w:rsidP="00E76A8E">
      <w:r>
        <w:t xml:space="preserve">Source: </w:t>
      </w:r>
      <w:proofErr w:type="spellStart"/>
      <w:r>
        <w:t>HypeAuditor</w:t>
      </w:r>
      <w:proofErr w:type="spellEnd"/>
      <w:r>
        <w:t xml:space="preserve"> (2026), historical Instagram follower data for Huda (@huda), accessed 2</w:t>
      </w:r>
      <w:r>
        <w:t xml:space="preserve">0 </w:t>
      </w:r>
      <w:r>
        <w:t>October 2026.</w:t>
      </w:r>
    </w:p>
    <w:p w14:paraId="4B579065" w14:textId="77777777" w:rsidR="00E76A8E" w:rsidRDefault="00E76A8E" w:rsidP="00E76A8E"/>
    <w:p w14:paraId="5BAF2D74" w14:textId="77777777" w:rsidR="00E76A8E" w:rsidRDefault="00E76A8E" w:rsidP="00E76A8E"/>
    <w:p w14:paraId="560F2EB7" w14:textId="77777777" w:rsidR="00E76A8E" w:rsidRDefault="00E76A8E" w:rsidP="00E76A8E"/>
    <w:p w14:paraId="36E29419" w14:textId="77777777" w:rsidR="00E76A8E" w:rsidRDefault="00E76A8E" w:rsidP="00E76A8E">
      <w:pPr>
        <w:rPr>
          <w:rFonts w:ascii="Arial" w:hAnsi="Arial" w:cs="Arial"/>
          <w:b/>
          <w:bCs/>
          <w:sz w:val="28"/>
          <w:szCs w:val="28"/>
        </w:rPr>
      </w:pPr>
    </w:p>
    <w:p w14:paraId="516ACA0B" w14:textId="473D07EC" w:rsidR="00E76A8E" w:rsidRDefault="00E76A8E" w:rsidP="00E76A8E">
      <w:pPr>
        <w:rPr>
          <w:rFonts w:ascii="Arial" w:hAnsi="Arial" w:cs="Arial"/>
          <w:b/>
          <w:bCs/>
          <w:sz w:val="28"/>
          <w:szCs w:val="28"/>
        </w:rPr>
      </w:pPr>
    </w:p>
    <w:p w14:paraId="6426C4A4" w14:textId="77777777" w:rsidR="00E76A8E" w:rsidRDefault="00E76A8E" w:rsidP="00E76A8E">
      <w:pPr>
        <w:rPr>
          <w:rFonts w:ascii="Arial" w:hAnsi="Arial" w:cs="Arial"/>
          <w:b/>
          <w:bCs/>
          <w:sz w:val="28"/>
          <w:szCs w:val="28"/>
        </w:rPr>
      </w:pPr>
    </w:p>
    <w:p w14:paraId="084B7AE5" w14:textId="77777777" w:rsidR="00E76A8E" w:rsidRDefault="00E76A8E" w:rsidP="00E76A8E">
      <w:pPr>
        <w:rPr>
          <w:rFonts w:ascii="Arial" w:hAnsi="Arial" w:cs="Arial"/>
          <w:b/>
          <w:bCs/>
          <w:sz w:val="28"/>
          <w:szCs w:val="28"/>
        </w:rPr>
      </w:pPr>
    </w:p>
    <w:p w14:paraId="2DCA0B42" w14:textId="33751A50" w:rsidR="00E76A8E" w:rsidRDefault="00E76A8E" w:rsidP="00E76A8E">
      <w:pPr>
        <w:rPr>
          <w:rFonts w:ascii="Arial" w:hAnsi="Arial" w:cs="Arial"/>
          <w:b/>
          <w:bCs/>
          <w:sz w:val="28"/>
          <w:szCs w:val="28"/>
        </w:rPr>
      </w:pPr>
      <w:r w:rsidRPr="00E76A8E">
        <w:rPr>
          <w:rFonts w:ascii="Arial" w:hAnsi="Arial" w:cs="Arial"/>
          <w:b/>
          <w:bCs/>
          <w:sz w:val="28"/>
          <w:szCs w:val="28"/>
        </w:rPr>
        <w:t xml:space="preserve">Figure E3. The Diary of a </w:t>
      </w:r>
      <w:proofErr w:type="gramStart"/>
      <w:r w:rsidRPr="00E76A8E">
        <w:rPr>
          <w:rFonts w:ascii="Arial" w:hAnsi="Arial" w:cs="Arial"/>
          <w:b/>
          <w:bCs/>
          <w:sz w:val="28"/>
          <w:szCs w:val="28"/>
        </w:rPr>
        <w:t xml:space="preserve">CEO </w:t>
      </w:r>
      <w:r w:rsidRPr="00E76A8E">
        <w:rPr>
          <w:rFonts w:ascii="Arial" w:hAnsi="Arial" w:cs="Arial"/>
          <w:b/>
          <w:bCs/>
          <w:sz w:val="28"/>
          <w:szCs w:val="28"/>
        </w:rPr>
        <w:t>.</w:t>
      </w:r>
      <w:proofErr w:type="gramEnd"/>
    </w:p>
    <w:p w14:paraId="58A4618F" w14:textId="0AE6F455" w:rsidR="00E76A8E" w:rsidRPr="00E76A8E" w:rsidRDefault="00E76A8E" w:rsidP="00E76A8E">
      <w:pPr>
        <w:rPr>
          <w:rFonts w:ascii="Arial" w:hAnsi="Arial" w:cs="Arial"/>
          <w:b/>
          <w:bCs/>
          <w:sz w:val="28"/>
          <w:szCs w:val="28"/>
        </w:rPr>
      </w:pPr>
      <w:r>
        <w:t>Source: Social Blade (2026), daily YouTube channel metrics for The Diary of a CEO, accessed 2</w:t>
      </w:r>
      <w:r>
        <w:t>1</w:t>
      </w:r>
      <w:r>
        <w:t xml:space="preserve"> October 2026.</w:t>
      </w:r>
    </w:p>
    <w:p w14:paraId="2F713ECC" w14:textId="21B60BE0" w:rsidR="00E76A8E" w:rsidRDefault="00E76A8E" w:rsidP="00E76A8E">
      <w:pPr>
        <w:pStyle w:val="ListParagraph"/>
        <w:ind w:left="860"/>
        <w:rPr>
          <w:rFonts w:ascii="Arial" w:hAnsi="Arial" w:cs="Arial"/>
          <w:b/>
          <w:bCs/>
          <w:sz w:val="28"/>
          <w:szCs w:val="28"/>
        </w:rPr>
      </w:pPr>
      <w:r>
        <w:rPr>
          <w:rFonts w:ascii="Arial" w:hAnsi="Arial" w:cs="Arial"/>
          <w:b/>
          <w:bCs/>
          <w:noProof/>
          <w:sz w:val="28"/>
          <w:szCs w:val="28"/>
        </w:rPr>
        <w:lastRenderedPageBreak/>
        <w:drawing>
          <wp:inline distT="0" distB="0" distL="0" distR="0" wp14:anchorId="6DF2F9B0" wp14:editId="70649BCC">
            <wp:extent cx="5731510" cy="2069465"/>
            <wp:effectExtent l="0" t="0" r="0" b="635"/>
            <wp:docPr id="1461542609" name="Picture 13" descr="A graph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1542609" name="Picture 13" descr="A graph on a white background&#10;&#10;AI-generated content may be incorrect."/>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731510" cy="2069465"/>
                    </a:xfrm>
                    <a:prstGeom prst="rect">
                      <a:avLst/>
                    </a:prstGeom>
                  </pic:spPr>
                </pic:pic>
              </a:graphicData>
            </a:graphic>
          </wp:inline>
        </w:drawing>
      </w:r>
      <w:r>
        <w:rPr>
          <w:rFonts w:ascii="Arial" w:hAnsi="Arial" w:cs="Arial"/>
          <w:b/>
          <w:bCs/>
          <w:noProof/>
          <w:sz w:val="28"/>
          <w:szCs w:val="28"/>
        </w:rPr>
        <w:drawing>
          <wp:inline distT="0" distB="0" distL="0" distR="0" wp14:anchorId="469915DC" wp14:editId="250949E5">
            <wp:extent cx="5731510" cy="2084705"/>
            <wp:effectExtent l="0" t="0" r="0" b="0"/>
            <wp:docPr id="2027569763" name="Picture 14" descr="A graph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569763" name="Picture 14" descr="A graph on a white background&#10;&#10;AI-generated content may be incorrect."/>
                    <pic:cNvPicPr/>
                  </pic:nvPicPr>
                  <pic:blipFill>
                    <a:blip r:embed="rId45" cstate="print">
                      <a:extLst>
                        <a:ext uri="{28A0092B-C50C-407E-A947-70E740481C1C}">
                          <a14:useLocalDpi xmlns:a14="http://schemas.microsoft.com/office/drawing/2010/main" val="0"/>
                        </a:ext>
                      </a:extLst>
                    </a:blip>
                    <a:stretch>
                      <a:fillRect/>
                    </a:stretch>
                  </pic:blipFill>
                  <pic:spPr>
                    <a:xfrm>
                      <a:off x="0" y="0"/>
                      <a:ext cx="5731510" cy="2084705"/>
                    </a:xfrm>
                    <a:prstGeom prst="rect">
                      <a:avLst/>
                    </a:prstGeom>
                  </pic:spPr>
                </pic:pic>
              </a:graphicData>
            </a:graphic>
          </wp:inline>
        </w:drawing>
      </w:r>
      <w:r>
        <w:rPr>
          <w:rFonts w:ascii="Arial" w:hAnsi="Arial" w:cs="Arial"/>
          <w:b/>
          <w:bCs/>
          <w:noProof/>
          <w:sz w:val="28"/>
          <w:szCs w:val="28"/>
        </w:rPr>
        <w:drawing>
          <wp:inline distT="0" distB="0" distL="0" distR="0" wp14:anchorId="20E3DDE1" wp14:editId="6440CD1A">
            <wp:extent cx="5731510" cy="4308475"/>
            <wp:effectExtent l="0" t="0" r="0" b="0"/>
            <wp:docPr id="654951524" name="Picture 15" descr="A screenshot of a video chann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951524" name="Picture 15" descr="A screenshot of a video channel&#10;&#10;AI-generated content may be incorrect."/>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731510" cy="4308475"/>
                    </a:xfrm>
                    <a:prstGeom prst="rect">
                      <a:avLst/>
                    </a:prstGeom>
                  </pic:spPr>
                </pic:pic>
              </a:graphicData>
            </a:graphic>
          </wp:inline>
        </w:drawing>
      </w:r>
    </w:p>
    <w:p w14:paraId="5FE341B1" w14:textId="77777777" w:rsidR="00E76A8E" w:rsidRPr="002B1691" w:rsidRDefault="00E76A8E" w:rsidP="002B1691">
      <w:pPr>
        <w:spacing w:line="360" w:lineRule="auto"/>
        <w:rPr>
          <w:rFonts w:ascii="Arial" w:hAnsi="Arial" w:cs="Arial"/>
        </w:rPr>
      </w:pPr>
      <w:r w:rsidRPr="002B1691">
        <w:rPr>
          <w:rFonts w:ascii="Arial" w:hAnsi="Arial" w:cs="Arial"/>
        </w:rPr>
        <w:lastRenderedPageBreak/>
        <w:t xml:space="preserve">Interpretation: </w:t>
      </w:r>
      <w:proofErr w:type="spellStart"/>
      <w:r w:rsidRPr="002B1691">
        <w:rPr>
          <w:rFonts w:ascii="Arial" w:hAnsi="Arial" w:cs="Arial"/>
        </w:rPr>
        <w:t>IShowSpeed's</w:t>
      </w:r>
      <w:proofErr w:type="spellEnd"/>
      <w:r w:rsidRPr="002B1691">
        <w:rPr>
          <w:rFonts w:ascii="Arial" w:hAnsi="Arial" w:cs="Arial"/>
        </w:rPr>
        <w:t xml:space="preserve"> figures illustrate entertainment reach; Huda Kattan's personal Instagram figure illustrates the reach of a creator associated with a consumer brand; and Bartlett's YouTube milestone illustrates the scale of a long-form media property. These indicators do not establish relative income, engagement quality or profitability.</w:t>
      </w:r>
    </w:p>
    <w:p w14:paraId="1BFC9208" w14:textId="77777777" w:rsidR="002B1691" w:rsidRDefault="002B1691" w:rsidP="00E76A8E">
      <w:pPr>
        <w:rPr>
          <w:rFonts w:ascii="Arial" w:hAnsi="Arial" w:cs="Arial"/>
          <w:b/>
          <w:bCs/>
        </w:rPr>
      </w:pPr>
    </w:p>
    <w:p w14:paraId="3274FD59" w14:textId="77777777" w:rsidR="002B1691" w:rsidRPr="002B1691" w:rsidRDefault="002B1691" w:rsidP="002B1691">
      <w:pPr>
        <w:pStyle w:val="Heading1"/>
        <w:numPr>
          <w:ilvl w:val="0"/>
          <w:numId w:val="7"/>
        </w:numPr>
        <w:rPr>
          <w:rFonts w:ascii="Arial" w:hAnsi="Arial" w:cs="Arial"/>
          <w:b/>
          <w:bCs/>
          <w:color w:val="000000" w:themeColor="text1"/>
          <w:sz w:val="28"/>
          <w:szCs w:val="28"/>
        </w:rPr>
      </w:pPr>
      <w:r w:rsidRPr="002B1691">
        <w:rPr>
          <w:rFonts w:ascii="Arial" w:hAnsi="Arial" w:cs="Arial"/>
          <w:b/>
          <w:bCs/>
          <w:color w:val="000000" w:themeColor="text1"/>
          <w:sz w:val="28"/>
          <w:szCs w:val="28"/>
        </w:rPr>
        <w:t>Appendix F: Comparison of creator business models</w:t>
      </w:r>
    </w:p>
    <w:p w14:paraId="5E5931CA" w14:textId="77777777" w:rsidR="002B1691" w:rsidRPr="002B1691" w:rsidRDefault="002B1691" w:rsidP="002B1691">
      <w:pPr>
        <w:ind w:left="500"/>
        <w:rPr>
          <w:rFonts w:ascii="Arial" w:hAnsi="Arial" w:cs="Arial"/>
          <w:b/>
          <w:bCs/>
        </w:rPr>
      </w:pPr>
    </w:p>
    <w:tbl>
      <w:tblPr>
        <w:tblStyle w:val="TableGrid"/>
        <w:tblW w:w="10183" w:type="dxa"/>
        <w:tblInd w:w="-127" w:type="dxa"/>
        <w:tblLook w:val="04A0" w:firstRow="1" w:lastRow="0" w:firstColumn="1" w:lastColumn="0" w:noHBand="0" w:noVBand="1"/>
      </w:tblPr>
      <w:tblGrid>
        <w:gridCol w:w="2682"/>
        <w:gridCol w:w="2767"/>
        <w:gridCol w:w="2367"/>
        <w:gridCol w:w="2367"/>
      </w:tblGrid>
      <w:tr w:rsidR="002B1691" w14:paraId="61A8E8ED" w14:textId="77777777" w:rsidTr="002B1691">
        <w:trPr>
          <w:trHeight w:val="527"/>
        </w:trPr>
        <w:tc>
          <w:tcPr>
            <w:tcW w:w="2682" w:type="dxa"/>
          </w:tcPr>
          <w:p w14:paraId="0F927708" w14:textId="299348A1" w:rsidR="002B1691" w:rsidRDefault="002B1691" w:rsidP="002B1691">
            <w:pPr>
              <w:pStyle w:val="ListParagraph"/>
              <w:ind w:left="0"/>
              <w:rPr>
                <w:rFonts w:ascii="Arial" w:hAnsi="Arial" w:cs="Arial"/>
                <w:b/>
                <w:bCs/>
                <w:sz w:val="28"/>
                <w:szCs w:val="28"/>
              </w:rPr>
            </w:pPr>
            <w:r>
              <w:rPr>
                <w:rFonts w:ascii="Arial" w:hAnsi="Arial" w:cs="Arial"/>
                <w:b/>
                <w:bCs/>
                <w:sz w:val="28"/>
                <w:szCs w:val="28"/>
              </w:rPr>
              <w:t>Dimension</w:t>
            </w:r>
          </w:p>
        </w:tc>
        <w:tc>
          <w:tcPr>
            <w:tcW w:w="2767" w:type="dxa"/>
          </w:tcPr>
          <w:p w14:paraId="00ED1998" w14:textId="11AFA0A9" w:rsidR="002B1691" w:rsidRPr="002B1691" w:rsidRDefault="002B1691" w:rsidP="002B1691">
            <w:pPr>
              <w:pStyle w:val="ListParagraph"/>
              <w:ind w:left="0"/>
              <w:rPr>
                <w:rFonts w:ascii="Arial" w:hAnsi="Arial" w:cs="Arial"/>
                <w:b/>
                <w:bCs/>
              </w:rPr>
            </w:pPr>
            <w:proofErr w:type="spellStart"/>
            <w:r w:rsidRPr="002B1691">
              <w:rPr>
                <w:rFonts w:ascii="Arial" w:hAnsi="Arial" w:cs="Arial"/>
                <w:b/>
                <w:bCs/>
              </w:rPr>
              <w:t>IShowSpeeed</w:t>
            </w:r>
            <w:proofErr w:type="spellEnd"/>
          </w:p>
        </w:tc>
        <w:tc>
          <w:tcPr>
            <w:tcW w:w="2367" w:type="dxa"/>
          </w:tcPr>
          <w:p w14:paraId="22FB8BBA" w14:textId="1D00716F" w:rsidR="002B1691" w:rsidRPr="002B1691" w:rsidRDefault="002B1691" w:rsidP="002B1691">
            <w:pPr>
              <w:pStyle w:val="ListParagraph"/>
              <w:ind w:left="0"/>
              <w:rPr>
                <w:rFonts w:ascii="Arial" w:hAnsi="Arial" w:cs="Arial"/>
                <w:b/>
                <w:bCs/>
              </w:rPr>
            </w:pPr>
            <w:r w:rsidRPr="002B1691">
              <w:rPr>
                <w:rFonts w:ascii="Arial" w:hAnsi="Arial" w:cs="Arial"/>
                <w:b/>
                <w:bCs/>
              </w:rPr>
              <w:t>Huda Kattan</w:t>
            </w:r>
          </w:p>
        </w:tc>
        <w:tc>
          <w:tcPr>
            <w:tcW w:w="2367" w:type="dxa"/>
          </w:tcPr>
          <w:p w14:paraId="272C1831" w14:textId="1CB01145" w:rsidR="002B1691" w:rsidRPr="002B1691" w:rsidRDefault="002B1691" w:rsidP="002B1691">
            <w:pPr>
              <w:pStyle w:val="ListParagraph"/>
              <w:ind w:left="0"/>
              <w:rPr>
                <w:rFonts w:ascii="Arial" w:hAnsi="Arial" w:cs="Arial"/>
                <w:b/>
                <w:bCs/>
                <w:sz w:val="28"/>
                <w:szCs w:val="28"/>
              </w:rPr>
            </w:pPr>
            <w:r w:rsidRPr="002B1691">
              <w:rPr>
                <w:rFonts w:ascii="Arial" w:hAnsi="Arial" w:cs="Arial"/>
                <w:b/>
                <w:bCs/>
              </w:rPr>
              <w:t>Steven</w:t>
            </w:r>
            <w:r>
              <w:rPr>
                <w:rFonts w:ascii="Arial" w:hAnsi="Arial" w:cs="Arial"/>
                <w:b/>
                <w:bCs/>
              </w:rPr>
              <w:t xml:space="preserve"> </w:t>
            </w:r>
            <w:r w:rsidRPr="002B1691">
              <w:rPr>
                <w:rFonts w:ascii="Arial" w:hAnsi="Arial" w:cs="Arial"/>
                <w:b/>
                <w:bCs/>
              </w:rPr>
              <w:t>Bartlett</w:t>
            </w:r>
          </w:p>
        </w:tc>
      </w:tr>
      <w:tr w:rsidR="002B1691" w14:paraId="55A35E52" w14:textId="77777777" w:rsidTr="002B1691">
        <w:trPr>
          <w:trHeight w:val="676"/>
        </w:trPr>
        <w:tc>
          <w:tcPr>
            <w:tcW w:w="2682" w:type="dxa"/>
          </w:tcPr>
          <w:p w14:paraId="27FCBB7B" w14:textId="69104B7B" w:rsidR="002B1691" w:rsidRDefault="002B1691" w:rsidP="002B1691">
            <w:pPr>
              <w:pStyle w:val="ListParagraph"/>
              <w:ind w:left="0"/>
              <w:rPr>
                <w:rFonts w:ascii="Arial" w:hAnsi="Arial" w:cs="Arial"/>
                <w:b/>
                <w:bCs/>
                <w:sz w:val="28"/>
                <w:szCs w:val="28"/>
              </w:rPr>
            </w:pPr>
            <w:r w:rsidRPr="00DB3935">
              <w:rPr>
                <w:rFonts w:ascii="Arial" w:hAnsi="Arial" w:cs="Arial"/>
                <w:color w:val="000000" w:themeColor="text1"/>
              </w:rPr>
              <w:t>Principal model</w:t>
            </w:r>
          </w:p>
        </w:tc>
        <w:tc>
          <w:tcPr>
            <w:tcW w:w="2767" w:type="dxa"/>
          </w:tcPr>
          <w:p w14:paraId="25B124B8" w14:textId="5FEA7715" w:rsidR="002B1691" w:rsidRDefault="002B1691" w:rsidP="002B1691">
            <w:pPr>
              <w:pStyle w:val="ListParagraph"/>
              <w:ind w:left="0"/>
              <w:rPr>
                <w:rFonts w:ascii="Arial" w:hAnsi="Arial" w:cs="Arial"/>
                <w:b/>
                <w:bCs/>
                <w:sz w:val="28"/>
                <w:szCs w:val="28"/>
              </w:rPr>
            </w:pPr>
            <w:r w:rsidRPr="00DB3935">
              <w:rPr>
                <w:rFonts w:ascii="Arial" w:hAnsi="Arial" w:cs="Arial"/>
                <w:color w:val="000000" w:themeColor="text1"/>
              </w:rPr>
              <w:t>Livestreaming and personality-led entertainment</w:t>
            </w:r>
          </w:p>
        </w:tc>
        <w:tc>
          <w:tcPr>
            <w:tcW w:w="2367" w:type="dxa"/>
          </w:tcPr>
          <w:p w14:paraId="17DA61D1" w14:textId="7D68DD56" w:rsidR="002B1691" w:rsidRDefault="002B1691" w:rsidP="002B1691">
            <w:pPr>
              <w:pStyle w:val="ListParagraph"/>
              <w:ind w:left="0"/>
              <w:rPr>
                <w:rFonts w:ascii="Arial" w:hAnsi="Arial" w:cs="Arial"/>
                <w:b/>
                <w:bCs/>
                <w:sz w:val="28"/>
                <w:szCs w:val="28"/>
              </w:rPr>
            </w:pPr>
            <w:r w:rsidRPr="00DB3935">
              <w:rPr>
                <w:rFonts w:ascii="Arial" w:hAnsi="Arial" w:cs="Arial"/>
                <w:color w:val="000000" w:themeColor="text1"/>
              </w:rPr>
              <w:t>Beauty content and creator-led consumer brand</w:t>
            </w:r>
          </w:p>
        </w:tc>
        <w:tc>
          <w:tcPr>
            <w:tcW w:w="2367" w:type="dxa"/>
          </w:tcPr>
          <w:p w14:paraId="2FE74088" w14:textId="190C886A" w:rsidR="002B1691" w:rsidRDefault="002B1691" w:rsidP="002B1691">
            <w:pPr>
              <w:pStyle w:val="ListParagraph"/>
              <w:ind w:left="0"/>
              <w:rPr>
                <w:rFonts w:ascii="Arial" w:hAnsi="Arial" w:cs="Arial"/>
                <w:b/>
                <w:bCs/>
                <w:sz w:val="28"/>
                <w:szCs w:val="28"/>
              </w:rPr>
            </w:pPr>
            <w:r w:rsidRPr="00DB3935">
              <w:rPr>
                <w:rFonts w:ascii="Arial" w:hAnsi="Arial" w:cs="Arial"/>
                <w:color w:val="000000" w:themeColor="text1"/>
              </w:rPr>
              <w:t>Podcasting, media and entrepreneurship</w:t>
            </w:r>
          </w:p>
        </w:tc>
      </w:tr>
      <w:tr w:rsidR="002B1691" w14:paraId="3C1EDA55" w14:textId="77777777" w:rsidTr="002B1691">
        <w:trPr>
          <w:trHeight w:val="696"/>
        </w:trPr>
        <w:tc>
          <w:tcPr>
            <w:tcW w:w="2682" w:type="dxa"/>
          </w:tcPr>
          <w:p w14:paraId="7766637A" w14:textId="6209F179" w:rsidR="002B1691" w:rsidRDefault="002B1691" w:rsidP="002B1691">
            <w:pPr>
              <w:pStyle w:val="ListParagraph"/>
              <w:ind w:left="0"/>
              <w:rPr>
                <w:rFonts w:ascii="Arial" w:hAnsi="Arial" w:cs="Arial"/>
                <w:b/>
                <w:bCs/>
                <w:sz w:val="28"/>
                <w:szCs w:val="28"/>
              </w:rPr>
            </w:pPr>
            <w:r w:rsidRPr="00DB3935">
              <w:rPr>
                <w:rFonts w:ascii="Arial" w:hAnsi="Arial" w:cs="Arial"/>
                <w:color w:val="000000" w:themeColor="text1"/>
              </w:rPr>
              <w:t>Main source of value</w:t>
            </w:r>
          </w:p>
        </w:tc>
        <w:tc>
          <w:tcPr>
            <w:tcW w:w="2767" w:type="dxa"/>
          </w:tcPr>
          <w:p w14:paraId="2E032A8B" w14:textId="4B02F4BE" w:rsidR="002B1691" w:rsidRDefault="002B1691" w:rsidP="002B1691">
            <w:pPr>
              <w:pStyle w:val="ListParagraph"/>
              <w:ind w:left="0"/>
              <w:rPr>
                <w:rFonts w:ascii="Arial" w:hAnsi="Arial" w:cs="Arial"/>
                <w:b/>
                <w:bCs/>
                <w:sz w:val="28"/>
                <w:szCs w:val="28"/>
              </w:rPr>
            </w:pPr>
            <w:r w:rsidRPr="00DB3935">
              <w:rPr>
                <w:rFonts w:ascii="Arial" w:hAnsi="Arial" w:cs="Arial"/>
                <w:color w:val="000000" w:themeColor="text1"/>
              </w:rPr>
              <w:t>Live interaction, entertainment and shareable moments</w:t>
            </w:r>
          </w:p>
        </w:tc>
        <w:tc>
          <w:tcPr>
            <w:tcW w:w="2367" w:type="dxa"/>
          </w:tcPr>
          <w:p w14:paraId="4A83EDA3" w14:textId="3C08BFFE" w:rsidR="002B1691" w:rsidRDefault="002B1691" w:rsidP="002B1691">
            <w:pPr>
              <w:pStyle w:val="ListParagraph"/>
              <w:ind w:left="0"/>
              <w:rPr>
                <w:rFonts w:ascii="Arial" w:hAnsi="Arial" w:cs="Arial"/>
                <w:b/>
                <w:bCs/>
                <w:sz w:val="28"/>
                <w:szCs w:val="28"/>
              </w:rPr>
            </w:pPr>
            <w:r w:rsidRPr="00DB3935">
              <w:rPr>
                <w:rFonts w:ascii="Arial" w:hAnsi="Arial" w:cs="Arial"/>
                <w:color w:val="000000" w:themeColor="text1"/>
              </w:rPr>
              <w:t>Beauty expertise, personal brand and products</w:t>
            </w:r>
          </w:p>
        </w:tc>
        <w:tc>
          <w:tcPr>
            <w:tcW w:w="2367" w:type="dxa"/>
          </w:tcPr>
          <w:p w14:paraId="42406992" w14:textId="65629E4F" w:rsidR="002B1691" w:rsidRDefault="002B1691" w:rsidP="002B1691">
            <w:pPr>
              <w:pStyle w:val="ListParagraph"/>
              <w:ind w:left="0"/>
              <w:rPr>
                <w:rFonts w:ascii="Arial" w:hAnsi="Arial" w:cs="Arial"/>
                <w:b/>
                <w:bCs/>
                <w:sz w:val="28"/>
                <w:szCs w:val="28"/>
              </w:rPr>
            </w:pPr>
            <w:r w:rsidRPr="00DB3935">
              <w:rPr>
                <w:rFonts w:ascii="Arial" w:hAnsi="Arial" w:cs="Arial"/>
                <w:color w:val="000000" w:themeColor="text1"/>
              </w:rPr>
              <w:t>Long-form conversations and media distribution</w:t>
            </w:r>
          </w:p>
        </w:tc>
      </w:tr>
      <w:tr w:rsidR="002B1691" w14:paraId="10B91D3B" w14:textId="77777777" w:rsidTr="002B1691">
        <w:trPr>
          <w:trHeight w:val="676"/>
        </w:trPr>
        <w:tc>
          <w:tcPr>
            <w:tcW w:w="2682" w:type="dxa"/>
          </w:tcPr>
          <w:p w14:paraId="06AAD5FC" w14:textId="3CD1D435" w:rsidR="002B1691" w:rsidRDefault="002B1691" w:rsidP="002B1691">
            <w:pPr>
              <w:pStyle w:val="ListParagraph"/>
              <w:ind w:left="0"/>
              <w:rPr>
                <w:rFonts w:ascii="Arial" w:hAnsi="Arial" w:cs="Arial"/>
                <w:b/>
                <w:bCs/>
                <w:sz w:val="28"/>
                <w:szCs w:val="28"/>
              </w:rPr>
            </w:pPr>
            <w:r w:rsidRPr="00DB3935">
              <w:rPr>
                <w:rFonts w:ascii="Arial" w:hAnsi="Arial" w:cs="Arial"/>
                <w:color w:val="000000" w:themeColor="text1"/>
              </w:rPr>
              <w:t>Most relevant STEEPLE factors</w:t>
            </w:r>
          </w:p>
        </w:tc>
        <w:tc>
          <w:tcPr>
            <w:tcW w:w="2767" w:type="dxa"/>
          </w:tcPr>
          <w:p w14:paraId="62DFD5A0" w14:textId="41D28E75" w:rsidR="002B1691" w:rsidRDefault="002B1691" w:rsidP="002B1691">
            <w:pPr>
              <w:pStyle w:val="ListParagraph"/>
              <w:ind w:left="0"/>
              <w:rPr>
                <w:rFonts w:ascii="Arial" w:hAnsi="Arial" w:cs="Arial"/>
                <w:b/>
                <w:bCs/>
                <w:sz w:val="28"/>
                <w:szCs w:val="28"/>
              </w:rPr>
            </w:pPr>
            <w:r w:rsidRPr="00DB3935">
              <w:rPr>
                <w:rFonts w:ascii="Arial" w:hAnsi="Arial" w:cs="Arial"/>
                <w:color w:val="000000" w:themeColor="text1"/>
              </w:rPr>
              <w:t>Technological, social, ethical and legal</w:t>
            </w:r>
          </w:p>
        </w:tc>
        <w:tc>
          <w:tcPr>
            <w:tcW w:w="2367" w:type="dxa"/>
          </w:tcPr>
          <w:p w14:paraId="401333FE" w14:textId="35C5E0E5" w:rsidR="002B1691" w:rsidRDefault="002B1691" w:rsidP="002B1691">
            <w:pPr>
              <w:pStyle w:val="ListParagraph"/>
              <w:ind w:left="0"/>
              <w:rPr>
                <w:rFonts w:ascii="Arial" w:hAnsi="Arial" w:cs="Arial"/>
                <w:b/>
                <w:bCs/>
                <w:sz w:val="28"/>
                <w:szCs w:val="28"/>
              </w:rPr>
            </w:pPr>
            <w:r w:rsidRPr="00DB3935">
              <w:rPr>
                <w:rFonts w:ascii="Arial" w:hAnsi="Arial" w:cs="Arial"/>
                <w:color w:val="000000" w:themeColor="text1"/>
              </w:rPr>
              <w:t>Economic, social, legal and ethical</w:t>
            </w:r>
          </w:p>
        </w:tc>
        <w:tc>
          <w:tcPr>
            <w:tcW w:w="2367" w:type="dxa"/>
          </w:tcPr>
          <w:p w14:paraId="3BBE5B16" w14:textId="49201F11" w:rsidR="002B1691" w:rsidRDefault="002B1691" w:rsidP="002B1691">
            <w:pPr>
              <w:pStyle w:val="ListParagraph"/>
              <w:ind w:left="0"/>
              <w:rPr>
                <w:rFonts w:ascii="Arial" w:hAnsi="Arial" w:cs="Arial"/>
                <w:b/>
                <w:bCs/>
                <w:sz w:val="28"/>
                <w:szCs w:val="28"/>
              </w:rPr>
            </w:pPr>
            <w:r w:rsidRPr="00DB3935">
              <w:rPr>
                <w:rFonts w:ascii="Arial" w:hAnsi="Arial" w:cs="Arial"/>
                <w:color w:val="000000" w:themeColor="text1"/>
              </w:rPr>
              <w:t>Technological, economic, legal and ethical</w:t>
            </w:r>
          </w:p>
        </w:tc>
      </w:tr>
      <w:tr w:rsidR="002B1691" w14:paraId="438FF6AB" w14:textId="77777777" w:rsidTr="002B1691">
        <w:trPr>
          <w:trHeight w:val="676"/>
        </w:trPr>
        <w:tc>
          <w:tcPr>
            <w:tcW w:w="2682" w:type="dxa"/>
          </w:tcPr>
          <w:p w14:paraId="28A329CA" w14:textId="35C537E7" w:rsidR="002B1691" w:rsidRDefault="002B1691" w:rsidP="002B1691">
            <w:pPr>
              <w:pStyle w:val="ListParagraph"/>
              <w:ind w:left="0"/>
              <w:rPr>
                <w:rFonts w:ascii="Arial" w:hAnsi="Arial" w:cs="Arial"/>
                <w:b/>
                <w:bCs/>
                <w:sz w:val="28"/>
                <w:szCs w:val="28"/>
              </w:rPr>
            </w:pPr>
            <w:r w:rsidRPr="00DB3935">
              <w:rPr>
                <w:rFonts w:ascii="Arial" w:hAnsi="Arial" w:cs="Arial"/>
                <w:color w:val="000000" w:themeColor="text1"/>
              </w:rPr>
              <w:t>Main vulnerability</w:t>
            </w:r>
          </w:p>
        </w:tc>
        <w:tc>
          <w:tcPr>
            <w:tcW w:w="2767" w:type="dxa"/>
          </w:tcPr>
          <w:p w14:paraId="1686FD8E" w14:textId="090E5306" w:rsidR="002B1691" w:rsidRDefault="002B1691" w:rsidP="002B1691">
            <w:pPr>
              <w:pStyle w:val="ListParagraph"/>
              <w:ind w:left="0"/>
              <w:rPr>
                <w:rFonts w:ascii="Arial" w:hAnsi="Arial" w:cs="Arial"/>
                <w:b/>
                <w:bCs/>
                <w:sz w:val="28"/>
                <w:szCs w:val="28"/>
              </w:rPr>
            </w:pPr>
            <w:r w:rsidRPr="00DB3935">
              <w:rPr>
                <w:rFonts w:ascii="Arial" w:hAnsi="Arial" w:cs="Arial"/>
                <w:color w:val="000000" w:themeColor="text1"/>
              </w:rPr>
              <w:t>Platform visibility and live reputational risk</w:t>
            </w:r>
          </w:p>
        </w:tc>
        <w:tc>
          <w:tcPr>
            <w:tcW w:w="2367" w:type="dxa"/>
          </w:tcPr>
          <w:p w14:paraId="53B9FBE3" w14:textId="64D47198" w:rsidR="002B1691" w:rsidRDefault="002B1691" w:rsidP="002B1691">
            <w:pPr>
              <w:pStyle w:val="ListParagraph"/>
              <w:ind w:left="0"/>
              <w:rPr>
                <w:rFonts w:ascii="Arial" w:hAnsi="Arial" w:cs="Arial"/>
                <w:b/>
                <w:bCs/>
                <w:sz w:val="28"/>
                <w:szCs w:val="28"/>
              </w:rPr>
            </w:pPr>
            <w:r w:rsidRPr="00DB3935">
              <w:rPr>
                <w:rFonts w:ascii="Arial" w:hAnsi="Arial" w:cs="Arial"/>
                <w:color w:val="000000" w:themeColor="text1"/>
              </w:rPr>
              <w:t>Product trust, competition and consumer confidence</w:t>
            </w:r>
          </w:p>
        </w:tc>
        <w:tc>
          <w:tcPr>
            <w:tcW w:w="2367" w:type="dxa"/>
          </w:tcPr>
          <w:p w14:paraId="2101225C" w14:textId="5AE4A5E8" w:rsidR="002B1691" w:rsidRDefault="002B1691" w:rsidP="002B1691">
            <w:pPr>
              <w:pStyle w:val="ListParagraph"/>
              <w:ind w:left="0"/>
              <w:rPr>
                <w:rFonts w:ascii="Arial" w:hAnsi="Arial" w:cs="Arial"/>
                <w:b/>
                <w:bCs/>
                <w:sz w:val="28"/>
                <w:szCs w:val="28"/>
              </w:rPr>
            </w:pPr>
            <w:r w:rsidRPr="00DB3935">
              <w:rPr>
                <w:rFonts w:ascii="Arial" w:hAnsi="Arial" w:cs="Arial"/>
                <w:color w:val="000000" w:themeColor="text1"/>
              </w:rPr>
              <w:t>Platform discovery, audience retention and credibility</w:t>
            </w:r>
          </w:p>
        </w:tc>
      </w:tr>
      <w:tr w:rsidR="002B1691" w14:paraId="6B09A043" w14:textId="77777777" w:rsidTr="002B1691">
        <w:trPr>
          <w:trHeight w:val="676"/>
        </w:trPr>
        <w:tc>
          <w:tcPr>
            <w:tcW w:w="2682" w:type="dxa"/>
          </w:tcPr>
          <w:p w14:paraId="04F6D065" w14:textId="71001B86" w:rsidR="002B1691" w:rsidRDefault="002B1691" w:rsidP="002B1691">
            <w:pPr>
              <w:pStyle w:val="ListParagraph"/>
              <w:ind w:left="0"/>
              <w:rPr>
                <w:rFonts w:ascii="Arial" w:hAnsi="Arial" w:cs="Arial"/>
                <w:b/>
                <w:bCs/>
                <w:sz w:val="28"/>
                <w:szCs w:val="28"/>
              </w:rPr>
            </w:pPr>
            <w:r w:rsidRPr="00DB3935">
              <w:rPr>
                <w:rFonts w:ascii="Arial" w:hAnsi="Arial" w:cs="Arial"/>
                <w:color w:val="000000" w:themeColor="text1"/>
              </w:rPr>
              <w:t>Recommended response</w:t>
            </w:r>
          </w:p>
        </w:tc>
        <w:tc>
          <w:tcPr>
            <w:tcW w:w="2767" w:type="dxa"/>
          </w:tcPr>
          <w:p w14:paraId="0BA5771B" w14:textId="3D5DCB9A" w:rsidR="002B1691" w:rsidRDefault="002B1691" w:rsidP="002B1691">
            <w:pPr>
              <w:pStyle w:val="ListParagraph"/>
              <w:ind w:left="0"/>
              <w:rPr>
                <w:rFonts w:ascii="Arial" w:hAnsi="Arial" w:cs="Arial"/>
                <w:b/>
                <w:bCs/>
                <w:sz w:val="28"/>
                <w:szCs w:val="28"/>
              </w:rPr>
            </w:pPr>
            <w:r w:rsidRPr="00DB3935">
              <w:rPr>
                <w:rFonts w:ascii="Arial" w:hAnsi="Arial" w:cs="Arial"/>
                <w:color w:val="000000" w:themeColor="text1"/>
              </w:rPr>
              <w:t>Diversify distribution and use live-content safeguards</w:t>
            </w:r>
          </w:p>
        </w:tc>
        <w:tc>
          <w:tcPr>
            <w:tcW w:w="2367" w:type="dxa"/>
          </w:tcPr>
          <w:p w14:paraId="65D6F410" w14:textId="70CD618D" w:rsidR="002B1691" w:rsidRDefault="002B1691" w:rsidP="002B1691">
            <w:pPr>
              <w:pStyle w:val="ListParagraph"/>
              <w:ind w:left="0"/>
              <w:rPr>
                <w:rFonts w:ascii="Arial" w:hAnsi="Arial" w:cs="Arial"/>
                <w:b/>
                <w:bCs/>
                <w:sz w:val="28"/>
                <w:szCs w:val="28"/>
              </w:rPr>
            </w:pPr>
            <w:r w:rsidRPr="00DB3935">
              <w:rPr>
                <w:rFonts w:ascii="Arial" w:hAnsi="Arial" w:cs="Arial"/>
                <w:color w:val="000000" w:themeColor="text1"/>
              </w:rPr>
              <w:t>Protect product quality and develop direct customer relationships</w:t>
            </w:r>
          </w:p>
        </w:tc>
        <w:tc>
          <w:tcPr>
            <w:tcW w:w="2367" w:type="dxa"/>
          </w:tcPr>
          <w:p w14:paraId="025DFEEE" w14:textId="633C4C5D" w:rsidR="002B1691" w:rsidRDefault="002B1691" w:rsidP="002B1691">
            <w:pPr>
              <w:pStyle w:val="ListParagraph"/>
              <w:ind w:left="0"/>
              <w:rPr>
                <w:rFonts w:ascii="Arial" w:hAnsi="Arial" w:cs="Arial"/>
                <w:b/>
                <w:bCs/>
                <w:sz w:val="28"/>
                <w:szCs w:val="28"/>
              </w:rPr>
            </w:pPr>
            <w:r w:rsidRPr="00DB3935">
              <w:rPr>
                <w:rFonts w:ascii="Arial" w:hAnsi="Arial" w:cs="Arial"/>
                <w:color w:val="000000" w:themeColor="text1"/>
              </w:rPr>
              <w:t>Diversify distribution and maintain editorial standards</w:t>
            </w:r>
          </w:p>
        </w:tc>
      </w:tr>
      <w:tr w:rsidR="002B1691" w14:paraId="6E04C3EA" w14:textId="77777777" w:rsidTr="002B1691">
        <w:trPr>
          <w:trHeight w:val="676"/>
        </w:trPr>
        <w:tc>
          <w:tcPr>
            <w:tcW w:w="2682" w:type="dxa"/>
          </w:tcPr>
          <w:p w14:paraId="6B562632" w14:textId="4AF5F2B8" w:rsidR="002B1691" w:rsidRDefault="002B1691" w:rsidP="002B1691">
            <w:pPr>
              <w:pStyle w:val="ListParagraph"/>
              <w:ind w:left="0"/>
              <w:rPr>
                <w:rFonts w:ascii="Arial" w:hAnsi="Arial" w:cs="Arial"/>
                <w:b/>
                <w:bCs/>
                <w:sz w:val="28"/>
                <w:szCs w:val="28"/>
              </w:rPr>
            </w:pPr>
            <w:r w:rsidRPr="00DB3935">
              <w:rPr>
                <w:rFonts w:ascii="Arial" w:hAnsi="Arial" w:cs="Arial"/>
                <w:color w:val="000000" w:themeColor="text1"/>
              </w:rPr>
              <w:t>Future opportunity</w:t>
            </w:r>
          </w:p>
        </w:tc>
        <w:tc>
          <w:tcPr>
            <w:tcW w:w="2767" w:type="dxa"/>
          </w:tcPr>
          <w:p w14:paraId="630446AC" w14:textId="1864BC24" w:rsidR="002B1691" w:rsidRDefault="002B1691" w:rsidP="002B1691">
            <w:pPr>
              <w:pStyle w:val="ListParagraph"/>
              <w:ind w:left="0"/>
              <w:rPr>
                <w:rFonts w:ascii="Arial" w:hAnsi="Arial" w:cs="Arial"/>
                <w:b/>
                <w:bCs/>
                <w:sz w:val="28"/>
                <w:szCs w:val="28"/>
              </w:rPr>
            </w:pPr>
            <w:r w:rsidRPr="00DB3935">
              <w:rPr>
                <w:rFonts w:ascii="Arial" w:hAnsi="Arial" w:cs="Arial"/>
                <w:color w:val="000000" w:themeColor="text1"/>
              </w:rPr>
              <w:t>AI-assisted translation and cross-platform clips</w:t>
            </w:r>
          </w:p>
        </w:tc>
        <w:tc>
          <w:tcPr>
            <w:tcW w:w="2367" w:type="dxa"/>
          </w:tcPr>
          <w:p w14:paraId="36180DBA" w14:textId="6E0540C4" w:rsidR="002B1691" w:rsidRDefault="002B1691" w:rsidP="002B1691">
            <w:pPr>
              <w:pStyle w:val="ListParagraph"/>
              <w:ind w:left="0"/>
              <w:rPr>
                <w:rFonts w:ascii="Arial" w:hAnsi="Arial" w:cs="Arial"/>
                <w:b/>
                <w:bCs/>
                <w:sz w:val="28"/>
                <w:szCs w:val="28"/>
              </w:rPr>
            </w:pPr>
            <w:r w:rsidRPr="00DB3935">
              <w:rPr>
                <w:rFonts w:ascii="Arial" w:hAnsi="Arial" w:cs="Arial"/>
                <w:color w:val="000000" w:themeColor="text1"/>
              </w:rPr>
              <w:t>Social commerce and owned product channels</w:t>
            </w:r>
          </w:p>
        </w:tc>
        <w:tc>
          <w:tcPr>
            <w:tcW w:w="2367" w:type="dxa"/>
          </w:tcPr>
          <w:p w14:paraId="53D358DC" w14:textId="704A15A6" w:rsidR="002B1691" w:rsidRDefault="002B1691" w:rsidP="002B1691">
            <w:pPr>
              <w:pStyle w:val="ListParagraph"/>
              <w:ind w:left="0"/>
              <w:rPr>
                <w:rFonts w:ascii="Arial" w:hAnsi="Arial" w:cs="Arial"/>
                <w:b/>
                <w:bCs/>
                <w:sz w:val="28"/>
                <w:szCs w:val="28"/>
              </w:rPr>
            </w:pPr>
            <w:r w:rsidRPr="00DB3935">
              <w:rPr>
                <w:rFonts w:ascii="Arial" w:hAnsi="Arial" w:cs="Arial"/>
                <w:color w:val="000000" w:themeColor="text1"/>
              </w:rPr>
              <w:t>Multi-format publishing and international distribution</w:t>
            </w:r>
          </w:p>
        </w:tc>
      </w:tr>
    </w:tbl>
    <w:p w14:paraId="0285DBA5" w14:textId="77777777" w:rsidR="002B1691" w:rsidRDefault="002B1691" w:rsidP="002B1691">
      <w:r>
        <w:t xml:space="preserve"> </w:t>
      </w:r>
    </w:p>
    <w:p w14:paraId="25401C04" w14:textId="2C84ED06" w:rsidR="002B1691" w:rsidRDefault="002B1691" w:rsidP="002B1691">
      <w:r>
        <w:t>This comparison applies the industry-wide frameworks to three different creator models. Appendix A identifies the external environment, Appendix B evaluates the industry's strategic position, and Appendix F demonstrates how the same factors can have different implications for individual creators.</w:t>
      </w:r>
    </w:p>
    <w:p w14:paraId="59DE9CCB" w14:textId="77777777" w:rsidR="00E76A8E" w:rsidRPr="00E76A8E" w:rsidRDefault="00E76A8E" w:rsidP="00E76A8E">
      <w:pPr>
        <w:pStyle w:val="ListParagraph"/>
        <w:ind w:left="860"/>
        <w:rPr>
          <w:rFonts w:ascii="Arial" w:hAnsi="Arial" w:cs="Arial"/>
          <w:b/>
          <w:bCs/>
          <w:sz w:val="28"/>
          <w:szCs w:val="28"/>
        </w:rPr>
      </w:pPr>
    </w:p>
    <w:sectPr w:rsidR="00E76A8E" w:rsidRPr="00E76A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12ACBD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5C7593E"/>
    <w:multiLevelType w:val="hybridMultilevel"/>
    <w:tmpl w:val="C8BC92DA"/>
    <w:lvl w:ilvl="0" w:tplc="FF38B3B2">
      <w:start w:val="1"/>
      <w:numFmt w:val="decimal"/>
      <w:lvlText w:val="%1."/>
      <w:lvlJc w:val="left"/>
      <w:pPr>
        <w:ind w:left="1720" w:hanging="360"/>
      </w:pPr>
      <w:rPr>
        <w:rFonts w:hint="default"/>
      </w:rPr>
    </w:lvl>
    <w:lvl w:ilvl="1" w:tplc="08090019" w:tentative="1">
      <w:start w:val="1"/>
      <w:numFmt w:val="lowerLetter"/>
      <w:lvlText w:val="%2."/>
      <w:lvlJc w:val="left"/>
      <w:pPr>
        <w:ind w:left="2660" w:hanging="360"/>
      </w:pPr>
    </w:lvl>
    <w:lvl w:ilvl="2" w:tplc="0809001B" w:tentative="1">
      <w:start w:val="1"/>
      <w:numFmt w:val="lowerRoman"/>
      <w:lvlText w:val="%3."/>
      <w:lvlJc w:val="right"/>
      <w:pPr>
        <w:ind w:left="3380" w:hanging="180"/>
      </w:pPr>
    </w:lvl>
    <w:lvl w:ilvl="3" w:tplc="0809000F" w:tentative="1">
      <w:start w:val="1"/>
      <w:numFmt w:val="decimal"/>
      <w:lvlText w:val="%4."/>
      <w:lvlJc w:val="left"/>
      <w:pPr>
        <w:ind w:left="4100" w:hanging="360"/>
      </w:pPr>
    </w:lvl>
    <w:lvl w:ilvl="4" w:tplc="08090019" w:tentative="1">
      <w:start w:val="1"/>
      <w:numFmt w:val="lowerLetter"/>
      <w:lvlText w:val="%5."/>
      <w:lvlJc w:val="left"/>
      <w:pPr>
        <w:ind w:left="4820" w:hanging="360"/>
      </w:pPr>
    </w:lvl>
    <w:lvl w:ilvl="5" w:tplc="0809001B" w:tentative="1">
      <w:start w:val="1"/>
      <w:numFmt w:val="lowerRoman"/>
      <w:lvlText w:val="%6."/>
      <w:lvlJc w:val="right"/>
      <w:pPr>
        <w:ind w:left="5540" w:hanging="180"/>
      </w:pPr>
    </w:lvl>
    <w:lvl w:ilvl="6" w:tplc="0809000F" w:tentative="1">
      <w:start w:val="1"/>
      <w:numFmt w:val="decimal"/>
      <w:lvlText w:val="%7."/>
      <w:lvlJc w:val="left"/>
      <w:pPr>
        <w:ind w:left="6260" w:hanging="360"/>
      </w:pPr>
    </w:lvl>
    <w:lvl w:ilvl="7" w:tplc="08090019" w:tentative="1">
      <w:start w:val="1"/>
      <w:numFmt w:val="lowerLetter"/>
      <w:lvlText w:val="%8."/>
      <w:lvlJc w:val="left"/>
      <w:pPr>
        <w:ind w:left="6980" w:hanging="360"/>
      </w:pPr>
    </w:lvl>
    <w:lvl w:ilvl="8" w:tplc="0809001B" w:tentative="1">
      <w:start w:val="1"/>
      <w:numFmt w:val="lowerRoman"/>
      <w:lvlText w:val="%9."/>
      <w:lvlJc w:val="right"/>
      <w:pPr>
        <w:ind w:left="7700" w:hanging="180"/>
      </w:pPr>
    </w:lvl>
  </w:abstractNum>
  <w:abstractNum w:abstractNumId="2" w15:restartNumberingAfterBreak="0">
    <w:nsid w:val="070A3F8C"/>
    <w:multiLevelType w:val="hybridMultilevel"/>
    <w:tmpl w:val="57A60842"/>
    <w:lvl w:ilvl="0" w:tplc="08090001">
      <w:start w:val="1"/>
      <w:numFmt w:val="bullet"/>
      <w:lvlText w:val=""/>
      <w:lvlJc w:val="left"/>
      <w:pPr>
        <w:ind w:left="1220" w:hanging="360"/>
      </w:pPr>
      <w:rPr>
        <w:rFonts w:ascii="Symbol" w:hAnsi="Symbol" w:hint="default"/>
      </w:rPr>
    </w:lvl>
    <w:lvl w:ilvl="1" w:tplc="08090003" w:tentative="1">
      <w:start w:val="1"/>
      <w:numFmt w:val="bullet"/>
      <w:lvlText w:val="o"/>
      <w:lvlJc w:val="left"/>
      <w:pPr>
        <w:ind w:left="1940" w:hanging="360"/>
      </w:pPr>
      <w:rPr>
        <w:rFonts w:ascii="Courier New" w:hAnsi="Courier New" w:cs="Courier New" w:hint="default"/>
      </w:rPr>
    </w:lvl>
    <w:lvl w:ilvl="2" w:tplc="08090005" w:tentative="1">
      <w:start w:val="1"/>
      <w:numFmt w:val="bullet"/>
      <w:lvlText w:val=""/>
      <w:lvlJc w:val="left"/>
      <w:pPr>
        <w:ind w:left="2660" w:hanging="360"/>
      </w:pPr>
      <w:rPr>
        <w:rFonts w:ascii="Wingdings" w:hAnsi="Wingdings" w:hint="default"/>
      </w:rPr>
    </w:lvl>
    <w:lvl w:ilvl="3" w:tplc="08090001" w:tentative="1">
      <w:start w:val="1"/>
      <w:numFmt w:val="bullet"/>
      <w:lvlText w:val=""/>
      <w:lvlJc w:val="left"/>
      <w:pPr>
        <w:ind w:left="3380" w:hanging="360"/>
      </w:pPr>
      <w:rPr>
        <w:rFonts w:ascii="Symbol" w:hAnsi="Symbol" w:hint="default"/>
      </w:rPr>
    </w:lvl>
    <w:lvl w:ilvl="4" w:tplc="08090003" w:tentative="1">
      <w:start w:val="1"/>
      <w:numFmt w:val="bullet"/>
      <w:lvlText w:val="o"/>
      <w:lvlJc w:val="left"/>
      <w:pPr>
        <w:ind w:left="4100" w:hanging="360"/>
      </w:pPr>
      <w:rPr>
        <w:rFonts w:ascii="Courier New" w:hAnsi="Courier New" w:cs="Courier New" w:hint="default"/>
      </w:rPr>
    </w:lvl>
    <w:lvl w:ilvl="5" w:tplc="08090005" w:tentative="1">
      <w:start w:val="1"/>
      <w:numFmt w:val="bullet"/>
      <w:lvlText w:val=""/>
      <w:lvlJc w:val="left"/>
      <w:pPr>
        <w:ind w:left="4820" w:hanging="360"/>
      </w:pPr>
      <w:rPr>
        <w:rFonts w:ascii="Wingdings" w:hAnsi="Wingdings" w:hint="default"/>
      </w:rPr>
    </w:lvl>
    <w:lvl w:ilvl="6" w:tplc="08090001" w:tentative="1">
      <w:start w:val="1"/>
      <w:numFmt w:val="bullet"/>
      <w:lvlText w:val=""/>
      <w:lvlJc w:val="left"/>
      <w:pPr>
        <w:ind w:left="5540" w:hanging="360"/>
      </w:pPr>
      <w:rPr>
        <w:rFonts w:ascii="Symbol" w:hAnsi="Symbol" w:hint="default"/>
      </w:rPr>
    </w:lvl>
    <w:lvl w:ilvl="7" w:tplc="08090003" w:tentative="1">
      <w:start w:val="1"/>
      <w:numFmt w:val="bullet"/>
      <w:lvlText w:val="o"/>
      <w:lvlJc w:val="left"/>
      <w:pPr>
        <w:ind w:left="6260" w:hanging="360"/>
      </w:pPr>
      <w:rPr>
        <w:rFonts w:ascii="Courier New" w:hAnsi="Courier New" w:cs="Courier New" w:hint="default"/>
      </w:rPr>
    </w:lvl>
    <w:lvl w:ilvl="8" w:tplc="08090005" w:tentative="1">
      <w:start w:val="1"/>
      <w:numFmt w:val="bullet"/>
      <w:lvlText w:val=""/>
      <w:lvlJc w:val="left"/>
      <w:pPr>
        <w:ind w:left="6980" w:hanging="360"/>
      </w:pPr>
      <w:rPr>
        <w:rFonts w:ascii="Wingdings" w:hAnsi="Wingdings" w:hint="default"/>
      </w:rPr>
    </w:lvl>
  </w:abstractNum>
  <w:abstractNum w:abstractNumId="3" w15:restartNumberingAfterBreak="0">
    <w:nsid w:val="10E25BC2"/>
    <w:multiLevelType w:val="hybridMultilevel"/>
    <w:tmpl w:val="FAAC274A"/>
    <w:lvl w:ilvl="0" w:tplc="08090001">
      <w:start w:val="1"/>
      <w:numFmt w:val="bullet"/>
      <w:lvlText w:val=""/>
      <w:lvlJc w:val="left"/>
      <w:pPr>
        <w:ind w:left="1220" w:hanging="360"/>
      </w:pPr>
      <w:rPr>
        <w:rFonts w:ascii="Symbol" w:hAnsi="Symbol" w:hint="default"/>
      </w:rPr>
    </w:lvl>
    <w:lvl w:ilvl="1" w:tplc="08090003" w:tentative="1">
      <w:start w:val="1"/>
      <w:numFmt w:val="bullet"/>
      <w:lvlText w:val="o"/>
      <w:lvlJc w:val="left"/>
      <w:pPr>
        <w:ind w:left="1940" w:hanging="360"/>
      </w:pPr>
      <w:rPr>
        <w:rFonts w:ascii="Courier New" w:hAnsi="Courier New" w:cs="Courier New" w:hint="default"/>
      </w:rPr>
    </w:lvl>
    <w:lvl w:ilvl="2" w:tplc="08090005" w:tentative="1">
      <w:start w:val="1"/>
      <w:numFmt w:val="bullet"/>
      <w:lvlText w:val=""/>
      <w:lvlJc w:val="left"/>
      <w:pPr>
        <w:ind w:left="2660" w:hanging="360"/>
      </w:pPr>
      <w:rPr>
        <w:rFonts w:ascii="Wingdings" w:hAnsi="Wingdings" w:hint="default"/>
      </w:rPr>
    </w:lvl>
    <w:lvl w:ilvl="3" w:tplc="08090001" w:tentative="1">
      <w:start w:val="1"/>
      <w:numFmt w:val="bullet"/>
      <w:lvlText w:val=""/>
      <w:lvlJc w:val="left"/>
      <w:pPr>
        <w:ind w:left="3380" w:hanging="360"/>
      </w:pPr>
      <w:rPr>
        <w:rFonts w:ascii="Symbol" w:hAnsi="Symbol" w:hint="default"/>
      </w:rPr>
    </w:lvl>
    <w:lvl w:ilvl="4" w:tplc="08090003" w:tentative="1">
      <w:start w:val="1"/>
      <w:numFmt w:val="bullet"/>
      <w:lvlText w:val="o"/>
      <w:lvlJc w:val="left"/>
      <w:pPr>
        <w:ind w:left="4100" w:hanging="360"/>
      </w:pPr>
      <w:rPr>
        <w:rFonts w:ascii="Courier New" w:hAnsi="Courier New" w:cs="Courier New" w:hint="default"/>
      </w:rPr>
    </w:lvl>
    <w:lvl w:ilvl="5" w:tplc="08090005" w:tentative="1">
      <w:start w:val="1"/>
      <w:numFmt w:val="bullet"/>
      <w:lvlText w:val=""/>
      <w:lvlJc w:val="left"/>
      <w:pPr>
        <w:ind w:left="4820" w:hanging="360"/>
      </w:pPr>
      <w:rPr>
        <w:rFonts w:ascii="Wingdings" w:hAnsi="Wingdings" w:hint="default"/>
      </w:rPr>
    </w:lvl>
    <w:lvl w:ilvl="6" w:tplc="08090001" w:tentative="1">
      <w:start w:val="1"/>
      <w:numFmt w:val="bullet"/>
      <w:lvlText w:val=""/>
      <w:lvlJc w:val="left"/>
      <w:pPr>
        <w:ind w:left="5540" w:hanging="360"/>
      </w:pPr>
      <w:rPr>
        <w:rFonts w:ascii="Symbol" w:hAnsi="Symbol" w:hint="default"/>
      </w:rPr>
    </w:lvl>
    <w:lvl w:ilvl="7" w:tplc="08090003" w:tentative="1">
      <w:start w:val="1"/>
      <w:numFmt w:val="bullet"/>
      <w:lvlText w:val="o"/>
      <w:lvlJc w:val="left"/>
      <w:pPr>
        <w:ind w:left="6260" w:hanging="360"/>
      </w:pPr>
      <w:rPr>
        <w:rFonts w:ascii="Courier New" w:hAnsi="Courier New" w:cs="Courier New" w:hint="default"/>
      </w:rPr>
    </w:lvl>
    <w:lvl w:ilvl="8" w:tplc="08090005" w:tentative="1">
      <w:start w:val="1"/>
      <w:numFmt w:val="bullet"/>
      <w:lvlText w:val=""/>
      <w:lvlJc w:val="left"/>
      <w:pPr>
        <w:ind w:left="6980" w:hanging="360"/>
      </w:pPr>
      <w:rPr>
        <w:rFonts w:ascii="Wingdings" w:hAnsi="Wingdings" w:hint="default"/>
      </w:rPr>
    </w:lvl>
  </w:abstractNum>
  <w:abstractNum w:abstractNumId="4" w15:restartNumberingAfterBreak="0">
    <w:nsid w:val="13210669"/>
    <w:multiLevelType w:val="hybridMultilevel"/>
    <w:tmpl w:val="1CB229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225B78"/>
    <w:multiLevelType w:val="hybridMultilevel"/>
    <w:tmpl w:val="4BA68982"/>
    <w:lvl w:ilvl="0" w:tplc="0809000F">
      <w:start w:val="1"/>
      <w:numFmt w:val="decimal"/>
      <w:lvlText w:val="%1."/>
      <w:lvlJc w:val="left"/>
      <w:pPr>
        <w:ind w:left="500" w:hanging="360"/>
      </w:pPr>
      <w:rPr>
        <w:rFonts w:hint="default"/>
      </w:rPr>
    </w:lvl>
    <w:lvl w:ilvl="1" w:tplc="08090019" w:tentative="1">
      <w:start w:val="1"/>
      <w:numFmt w:val="lowerLetter"/>
      <w:lvlText w:val="%2."/>
      <w:lvlJc w:val="left"/>
      <w:pPr>
        <w:ind w:left="1220" w:hanging="360"/>
      </w:pPr>
    </w:lvl>
    <w:lvl w:ilvl="2" w:tplc="0809001B" w:tentative="1">
      <w:start w:val="1"/>
      <w:numFmt w:val="lowerRoman"/>
      <w:lvlText w:val="%3."/>
      <w:lvlJc w:val="right"/>
      <w:pPr>
        <w:ind w:left="1940" w:hanging="180"/>
      </w:pPr>
    </w:lvl>
    <w:lvl w:ilvl="3" w:tplc="0809000F" w:tentative="1">
      <w:start w:val="1"/>
      <w:numFmt w:val="decimal"/>
      <w:lvlText w:val="%4."/>
      <w:lvlJc w:val="left"/>
      <w:pPr>
        <w:ind w:left="2660" w:hanging="360"/>
      </w:pPr>
    </w:lvl>
    <w:lvl w:ilvl="4" w:tplc="08090019" w:tentative="1">
      <w:start w:val="1"/>
      <w:numFmt w:val="lowerLetter"/>
      <w:lvlText w:val="%5."/>
      <w:lvlJc w:val="left"/>
      <w:pPr>
        <w:ind w:left="3380" w:hanging="360"/>
      </w:pPr>
    </w:lvl>
    <w:lvl w:ilvl="5" w:tplc="0809001B" w:tentative="1">
      <w:start w:val="1"/>
      <w:numFmt w:val="lowerRoman"/>
      <w:lvlText w:val="%6."/>
      <w:lvlJc w:val="right"/>
      <w:pPr>
        <w:ind w:left="4100" w:hanging="180"/>
      </w:pPr>
    </w:lvl>
    <w:lvl w:ilvl="6" w:tplc="0809000F" w:tentative="1">
      <w:start w:val="1"/>
      <w:numFmt w:val="decimal"/>
      <w:lvlText w:val="%7."/>
      <w:lvlJc w:val="left"/>
      <w:pPr>
        <w:ind w:left="4820" w:hanging="360"/>
      </w:pPr>
    </w:lvl>
    <w:lvl w:ilvl="7" w:tplc="08090019" w:tentative="1">
      <w:start w:val="1"/>
      <w:numFmt w:val="lowerLetter"/>
      <w:lvlText w:val="%8."/>
      <w:lvlJc w:val="left"/>
      <w:pPr>
        <w:ind w:left="5540" w:hanging="360"/>
      </w:pPr>
    </w:lvl>
    <w:lvl w:ilvl="8" w:tplc="0809001B" w:tentative="1">
      <w:start w:val="1"/>
      <w:numFmt w:val="lowerRoman"/>
      <w:lvlText w:val="%9."/>
      <w:lvlJc w:val="right"/>
      <w:pPr>
        <w:ind w:left="6260" w:hanging="180"/>
      </w:pPr>
    </w:lvl>
  </w:abstractNum>
  <w:abstractNum w:abstractNumId="6" w15:restartNumberingAfterBreak="0">
    <w:nsid w:val="254D3471"/>
    <w:multiLevelType w:val="hybridMultilevel"/>
    <w:tmpl w:val="FA8215A4"/>
    <w:lvl w:ilvl="0" w:tplc="08090001">
      <w:start w:val="1"/>
      <w:numFmt w:val="bullet"/>
      <w:lvlText w:val=""/>
      <w:lvlJc w:val="left"/>
      <w:pPr>
        <w:ind w:left="860" w:hanging="360"/>
      </w:pPr>
      <w:rPr>
        <w:rFonts w:ascii="Symbol" w:hAnsi="Symbol" w:hint="default"/>
      </w:rPr>
    </w:lvl>
    <w:lvl w:ilvl="1" w:tplc="08090003" w:tentative="1">
      <w:start w:val="1"/>
      <w:numFmt w:val="bullet"/>
      <w:lvlText w:val="o"/>
      <w:lvlJc w:val="left"/>
      <w:pPr>
        <w:ind w:left="1580" w:hanging="360"/>
      </w:pPr>
      <w:rPr>
        <w:rFonts w:ascii="Courier New" w:hAnsi="Courier New" w:cs="Courier New" w:hint="default"/>
      </w:rPr>
    </w:lvl>
    <w:lvl w:ilvl="2" w:tplc="08090005" w:tentative="1">
      <w:start w:val="1"/>
      <w:numFmt w:val="bullet"/>
      <w:lvlText w:val=""/>
      <w:lvlJc w:val="left"/>
      <w:pPr>
        <w:ind w:left="2300" w:hanging="360"/>
      </w:pPr>
      <w:rPr>
        <w:rFonts w:ascii="Wingdings" w:hAnsi="Wingdings" w:hint="default"/>
      </w:rPr>
    </w:lvl>
    <w:lvl w:ilvl="3" w:tplc="08090001" w:tentative="1">
      <w:start w:val="1"/>
      <w:numFmt w:val="bullet"/>
      <w:lvlText w:val=""/>
      <w:lvlJc w:val="left"/>
      <w:pPr>
        <w:ind w:left="3020" w:hanging="360"/>
      </w:pPr>
      <w:rPr>
        <w:rFonts w:ascii="Symbol" w:hAnsi="Symbol" w:hint="default"/>
      </w:rPr>
    </w:lvl>
    <w:lvl w:ilvl="4" w:tplc="08090003" w:tentative="1">
      <w:start w:val="1"/>
      <w:numFmt w:val="bullet"/>
      <w:lvlText w:val="o"/>
      <w:lvlJc w:val="left"/>
      <w:pPr>
        <w:ind w:left="3740" w:hanging="360"/>
      </w:pPr>
      <w:rPr>
        <w:rFonts w:ascii="Courier New" w:hAnsi="Courier New" w:cs="Courier New" w:hint="default"/>
      </w:rPr>
    </w:lvl>
    <w:lvl w:ilvl="5" w:tplc="08090005" w:tentative="1">
      <w:start w:val="1"/>
      <w:numFmt w:val="bullet"/>
      <w:lvlText w:val=""/>
      <w:lvlJc w:val="left"/>
      <w:pPr>
        <w:ind w:left="4460" w:hanging="360"/>
      </w:pPr>
      <w:rPr>
        <w:rFonts w:ascii="Wingdings" w:hAnsi="Wingdings" w:hint="default"/>
      </w:rPr>
    </w:lvl>
    <w:lvl w:ilvl="6" w:tplc="08090001" w:tentative="1">
      <w:start w:val="1"/>
      <w:numFmt w:val="bullet"/>
      <w:lvlText w:val=""/>
      <w:lvlJc w:val="left"/>
      <w:pPr>
        <w:ind w:left="5180" w:hanging="360"/>
      </w:pPr>
      <w:rPr>
        <w:rFonts w:ascii="Symbol" w:hAnsi="Symbol" w:hint="default"/>
      </w:rPr>
    </w:lvl>
    <w:lvl w:ilvl="7" w:tplc="08090003" w:tentative="1">
      <w:start w:val="1"/>
      <w:numFmt w:val="bullet"/>
      <w:lvlText w:val="o"/>
      <w:lvlJc w:val="left"/>
      <w:pPr>
        <w:ind w:left="5900" w:hanging="360"/>
      </w:pPr>
      <w:rPr>
        <w:rFonts w:ascii="Courier New" w:hAnsi="Courier New" w:cs="Courier New" w:hint="default"/>
      </w:rPr>
    </w:lvl>
    <w:lvl w:ilvl="8" w:tplc="08090005" w:tentative="1">
      <w:start w:val="1"/>
      <w:numFmt w:val="bullet"/>
      <w:lvlText w:val=""/>
      <w:lvlJc w:val="left"/>
      <w:pPr>
        <w:ind w:left="6620" w:hanging="360"/>
      </w:pPr>
      <w:rPr>
        <w:rFonts w:ascii="Wingdings" w:hAnsi="Wingdings" w:hint="default"/>
      </w:rPr>
    </w:lvl>
  </w:abstractNum>
  <w:abstractNum w:abstractNumId="7" w15:restartNumberingAfterBreak="0">
    <w:nsid w:val="2A5B1ACD"/>
    <w:multiLevelType w:val="multilevel"/>
    <w:tmpl w:val="55C626DC"/>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2FAD4494"/>
    <w:multiLevelType w:val="hybridMultilevel"/>
    <w:tmpl w:val="66C4E952"/>
    <w:lvl w:ilvl="0" w:tplc="08090001">
      <w:start w:val="1"/>
      <w:numFmt w:val="bullet"/>
      <w:lvlText w:val=""/>
      <w:lvlJc w:val="left"/>
      <w:pPr>
        <w:ind w:left="1220" w:hanging="360"/>
      </w:pPr>
      <w:rPr>
        <w:rFonts w:ascii="Symbol" w:hAnsi="Symbol" w:hint="default"/>
      </w:rPr>
    </w:lvl>
    <w:lvl w:ilvl="1" w:tplc="08090003" w:tentative="1">
      <w:start w:val="1"/>
      <w:numFmt w:val="bullet"/>
      <w:lvlText w:val="o"/>
      <w:lvlJc w:val="left"/>
      <w:pPr>
        <w:ind w:left="1940" w:hanging="360"/>
      </w:pPr>
      <w:rPr>
        <w:rFonts w:ascii="Courier New" w:hAnsi="Courier New" w:cs="Courier New" w:hint="default"/>
      </w:rPr>
    </w:lvl>
    <w:lvl w:ilvl="2" w:tplc="08090005" w:tentative="1">
      <w:start w:val="1"/>
      <w:numFmt w:val="bullet"/>
      <w:lvlText w:val=""/>
      <w:lvlJc w:val="left"/>
      <w:pPr>
        <w:ind w:left="2660" w:hanging="360"/>
      </w:pPr>
      <w:rPr>
        <w:rFonts w:ascii="Wingdings" w:hAnsi="Wingdings" w:hint="default"/>
      </w:rPr>
    </w:lvl>
    <w:lvl w:ilvl="3" w:tplc="08090001" w:tentative="1">
      <w:start w:val="1"/>
      <w:numFmt w:val="bullet"/>
      <w:lvlText w:val=""/>
      <w:lvlJc w:val="left"/>
      <w:pPr>
        <w:ind w:left="3380" w:hanging="360"/>
      </w:pPr>
      <w:rPr>
        <w:rFonts w:ascii="Symbol" w:hAnsi="Symbol" w:hint="default"/>
      </w:rPr>
    </w:lvl>
    <w:lvl w:ilvl="4" w:tplc="08090003" w:tentative="1">
      <w:start w:val="1"/>
      <w:numFmt w:val="bullet"/>
      <w:lvlText w:val="o"/>
      <w:lvlJc w:val="left"/>
      <w:pPr>
        <w:ind w:left="4100" w:hanging="360"/>
      </w:pPr>
      <w:rPr>
        <w:rFonts w:ascii="Courier New" w:hAnsi="Courier New" w:cs="Courier New" w:hint="default"/>
      </w:rPr>
    </w:lvl>
    <w:lvl w:ilvl="5" w:tplc="08090005" w:tentative="1">
      <w:start w:val="1"/>
      <w:numFmt w:val="bullet"/>
      <w:lvlText w:val=""/>
      <w:lvlJc w:val="left"/>
      <w:pPr>
        <w:ind w:left="4820" w:hanging="360"/>
      </w:pPr>
      <w:rPr>
        <w:rFonts w:ascii="Wingdings" w:hAnsi="Wingdings" w:hint="default"/>
      </w:rPr>
    </w:lvl>
    <w:lvl w:ilvl="6" w:tplc="08090001" w:tentative="1">
      <w:start w:val="1"/>
      <w:numFmt w:val="bullet"/>
      <w:lvlText w:val=""/>
      <w:lvlJc w:val="left"/>
      <w:pPr>
        <w:ind w:left="5540" w:hanging="360"/>
      </w:pPr>
      <w:rPr>
        <w:rFonts w:ascii="Symbol" w:hAnsi="Symbol" w:hint="default"/>
      </w:rPr>
    </w:lvl>
    <w:lvl w:ilvl="7" w:tplc="08090003" w:tentative="1">
      <w:start w:val="1"/>
      <w:numFmt w:val="bullet"/>
      <w:lvlText w:val="o"/>
      <w:lvlJc w:val="left"/>
      <w:pPr>
        <w:ind w:left="6260" w:hanging="360"/>
      </w:pPr>
      <w:rPr>
        <w:rFonts w:ascii="Courier New" w:hAnsi="Courier New" w:cs="Courier New" w:hint="default"/>
      </w:rPr>
    </w:lvl>
    <w:lvl w:ilvl="8" w:tplc="08090005" w:tentative="1">
      <w:start w:val="1"/>
      <w:numFmt w:val="bullet"/>
      <w:lvlText w:val=""/>
      <w:lvlJc w:val="left"/>
      <w:pPr>
        <w:ind w:left="6980" w:hanging="360"/>
      </w:pPr>
      <w:rPr>
        <w:rFonts w:ascii="Wingdings" w:hAnsi="Wingdings" w:hint="default"/>
      </w:rPr>
    </w:lvl>
  </w:abstractNum>
  <w:abstractNum w:abstractNumId="9" w15:restartNumberingAfterBreak="0">
    <w:nsid w:val="33882835"/>
    <w:multiLevelType w:val="multilevel"/>
    <w:tmpl w:val="55C626DC"/>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3824091F"/>
    <w:multiLevelType w:val="multilevel"/>
    <w:tmpl w:val="55C626DC"/>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575B796A"/>
    <w:multiLevelType w:val="hybridMultilevel"/>
    <w:tmpl w:val="1082BF08"/>
    <w:lvl w:ilvl="0" w:tplc="6D889594">
      <w:start w:val="3"/>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D2E6A8F"/>
    <w:multiLevelType w:val="hybridMultilevel"/>
    <w:tmpl w:val="6D7A3A98"/>
    <w:lvl w:ilvl="0" w:tplc="0809000F">
      <w:start w:val="1"/>
      <w:numFmt w:val="decimal"/>
      <w:lvlText w:val="%1."/>
      <w:lvlJc w:val="left"/>
      <w:pPr>
        <w:ind w:left="1580" w:hanging="360"/>
      </w:pPr>
    </w:lvl>
    <w:lvl w:ilvl="1" w:tplc="08090019" w:tentative="1">
      <w:start w:val="1"/>
      <w:numFmt w:val="lowerLetter"/>
      <w:lvlText w:val="%2."/>
      <w:lvlJc w:val="left"/>
      <w:pPr>
        <w:ind w:left="2300" w:hanging="360"/>
      </w:pPr>
    </w:lvl>
    <w:lvl w:ilvl="2" w:tplc="0809001B" w:tentative="1">
      <w:start w:val="1"/>
      <w:numFmt w:val="lowerRoman"/>
      <w:lvlText w:val="%3."/>
      <w:lvlJc w:val="right"/>
      <w:pPr>
        <w:ind w:left="3020" w:hanging="180"/>
      </w:pPr>
    </w:lvl>
    <w:lvl w:ilvl="3" w:tplc="0809000F" w:tentative="1">
      <w:start w:val="1"/>
      <w:numFmt w:val="decimal"/>
      <w:lvlText w:val="%4."/>
      <w:lvlJc w:val="left"/>
      <w:pPr>
        <w:ind w:left="3740" w:hanging="360"/>
      </w:pPr>
    </w:lvl>
    <w:lvl w:ilvl="4" w:tplc="08090019" w:tentative="1">
      <w:start w:val="1"/>
      <w:numFmt w:val="lowerLetter"/>
      <w:lvlText w:val="%5."/>
      <w:lvlJc w:val="left"/>
      <w:pPr>
        <w:ind w:left="4460" w:hanging="360"/>
      </w:pPr>
    </w:lvl>
    <w:lvl w:ilvl="5" w:tplc="0809001B" w:tentative="1">
      <w:start w:val="1"/>
      <w:numFmt w:val="lowerRoman"/>
      <w:lvlText w:val="%6."/>
      <w:lvlJc w:val="right"/>
      <w:pPr>
        <w:ind w:left="5180" w:hanging="180"/>
      </w:pPr>
    </w:lvl>
    <w:lvl w:ilvl="6" w:tplc="0809000F" w:tentative="1">
      <w:start w:val="1"/>
      <w:numFmt w:val="decimal"/>
      <w:lvlText w:val="%7."/>
      <w:lvlJc w:val="left"/>
      <w:pPr>
        <w:ind w:left="5900" w:hanging="360"/>
      </w:pPr>
    </w:lvl>
    <w:lvl w:ilvl="7" w:tplc="08090019" w:tentative="1">
      <w:start w:val="1"/>
      <w:numFmt w:val="lowerLetter"/>
      <w:lvlText w:val="%8."/>
      <w:lvlJc w:val="left"/>
      <w:pPr>
        <w:ind w:left="6620" w:hanging="360"/>
      </w:pPr>
    </w:lvl>
    <w:lvl w:ilvl="8" w:tplc="0809001B" w:tentative="1">
      <w:start w:val="1"/>
      <w:numFmt w:val="lowerRoman"/>
      <w:lvlText w:val="%9."/>
      <w:lvlJc w:val="right"/>
      <w:pPr>
        <w:ind w:left="7340" w:hanging="180"/>
      </w:pPr>
    </w:lvl>
  </w:abstractNum>
  <w:abstractNum w:abstractNumId="13" w15:restartNumberingAfterBreak="0">
    <w:nsid w:val="66DD0508"/>
    <w:multiLevelType w:val="hybridMultilevel"/>
    <w:tmpl w:val="5792F8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A760BDD"/>
    <w:multiLevelType w:val="multilevel"/>
    <w:tmpl w:val="55C626DC"/>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6AAC10F6"/>
    <w:multiLevelType w:val="hybridMultilevel"/>
    <w:tmpl w:val="9F06447A"/>
    <w:lvl w:ilvl="0" w:tplc="08090001">
      <w:start w:val="1"/>
      <w:numFmt w:val="bullet"/>
      <w:lvlText w:val=""/>
      <w:lvlJc w:val="left"/>
      <w:pPr>
        <w:ind w:left="1220" w:hanging="360"/>
      </w:pPr>
      <w:rPr>
        <w:rFonts w:ascii="Symbol" w:hAnsi="Symbol" w:hint="default"/>
      </w:rPr>
    </w:lvl>
    <w:lvl w:ilvl="1" w:tplc="08090003" w:tentative="1">
      <w:start w:val="1"/>
      <w:numFmt w:val="bullet"/>
      <w:lvlText w:val="o"/>
      <w:lvlJc w:val="left"/>
      <w:pPr>
        <w:ind w:left="1940" w:hanging="360"/>
      </w:pPr>
      <w:rPr>
        <w:rFonts w:ascii="Courier New" w:hAnsi="Courier New" w:cs="Courier New" w:hint="default"/>
      </w:rPr>
    </w:lvl>
    <w:lvl w:ilvl="2" w:tplc="08090005" w:tentative="1">
      <w:start w:val="1"/>
      <w:numFmt w:val="bullet"/>
      <w:lvlText w:val=""/>
      <w:lvlJc w:val="left"/>
      <w:pPr>
        <w:ind w:left="2660" w:hanging="360"/>
      </w:pPr>
      <w:rPr>
        <w:rFonts w:ascii="Wingdings" w:hAnsi="Wingdings" w:hint="default"/>
      </w:rPr>
    </w:lvl>
    <w:lvl w:ilvl="3" w:tplc="08090001" w:tentative="1">
      <w:start w:val="1"/>
      <w:numFmt w:val="bullet"/>
      <w:lvlText w:val=""/>
      <w:lvlJc w:val="left"/>
      <w:pPr>
        <w:ind w:left="3380" w:hanging="360"/>
      </w:pPr>
      <w:rPr>
        <w:rFonts w:ascii="Symbol" w:hAnsi="Symbol" w:hint="default"/>
      </w:rPr>
    </w:lvl>
    <w:lvl w:ilvl="4" w:tplc="08090003" w:tentative="1">
      <w:start w:val="1"/>
      <w:numFmt w:val="bullet"/>
      <w:lvlText w:val="o"/>
      <w:lvlJc w:val="left"/>
      <w:pPr>
        <w:ind w:left="4100" w:hanging="360"/>
      </w:pPr>
      <w:rPr>
        <w:rFonts w:ascii="Courier New" w:hAnsi="Courier New" w:cs="Courier New" w:hint="default"/>
      </w:rPr>
    </w:lvl>
    <w:lvl w:ilvl="5" w:tplc="08090005" w:tentative="1">
      <w:start w:val="1"/>
      <w:numFmt w:val="bullet"/>
      <w:lvlText w:val=""/>
      <w:lvlJc w:val="left"/>
      <w:pPr>
        <w:ind w:left="4820" w:hanging="360"/>
      </w:pPr>
      <w:rPr>
        <w:rFonts w:ascii="Wingdings" w:hAnsi="Wingdings" w:hint="default"/>
      </w:rPr>
    </w:lvl>
    <w:lvl w:ilvl="6" w:tplc="08090001" w:tentative="1">
      <w:start w:val="1"/>
      <w:numFmt w:val="bullet"/>
      <w:lvlText w:val=""/>
      <w:lvlJc w:val="left"/>
      <w:pPr>
        <w:ind w:left="5540" w:hanging="360"/>
      </w:pPr>
      <w:rPr>
        <w:rFonts w:ascii="Symbol" w:hAnsi="Symbol" w:hint="default"/>
      </w:rPr>
    </w:lvl>
    <w:lvl w:ilvl="7" w:tplc="08090003" w:tentative="1">
      <w:start w:val="1"/>
      <w:numFmt w:val="bullet"/>
      <w:lvlText w:val="o"/>
      <w:lvlJc w:val="left"/>
      <w:pPr>
        <w:ind w:left="6260" w:hanging="360"/>
      </w:pPr>
      <w:rPr>
        <w:rFonts w:ascii="Courier New" w:hAnsi="Courier New" w:cs="Courier New" w:hint="default"/>
      </w:rPr>
    </w:lvl>
    <w:lvl w:ilvl="8" w:tplc="08090005" w:tentative="1">
      <w:start w:val="1"/>
      <w:numFmt w:val="bullet"/>
      <w:lvlText w:val=""/>
      <w:lvlJc w:val="left"/>
      <w:pPr>
        <w:ind w:left="6980" w:hanging="360"/>
      </w:pPr>
      <w:rPr>
        <w:rFonts w:ascii="Wingdings" w:hAnsi="Wingdings" w:hint="default"/>
      </w:rPr>
    </w:lvl>
  </w:abstractNum>
  <w:num w:numId="1" w16cid:durableId="971904988">
    <w:abstractNumId w:val="5"/>
  </w:num>
  <w:num w:numId="2" w16cid:durableId="1473911993">
    <w:abstractNumId w:val="3"/>
  </w:num>
  <w:num w:numId="3" w16cid:durableId="169950842">
    <w:abstractNumId w:val="1"/>
  </w:num>
  <w:num w:numId="4" w16cid:durableId="2039428118">
    <w:abstractNumId w:val="15"/>
  </w:num>
  <w:num w:numId="5" w16cid:durableId="559170285">
    <w:abstractNumId w:val="8"/>
  </w:num>
  <w:num w:numId="6" w16cid:durableId="2065719489">
    <w:abstractNumId w:val="2"/>
  </w:num>
  <w:num w:numId="7" w16cid:durableId="524288277">
    <w:abstractNumId w:val="6"/>
  </w:num>
  <w:num w:numId="8" w16cid:durableId="1155956618">
    <w:abstractNumId w:val="4"/>
  </w:num>
  <w:num w:numId="9" w16cid:durableId="2043282573">
    <w:abstractNumId w:val="9"/>
  </w:num>
  <w:num w:numId="10" w16cid:durableId="2107727849">
    <w:abstractNumId w:val="7"/>
  </w:num>
  <w:num w:numId="11" w16cid:durableId="689065833">
    <w:abstractNumId w:val="10"/>
  </w:num>
  <w:num w:numId="12" w16cid:durableId="328486012">
    <w:abstractNumId w:val="14"/>
  </w:num>
  <w:num w:numId="13" w16cid:durableId="2051873979">
    <w:abstractNumId w:val="11"/>
  </w:num>
  <w:num w:numId="14" w16cid:durableId="808523212">
    <w:abstractNumId w:val="12"/>
  </w:num>
  <w:num w:numId="15" w16cid:durableId="1487361077">
    <w:abstractNumId w:val="0"/>
  </w:num>
  <w:num w:numId="16" w16cid:durableId="107370126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158A"/>
    <w:rsid w:val="0000158A"/>
    <w:rsid w:val="002B1691"/>
    <w:rsid w:val="003452C8"/>
    <w:rsid w:val="00380524"/>
    <w:rsid w:val="00455438"/>
    <w:rsid w:val="00522C4B"/>
    <w:rsid w:val="005C7718"/>
    <w:rsid w:val="00746048"/>
    <w:rsid w:val="00783890"/>
    <w:rsid w:val="00853D6A"/>
    <w:rsid w:val="00A9241C"/>
    <w:rsid w:val="00BA33FE"/>
    <w:rsid w:val="00E76A8E"/>
    <w:rsid w:val="00F934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3CD60D7"/>
  <w15:chartTrackingRefBased/>
  <w15:docId w15:val="{60F525E4-77AA-1241-BEAA-A2989FEB3D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15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015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0158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0158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0158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0158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0158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0158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0158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158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0158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0158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0158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0158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015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015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015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0158A"/>
    <w:rPr>
      <w:rFonts w:eastAsiaTheme="majorEastAsia" w:cstheme="majorBidi"/>
      <w:color w:val="272727" w:themeColor="text1" w:themeTint="D8"/>
    </w:rPr>
  </w:style>
  <w:style w:type="paragraph" w:styleId="Title">
    <w:name w:val="Title"/>
    <w:basedOn w:val="Normal"/>
    <w:next w:val="Normal"/>
    <w:link w:val="TitleChar"/>
    <w:uiPriority w:val="10"/>
    <w:qFormat/>
    <w:rsid w:val="000015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15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0158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15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0158A"/>
    <w:pPr>
      <w:spacing w:before="160"/>
      <w:jc w:val="center"/>
    </w:pPr>
    <w:rPr>
      <w:i/>
      <w:iCs/>
      <w:color w:val="404040" w:themeColor="text1" w:themeTint="BF"/>
    </w:rPr>
  </w:style>
  <w:style w:type="character" w:customStyle="1" w:styleId="QuoteChar">
    <w:name w:val="Quote Char"/>
    <w:basedOn w:val="DefaultParagraphFont"/>
    <w:link w:val="Quote"/>
    <w:uiPriority w:val="29"/>
    <w:rsid w:val="0000158A"/>
    <w:rPr>
      <w:i/>
      <w:iCs/>
      <w:color w:val="404040" w:themeColor="text1" w:themeTint="BF"/>
    </w:rPr>
  </w:style>
  <w:style w:type="paragraph" w:styleId="ListParagraph">
    <w:name w:val="List Paragraph"/>
    <w:basedOn w:val="Normal"/>
    <w:uiPriority w:val="34"/>
    <w:qFormat/>
    <w:rsid w:val="0000158A"/>
    <w:pPr>
      <w:ind w:left="720"/>
      <w:contextualSpacing/>
    </w:pPr>
  </w:style>
  <w:style w:type="character" w:styleId="IntenseEmphasis">
    <w:name w:val="Intense Emphasis"/>
    <w:basedOn w:val="DefaultParagraphFont"/>
    <w:uiPriority w:val="21"/>
    <w:qFormat/>
    <w:rsid w:val="0000158A"/>
    <w:rPr>
      <w:i/>
      <w:iCs/>
      <w:color w:val="0F4761" w:themeColor="accent1" w:themeShade="BF"/>
    </w:rPr>
  </w:style>
  <w:style w:type="paragraph" w:styleId="IntenseQuote">
    <w:name w:val="Intense Quote"/>
    <w:basedOn w:val="Normal"/>
    <w:next w:val="Normal"/>
    <w:link w:val="IntenseQuoteChar"/>
    <w:uiPriority w:val="30"/>
    <w:qFormat/>
    <w:rsid w:val="000015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0158A"/>
    <w:rPr>
      <w:i/>
      <w:iCs/>
      <w:color w:val="0F4761" w:themeColor="accent1" w:themeShade="BF"/>
    </w:rPr>
  </w:style>
  <w:style w:type="character" w:styleId="IntenseReference">
    <w:name w:val="Intense Reference"/>
    <w:basedOn w:val="DefaultParagraphFont"/>
    <w:uiPriority w:val="32"/>
    <w:qFormat/>
    <w:rsid w:val="0000158A"/>
    <w:rPr>
      <w:b/>
      <w:bCs/>
      <w:smallCaps/>
      <w:color w:val="0F4761" w:themeColor="accent1" w:themeShade="BF"/>
      <w:spacing w:val="5"/>
    </w:rPr>
  </w:style>
  <w:style w:type="paragraph" w:styleId="NormalWeb">
    <w:name w:val="Normal (Web)"/>
    <w:basedOn w:val="Normal"/>
    <w:uiPriority w:val="99"/>
    <w:unhideWhenUsed/>
    <w:rsid w:val="0000158A"/>
    <w:pPr>
      <w:spacing w:before="100" w:beforeAutospacing="1" w:after="100" w:afterAutospacing="1" w:line="240" w:lineRule="auto"/>
    </w:pPr>
    <w:rPr>
      <w:rFonts w:ascii="Times New Roman" w:eastAsia="Times New Roman" w:hAnsi="Times New Roman" w:cs="Times New Roman"/>
      <w:kern w:val="0"/>
      <w:lang w:eastAsia="zh-CN"/>
      <w14:ligatures w14:val="none"/>
    </w:rPr>
  </w:style>
  <w:style w:type="table" w:styleId="TableGrid">
    <w:name w:val="Table Grid"/>
    <w:basedOn w:val="TableNormal"/>
    <w:uiPriority w:val="39"/>
    <w:rsid w:val="007838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80524"/>
    <w:rPr>
      <w:color w:val="467886" w:themeColor="hyperlink"/>
      <w:u w:val="single"/>
    </w:rPr>
  </w:style>
  <w:style w:type="character" w:styleId="UnresolvedMention">
    <w:name w:val="Unresolved Mention"/>
    <w:basedOn w:val="DefaultParagraphFont"/>
    <w:uiPriority w:val="99"/>
    <w:semiHidden/>
    <w:unhideWhenUsed/>
    <w:rsid w:val="00380524"/>
    <w:rPr>
      <w:color w:val="605E5C"/>
      <w:shd w:val="clear" w:color="auto" w:fill="E1DFDD"/>
    </w:rPr>
  </w:style>
  <w:style w:type="paragraph" w:styleId="ListBullet">
    <w:name w:val="List Bullet"/>
    <w:basedOn w:val="Normal"/>
    <w:uiPriority w:val="99"/>
    <w:unhideWhenUsed/>
    <w:rsid w:val="005C7718"/>
    <w:pPr>
      <w:numPr>
        <w:numId w:val="15"/>
      </w:numPr>
      <w:tabs>
        <w:tab w:val="clear" w:pos="360"/>
      </w:tabs>
      <w:spacing w:after="120" w:line="276" w:lineRule="auto"/>
      <w:ind w:left="0" w:firstLine="0"/>
      <w:contextualSpacing/>
    </w:pPr>
    <w:rPr>
      <w:rFonts w:ascii="Times New Roman" w:eastAsiaTheme="minorEastAsia" w:hAnsi="Times New Roman"/>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77/1461444818815684" TargetMode="External"/><Relationship Id="rId18" Type="http://schemas.openxmlformats.org/officeDocument/2006/relationships/hyperlink" Target="https://doi.org/10.1080/02650487.2020.1836925" TargetMode="External"/><Relationship Id="rId26" Type="http://schemas.openxmlformats.org/officeDocument/2006/relationships/hyperlink" Target="https://doi.org/10.1177/1461444818769694" TargetMode="External"/><Relationship Id="rId39" Type="http://schemas.microsoft.com/office/2007/relationships/diagramDrawing" Target="diagrams/drawing1.xml"/><Relationship Id="rId21" Type="http://schemas.openxmlformats.org/officeDocument/2006/relationships/hyperlink" Target="https://hypeauditor.com/youtube/UCGq-a57w-aPwyi3pW7XLiHw/" TargetMode="External"/><Relationship Id="rId34" Type="http://schemas.openxmlformats.org/officeDocument/2006/relationships/hyperlink" Target="https://doi.org/10.1111/ijcs.12647" TargetMode="External"/><Relationship Id="rId42" Type="http://schemas.openxmlformats.org/officeDocument/2006/relationships/image" Target="media/image4.png"/><Relationship Id="rId47" Type="http://schemas.openxmlformats.org/officeDocument/2006/relationships/fontTable" Target="fontTable.xml"/><Relationship Id="rId7" Type="http://schemas.openxmlformats.org/officeDocument/2006/relationships/hyperlink" Target="https://www.asa.org.uk/resource/influencers-guide.html" TargetMode="External"/><Relationship Id="rId2" Type="http://schemas.openxmlformats.org/officeDocument/2006/relationships/styles" Target="styles.xml"/><Relationship Id="rId16" Type="http://schemas.openxmlformats.org/officeDocument/2006/relationships/hyperlink" Target="https://doi.org/10.1080/15252019.2017.1366885" TargetMode="External"/><Relationship Id="rId29" Type="http://schemas.openxmlformats.org/officeDocument/2006/relationships/hyperlink" Target="https://doi.org/10.1016/j.ijresmar.2024.07.005" TargetMode="External"/><Relationship Id="rId1" Type="http://schemas.openxmlformats.org/officeDocument/2006/relationships/numbering" Target="numbering.xml"/><Relationship Id="rId6" Type="http://schemas.openxmlformats.org/officeDocument/2006/relationships/hyperlink" Target="https://doi.org/10.1177/1329878X16665177" TargetMode="External"/><Relationship Id="rId11" Type="http://schemas.openxmlformats.org/officeDocument/2006/relationships/hyperlink" Target="https://www.gov.uk/government/publications/social-media-endorsements-guidance-for-content-creators" TargetMode="External"/><Relationship Id="rId24" Type="http://schemas.openxmlformats.org/officeDocument/2006/relationships/hyperlink" Target="https://doi.org/10.1080/15252019.2018.1533501" TargetMode="External"/><Relationship Id="rId32" Type="http://schemas.openxmlformats.org/officeDocument/2006/relationships/hyperlink" Target="https://doi.org/10.1016/j.jretconser.2019.01.011" TargetMode="External"/><Relationship Id="rId37" Type="http://schemas.openxmlformats.org/officeDocument/2006/relationships/diagramQuickStyle" Target="diagrams/quickStyle1.xml"/><Relationship Id="rId40" Type="http://schemas.openxmlformats.org/officeDocument/2006/relationships/image" Target="media/image2.png"/><Relationship Id="rId45"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hyperlink" Target="https://ijoc.org/index.php/ijoc/article/view/11729" TargetMode="External"/><Relationship Id="rId23" Type="http://schemas.openxmlformats.org/officeDocument/2006/relationships/hyperlink" Target="https://doi.org/10.1080/19392397.2016.1218292" TargetMode="External"/><Relationship Id="rId28" Type="http://schemas.openxmlformats.org/officeDocument/2006/relationships/hyperlink" Target="https://www.ofcom.org.uk/media-use-and-attitudes/online-habits/online-nation" TargetMode="External"/><Relationship Id="rId36" Type="http://schemas.openxmlformats.org/officeDocument/2006/relationships/diagramLayout" Target="diagrams/layout1.xml"/><Relationship Id="rId10" Type="http://schemas.openxmlformats.org/officeDocument/2006/relationships/hyperlink" Target="https://stevenbartlett.com/" TargetMode="External"/><Relationship Id="rId19" Type="http://schemas.openxmlformats.org/officeDocument/2006/relationships/hyperlink" Target="https://hypeauditor.com/instagram/huda/" TargetMode="External"/><Relationship Id="rId31" Type="http://schemas.openxmlformats.org/officeDocument/2006/relationships/hyperlink" Target="https://socialblade.com/youtube/channel/UCGq-a57w-aPwyi3pW7XLiHw" TargetMode="External"/><Relationship Id="rId44"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hyperlink" Target="https://doi.org/10.1016/j.jbusres.2018.07.002" TargetMode="External"/><Relationship Id="rId14" Type="http://schemas.openxmlformats.org/officeDocument/2006/relationships/hyperlink" Target="https://doi.org/10.1080/02650487.2017.1348035" TargetMode="External"/><Relationship Id="rId22" Type="http://schemas.openxmlformats.org/officeDocument/2006/relationships/hyperlink" Target="https://www.youtube.com/@IShowSpeed" TargetMode="External"/><Relationship Id="rId27" Type="http://schemas.openxmlformats.org/officeDocument/2006/relationships/hyperlink" Target="https://doi.org/10.1787/9789264037472-en" TargetMode="External"/><Relationship Id="rId30" Type="http://schemas.openxmlformats.org/officeDocument/2006/relationships/hyperlink" Target="https://socialblade.com/youtube/handle/ishowspeed" TargetMode="External"/><Relationship Id="rId35" Type="http://schemas.openxmlformats.org/officeDocument/2006/relationships/diagramData" Target="diagrams/data1.xml"/><Relationship Id="rId43" Type="http://schemas.openxmlformats.org/officeDocument/2006/relationships/image" Target="media/image5.png"/><Relationship Id="rId48" Type="http://schemas.openxmlformats.org/officeDocument/2006/relationships/theme" Target="theme/theme1.xml"/><Relationship Id="rId8" Type="http://schemas.openxmlformats.org/officeDocument/2006/relationships/hyperlink" Target="https://www.asa.org.uk/news/influencer-ad-disclosure-on-social-media-instagram-and-tiktok-report-2024.html" TargetMode="External"/><Relationship Id="rId3" Type="http://schemas.openxmlformats.org/officeDocument/2006/relationships/settings" Target="settings.xml"/><Relationship Id="rId12" Type="http://schemas.openxmlformats.org/officeDocument/2006/relationships/hyperlink" Target="https://www.gov.uk/government/publications/reviews-and-social-media-endorsements-guidance-for-businesses-and-brands/social-media-endorsements-guidance-for-brands" TargetMode="External"/><Relationship Id="rId17" Type="http://schemas.openxmlformats.org/officeDocument/2006/relationships/hyperlink" Target="https://hudabeauty.com/" TargetMode="External"/><Relationship Id="rId25" Type="http://schemas.openxmlformats.org/officeDocument/2006/relationships/hyperlink" Target="https://doi.org/10.1086/209217" TargetMode="External"/><Relationship Id="rId33" Type="http://schemas.openxmlformats.org/officeDocument/2006/relationships/hyperlink" Target="https://doi.org/10.1016/j.lrp.2009.07.003" TargetMode="External"/><Relationship Id="rId38" Type="http://schemas.openxmlformats.org/officeDocument/2006/relationships/diagramColors" Target="diagrams/colors1.xml"/><Relationship Id="rId46" Type="http://schemas.openxmlformats.org/officeDocument/2006/relationships/image" Target="media/image8.png"/><Relationship Id="rId20" Type="http://schemas.openxmlformats.org/officeDocument/2006/relationships/hyperlink" Target="https://hypeauditor.com/youtube/UCWsDFcIhY2DBi3GB5uykGXA/" TargetMode="External"/><Relationship Id="rId41" Type="http://schemas.openxmlformats.org/officeDocument/2006/relationships/image" Target="media/image3.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78E0F5F-21E6-DA4E-9C8F-781F4FA756DA}" type="doc">
      <dgm:prSet loTypeId="urn:microsoft.com/office/officeart/2005/8/layout/bProcess3" loCatId="" qsTypeId="urn:microsoft.com/office/officeart/2005/8/quickstyle/simple1" qsCatId="simple" csTypeId="urn:microsoft.com/office/officeart/2005/8/colors/accent1_2" csCatId="accent1" phldr="1"/>
      <dgm:spPr/>
      <dgm:t>
        <a:bodyPr/>
        <a:lstStyle/>
        <a:p>
          <a:endParaRPr lang="en-GB"/>
        </a:p>
      </dgm:t>
    </dgm:pt>
    <dgm:pt modelId="{15BC498A-3C4F-A140-817C-6A8F3928206E}">
      <dgm:prSet phldrT="[Text]" custT="1"/>
      <dgm:spPr/>
      <dgm:t>
        <a:bodyPr/>
        <a:lstStyle/>
        <a:p>
          <a:pPr>
            <a:buNone/>
          </a:pPr>
          <a:r>
            <a:rPr lang="en-US" sz="1200" b="1"/>
            <a:t>Drivers:</a:t>
          </a:r>
          <a:r>
            <a:rPr lang="en-US" sz="1200"/>
            <a:t> digital access, creator-led consumption, commercial demand and AI tools.</a:t>
          </a:r>
          <a:endParaRPr lang="en-GB" sz="1200">
            <a:latin typeface="Arial" panose="020B0604020202020204" pitchFamily="34" charset="0"/>
            <a:cs typeface="Arial" panose="020B0604020202020204" pitchFamily="34" charset="0"/>
          </a:endParaRPr>
        </a:p>
      </dgm:t>
    </dgm:pt>
    <dgm:pt modelId="{0064A4BF-ACFE-3F41-A87D-5058012913F1}" type="parTrans" cxnId="{D24AC95B-AE07-DA40-A74A-5909EABB951C}">
      <dgm:prSet/>
      <dgm:spPr/>
      <dgm:t>
        <a:bodyPr/>
        <a:lstStyle/>
        <a:p>
          <a:endParaRPr lang="en-GB"/>
        </a:p>
      </dgm:t>
    </dgm:pt>
    <dgm:pt modelId="{9C6EADBC-6D09-D24A-80A8-FBB48B39DF9F}" type="sibTrans" cxnId="{D24AC95B-AE07-DA40-A74A-5909EABB951C}">
      <dgm:prSet/>
      <dgm:spPr/>
      <dgm:t>
        <a:bodyPr/>
        <a:lstStyle/>
        <a:p>
          <a:endParaRPr lang="en-GB"/>
        </a:p>
      </dgm:t>
    </dgm:pt>
    <dgm:pt modelId="{EC4C1BE5-43B4-A946-B823-7F3224EF65E1}">
      <dgm:prSet phldrT="[Text]" custT="1"/>
      <dgm:spPr/>
      <dgm:t>
        <a:bodyPr/>
        <a:lstStyle/>
        <a:p>
          <a:pPr>
            <a:buNone/>
          </a:pPr>
          <a:r>
            <a:rPr lang="en-US" sz="1200" b="1"/>
            <a:t>Pressures</a:t>
          </a:r>
          <a:r>
            <a:rPr lang="en-US" sz="1200"/>
            <a:t>: platform dependence, competition, unstable income and compliance requirements.</a:t>
          </a:r>
          <a:endParaRPr lang="en-GB" sz="1200">
            <a:latin typeface="Arial" panose="020B0604020202020204" pitchFamily="34" charset="0"/>
            <a:cs typeface="Arial" panose="020B0604020202020204" pitchFamily="34" charset="0"/>
          </a:endParaRPr>
        </a:p>
      </dgm:t>
    </dgm:pt>
    <dgm:pt modelId="{4DB299CC-5416-7948-8EE0-052A9B24583F}" type="parTrans" cxnId="{FD5AF7D4-91BA-974E-B920-0738B362BC42}">
      <dgm:prSet/>
      <dgm:spPr/>
      <dgm:t>
        <a:bodyPr/>
        <a:lstStyle/>
        <a:p>
          <a:endParaRPr lang="en-GB"/>
        </a:p>
      </dgm:t>
    </dgm:pt>
    <dgm:pt modelId="{D14DD423-BBA9-7641-8368-3DFC8FAB6FAA}" type="sibTrans" cxnId="{FD5AF7D4-91BA-974E-B920-0738B362BC42}">
      <dgm:prSet/>
      <dgm:spPr/>
      <dgm:t>
        <a:bodyPr/>
        <a:lstStyle/>
        <a:p>
          <a:endParaRPr lang="en-GB"/>
        </a:p>
      </dgm:t>
    </dgm:pt>
    <dgm:pt modelId="{E00CAEC1-6B9A-3A4B-921B-18CA7EA33EDD}">
      <dgm:prSet phldrT="[Text]" custT="1"/>
      <dgm:spPr/>
      <dgm:t>
        <a:bodyPr/>
        <a:lstStyle/>
        <a:p>
          <a:pPr>
            <a:buNone/>
          </a:pPr>
          <a:r>
            <a:rPr lang="en-US" sz="1200" b="1"/>
            <a:t>State</a:t>
          </a:r>
          <a:r>
            <a:rPr lang="en-US" sz="1200"/>
            <a:t>: rapid industry growth with unequal reach, monetisation and resilience.</a:t>
          </a:r>
          <a:endParaRPr lang="en-GB" sz="1200">
            <a:latin typeface="Arial" panose="020B0604020202020204" pitchFamily="34" charset="0"/>
            <a:cs typeface="Arial" panose="020B0604020202020204" pitchFamily="34" charset="0"/>
          </a:endParaRPr>
        </a:p>
      </dgm:t>
    </dgm:pt>
    <dgm:pt modelId="{05D86EDA-4935-1C48-A451-4006F60A0FB8}" type="parTrans" cxnId="{368FA8D2-EEBE-2C41-A616-E9FD7F456B61}">
      <dgm:prSet/>
      <dgm:spPr/>
      <dgm:t>
        <a:bodyPr/>
        <a:lstStyle/>
        <a:p>
          <a:endParaRPr lang="en-GB"/>
        </a:p>
      </dgm:t>
    </dgm:pt>
    <dgm:pt modelId="{44ABB724-CDD0-7D47-BF67-C79D1EED8473}" type="sibTrans" cxnId="{368FA8D2-EEBE-2C41-A616-E9FD7F456B61}">
      <dgm:prSet/>
      <dgm:spPr/>
      <dgm:t>
        <a:bodyPr/>
        <a:lstStyle/>
        <a:p>
          <a:endParaRPr lang="en-GB"/>
        </a:p>
      </dgm:t>
    </dgm:pt>
    <dgm:pt modelId="{7587C01B-9F13-7C43-A4DA-1F64622A70A6}">
      <dgm:prSet phldrT="[Text]" custT="1"/>
      <dgm:spPr/>
      <dgm:t>
        <a:bodyPr/>
        <a:lstStyle/>
        <a:p>
          <a:pPr>
            <a:buNone/>
          </a:pPr>
          <a:r>
            <a:rPr lang="en-US" sz="1200" b="1"/>
            <a:t>Impacts: </a:t>
          </a:r>
          <a:r>
            <a:rPr lang="en-US" sz="1200"/>
            <a:t>entrepreneurial opportunities, cultural influence, income insecurity and trust risks.</a:t>
          </a:r>
          <a:endParaRPr lang="en-GB" sz="1200">
            <a:latin typeface="Arial" panose="020B0604020202020204" pitchFamily="34" charset="0"/>
            <a:cs typeface="Arial" panose="020B0604020202020204" pitchFamily="34" charset="0"/>
          </a:endParaRPr>
        </a:p>
      </dgm:t>
    </dgm:pt>
    <dgm:pt modelId="{A22E45E5-8436-3E48-883A-30A5DCB9835F}" type="parTrans" cxnId="{CA4D1073-C0BE-614F-8720-22E29ACF9688}">
      <dgm:prSet/>
      <dgm:spPr/>
      <dgm:t>
        <a:bodyPr/>
        <a:lstStyle/>
        <a:p>
          <a:endParaRPr lang="en-GB"/>
        </a:p>
      </dgm:t>
    </dgm:pt>
    <dgm:pt modelId="{6A740378-5ED1-2D40-B40F-9F1E18ED2127}" type="sibTrans" cxnId="{CA4D1073-C0BE-614F-8720-22E29ACF9688}">
      <dgm:prSet/>
      <dgm:spPr/>
      <dgm:t>
        <a:bodyPr/>
        <a:lstStyle/>
        <a:p>
          <a:endParaRPr lang="en-GB"/>
        </a:p>
      </dgm:t>
    </dgm:pt>
    <dgm:pt modelId="{5E453DA7-1847-7A4A-B19F-912454DC9912}">
      <dgm:prSet phldrT="[Text]" custT="1"/>
      <dgm:spPr/>
      <dgm:t>
        <a:bodyPr/>
        <a:lstStyle/>
        <a:p>
          <a:pPr>
            <a:buNone/>
          </a:pPr>
          <a:r>
            <a:rPr lang="en-US" sz="1200" b="1"/>
            <a:t>Responses: </a:t>
          </a:r>
          <a:r>
            <a:rPr lang="en-US" sz="1200"/>
            <a:t>diversification, transparent advertising, content safeguards and adaptive business models.</a:t>
          </a:r>
          <a:endParaRPr lang="en-GB" sz="1200">
            <a:latin typeface="Arial" panose="020B0604020202020204" pitchFamily="34" charset="0"/>
            <a:cs typeface="Arial" panose="020B0604020202020204" pitchFamily="34" charset="0"/>
          </a:endParaRPr>
        </a:p>
      </dgm:t>
    </dgm:pt>
    <dgm:pt modelId="{30AFE1F4-68C0-0E4E-A22F-67324553F1F6}" type="parTrans" cxnId="{E4146CE6-79FC-DA43-9F06-6F596CED2D7E}">
      <dgm:prSet/>
      <dgm:spPr/>
      <dgm:t>
        <a:bodyPr/>
        <a:lstStyle/>
        <a:p>
          <a:endParaRPr lang="en-GB"/>
        </a:p>
      </dgm:t>
    </dgm:pt>
    <dgm:pt modelId="{8123C2B5-4BC7-6F4B-A241-45B08F1E678E}" type="sibTrans" cxnId="{E4146CE6-79FC-DA43-9F06-6F596CED2D7E}">
      <dgm:prSet/>
      <dgm:spPr/>
      <dgm:t>
        <a:bodyPr/>
        <a:lstStyle/>
        <a:p>
          <a:endParaRPr lang="en-GB"/>
        </a:p>
      </dgm:t>
    </dgm:pt>
    <dgm:pt modelId="{D9704E0A-A3F6-3D42-A726-5F40A4E183D2}" type="pres">
      <dgm:prSet presAssocID="{A78E0F5F-21E6-DA4E-9C8F-781F4FA756DA}" presName="Name0" presStyleCnt="0">
        <dgm:presLayoutVars>
          <dgm:dir/>
          <dgm:resizeHandles val="exact"/>
        </dgm:presLayoutVars>
      </dgm:prSet>
      <dgm:spPr/>
    </dgm:pt>
    <dgm:pt modelId="{1641E1BF-AE47-7A49-BB0C-576F8A672C3E}" type="pres">
      <dgm:prSet presAssocID="{15BC498A-3C4F-A140-817C-6A8F3928206E}" presName="node" presStyleLbl="node1" presStyleIdx="0" presStyleCnt="5">
        <dgm:presLayoutVars>
          <dgm:bulletEnabled val="1"/>
        </dgm:presLayoutVars>
      </dgm:prSet>
      <dgm:spPr/>
    </dgm:pt>
    <dgm:pt modelId="{596E4DBA-A15D-C24E-8E56-E358C1784AB4}" type="pres">
      <dgm:prSet presAssocID="{9C6EADBC-6D09-D24A-80A8-FBB48B39DF9F}" presName="sibTrans" presStyleLbl="sibTrans1D1" presStyleIdx="0" presStyleCnt="4"/>
      <dgm:spPr/>
    </dgm:pt>
    <dgm:pt modelId="{4D03334D-2583-DB46-8D91-8F1F34E7AF58}" type="pres">
      <dgm:prSet presAssocID="{9C6EADBC-6D09-D24A-80A8-FBB48B39DF9F}" presName="connectorText" presStyleLbl="sibTrans1D1" presStyleIdx="0" presStyleCnt="4"/>
      <dgm:spPr/>
    </dgm:pt>
    <dgm:pt modelId="{8F394B00-74FF-304A-B5ED-4D9DFAA0674C}" type="pres">
      <dgm:prSet presAssocID="{EC4C1BE5-43B4-A946-B823-7F3224EF65E1}" presName="node" presStyleLbl="node1" presStyleIdx="1" presStyleCnt="5" custScaleX="103579" custScaleY="114593">
        <dgm:presLayoutVars>
          <dgm:bulletEnabled val="1"/>
        </dgm:presLayoutVars>
      </dgm:prSet>
      <dgm:spPr/>
    </dgm:pt>
    <dgm:pt modelId="{38796416-BC65-1343-A2E1-3DD563B99D41}" type="pres">
      <dgm:prSet presAssocID="{D14DD423-BBA9-7641-8368-3DFC8FAB6FAA}" presName="sibTrans" presStyleLbl="sibTrans1D1" presStyleIdx="1" presStyleCnt="4"/>
      <dgm:spPr/>
    </dgm:pt>
    <dgm:pt modelId="{F5A8EA92-85B0-2E48-A054-B75A18686DF9}" type="pres">
      <dgm:prSet presAssocID="{D14DD423-BBA9-7641-8368-3DFC8FAB6FAA}" presName="connectorText" presStyleLbl="sibTrans1D1" presStyleIdx="1" presStyleCnt="4"/>
      <dgm:spPr/>
    </dgm:pt>
    <dgm:pt modelId="{3B60FC8A-4870-D545-A961-135C49E7FE90}" type="pres">
      <dgm:prSet presAssocID="{E00CAEC1-6B9A-3A4B-921B-18CA7EA33EDD}" presName="node" presStyleLbl="node1" presStyleIdx="2" presStyleCnt="5">
        <dgm:presLayoutVars>
          <dgm:bulletEnabled val="1"/>
        </dgm:presLayoutVars>
      </dgm:prSet>
      <dgm:spPr/>
    </dgm:pt>
    <dgm:pt modelId="{DF02F8FA-73B1-B74B-8F66-011A39C742D2}" type="pres">
      <dgm:prSet presAssocID="{44ABB724-CDD0-7D47-BF67-C79D1EED8473}" presName="sibTrans" presStyleLbl="sibTrans1D1" presStyleIdx="2" presStyleCnt="4"/>
      <dgm:spPr/>
    </dgm:pt>
    <dgm:pt modelId="{B3D44DCF-ACAC-3A4C-8BE0-295BBB2AD4C5}" type="pres">
      <dgm:prSet presAssocID="{44ABB724-CDD0-7D47-BF67-C79D1EED8473}" presName="connectorText" presStyleLbl="sibTrans1D1" presStyleIdx="2" presStyleCnt="4"/>
      <dgm:spPr/>
    </dgm:pt>
    <dgm:pt modelId="{30E58062-06AD-7046-B657-324A5714A388}" type="pres">
      <dgm:prSet presAssocID="{7587C01B-9F13-7C43-A4DA-1F64622A70A6}" presName="node" presStyleLbl="node1" presStyleIdx="3" presStyleCnt="5" custScaleX="105453" custScaleY="119344">
        <dgm:presLayoutVars>
          <dgm:bulletEnabled val="1"/>
        </dgm:presLayoutVars>
      </dgm:prSet>
      <dgm:spPr/>
    </dgm:pt>
    <dgm:pt modelId="{C467FE3D-3E27-C74B-8D61-50EC34E091BC}" type="pres">
      <dgm:prSet presAssocID="{6A740378-5ED1-2D40-B40F-9F1E18ED2127}" presName="sibTrans" presStyleLbl="sibTrans1D1" presStyleIdx="3" presStyleCnt="4"/>
      <dgm:spPr/>
    </dgm:pt>
    <dgm:pt modelId="{D8B825DB-B25D-D441-B7BA-0E52D58B94FC}" type="pres">
      <dgm:prSet presAssocID="{6A740378-5ED1-2D40-B40F-9F1E18ED2127}" presName="connectorText" presStyleLbl="sibTrans1D1" presStyleIdx="3" presStyleCnt="4"/>
      <dgm:spPr/>
    </dgm:pt>
    <dgm:pt modelId="{C9534F75-4FFA-924D-BBFA-D082BB46A9A7}" type="pres">
      <dgm:prSet presAssocID="{5E453DA7-1847-7A4A-B19F-912454DC9912}" presName="node" presStyleLbl="node1" presStyleIdx="4" presStyleCnt="5" custScaleX="98990" custScaleY="123183">
        <dgm:presLayoutVars>
          <dgm:bulletEnabled val="1"/>
        </dgm:presLayoutVars>
      </dgm:prSet>
      <dgm:spPr/>
    </dgm:pt>
  </dgm:ptLst>
  <dgm:cxnLst>
    <dgm:cxn modelId="{59780503-C87E-BB43-A65E-FBC87DF2F003}" type="presOf" srcId="{D14DD423-BBA9-7641-8368-3DFC8FAB6FAA}" destId="{F5A8EA92-85B0-2E48-A054-B75A18686DF9}" srcOrd="1" destOrd="0" presId="urn:microsoft.com/office/officeart/2005/8/layout/bProcess3"/>
    <dgm:cxn modelId="{33690635-B604-094F-9A0D-E8EB5C466B20}" type="presOf" srcId="{6A740378-5ED1-2D40-B40F-9F1E18ED2127}" destId="{D8B825DB-B25D-D441-B7BA-0E52D58B94FC}" srcOrd="1" destOrd="0" presId="urn:microsoft.com/office/officeart/2005/8/layout/bProcess3"/>
    <dgm:cxn modelId="{0CACAF45-3082-0C42-A621-99E60B6D1254}" type="presOf" srcId="{6A740378-5ED1-2D40-B40F-9F1E18ED2127}" destId="{C467FE3D-3E27-C74B-8D61-50EC34E091BC}" srcOrd="0" destOrd="0" presId="urn:microsoft.com/office/officeart/2005/8/layout/bProcess3"/>
    <dgm:cxn modelId="{D24AC95B-AE07-DA40-A74A-5909EABB951C}" srcId="{A78E0F5F-21E6-DA4E-9C8F-781F4FA756DA}" destId="{15BC498A-3C4F-A140-817C-6A8F3928206E}" srcOrd="0" destOrd="0" parTransId="{0064A4BF-ACFE-3F41-A87D-5058012913F1}" sibTransId="{9C6EADBC-6D09-D24A-80A8-FBB48B39DF9F}"/>
    <dgm:cxn modelId="{F51AC65E-D809-E34B-9999-75279CF7AE34}" type="presOf" srcId="{EC4C1BE5-43B4-A946-B823-7F3224EF65E1}" destId="{8F394B00-74FF-304A-B5ED-4D9DFAA0674C}" srcOrd="0" destOrd="0" presId="urn:microsoft.com/office/officeart/2005/8/layout/bProcess3"/>
    <dgm:cxn modelId="{BD5EE064-0E0F-B044-AF04-6D44883E8CE6}" type="presOf" srcId="{44ABB724-CDD0-7D47-BF67-C79D1EED8473}" destId="{DF02F8FA-73B1-B74B-8F66-011A39C742D2}" srcOrd="0" destOrd="0" presId="urn:microsoft.com/office/officeart/2005/8/layout/bProcess3"/>
    <dgm:cxn modelId="{E67BD26D-A35F-8141-A87A-1E0AE7B2EC95}" type="presOf" srcId="{7587C01B-9F13-7C43-A4DA-1F64622A70A6}" destId="{30E58062-06AD-7046-B657-324A5714A388}" srcOrd="0" destOrd="0" presId="urn:microsoft.com/office/officeart/2005/8/layout/bProcess3"/>
    <dgm:cxn modelId="{225A4072-FE0E-4C4A-93DD-982DFCB59FE4}" type="presOf" srcId="{E00CAEC1-6B9A-3A4B-921B-18CA7EA33EDD}" destId="{3B60FC8A-4870-D545-A961-135C49E7FE90}" srcOrd="0" destOrd="0" presId="urn:microsoft.com/office/officeart/2005/8/layout/bProcess3"/>
    <dgm:cxn modelId="{CA4D1073-C0BE-614F-8720-22E29ACF9688}" srcId="{A78E0F5F-21E6-DA4E-9C8F-781F4FA756DA}" destId="{7587C01B-9F13-7C43-A4DA-1F64622A70A6}" srcOrd="3" destOrd="0" parTransId="{A22E45E5-8436-3E48-883A-30A5DCB9835F}" sibTransId="{6A740378-5ED1-2D40-B40F-9F1E18ED2127}"/>
    <dgm:cxn modelId="{BA526A79-9FE5-B348-9C48-DAF227D1EA04}" type="presOf" srcId="{15BC498A-3C4F-A140-817C-6A8F3928206E}" destId="{1641E1BF-AE47-7A49-BB0C-576F8A672C3E}" srcOrd="0" destOrd="0" presId="urn:microsoft.com/office/officeart/2005/8/layout/bProcess3"/>
    <dgm:cxn modelId="{9F882B88-C42D-614F-B754-62690933A5F0}" type="presOf" srcId="{9C6EADBC-6D09-D24A-80A8-FBB48B39DF9F}" destId="{4D03334D-2583-DB46-8D91-8F1F34E7AF58}" srcOrd="1" destOrd="0" presId="urn:microsoft.com/office/officeart/2005/8/layout/bProcess3"/>
    <dgm:cxn modelId="{A5C44DB1-1AD6-F14F-B3D3-DEDB3FD95848}" type="presOf" srcId="{A78E0F5F-21E6-DA4E-9C8F-781F4FA756DA}" destId="{D9704E0A-A3F6-3D42-A726-5F40A4E183D2}" srcOrd="0" destOrd="0" presId="urn:microsoft.com/office/officeart/2005/8/layout/bProcess3"/>
    <dgm:cxn modelId="{CCB6CEB1-26B5-2C49-81B7-ECB9F43ACB6C}" type="presOf" srcId="{5E453DA7-1847-7A4A-B19F-912454DC9912}" destId="{C9534F75-4FFA-924D-BBFA-D082BB46A9A7}" srcOrd="0" destOrd="0" presId="urn:microsoft.com/office/officeart/2005/8/layout/bProcess3"/>
    <dgm:cxn modelId="{83F118B5-07F5-4D49-B523-5679EA1A1B02}" type="presOf" srcId="{9C6EADBC-6D09-D24A-80A8-FBB48B39DF9F}" destId="{596E4DBA-A15D-C24E-8E56-E358C1784AB4}" srcOrd="0" destOrd="0" presId="urn:microsoft.com/office/officeart/2005/8/layout/bProcess3"/>
    <dgm:cxn modelId="{E30997BE-23A2-7240-837E-0D55E3CB2994}" type="presOf" srcId="{44ABB724-CDD0-7D47-BF67-C79D1EED8473}" destId="{B3D44DCF-ACAC-3A4C-8BE0-295BBB2AD4C5}" srcOrd="1" destOrd="0" presId="urn:microsoft.com/office/officeart/2005/8/layout/bProcess3"/>
    <dgm:cxn modelId="{368FA8D2-EEBE-2C41-A616-E9FD7F456B61}" srcId="{A78E0F5F-21E6-DA4E-9C8F-781F4FA756DA}" destId="{E00CAEC1-6B9A-3A4B-921B-18CA7EA33EDD}" srcOrd="2" destOrd="0" parTransId="{05D86EDA-4935-1C48-A451-4006F60A0FB8}" sibTransId="{44ABB724-CDD0-7D47-BF67-C79D1EED8473}"/>
    <dgm:cxn modelId="{FD5AF7D4-91BA-974E-B920-0738B362BC42}" srcId="{A78E0F5F-21E6-DA4E-9C8F-781F4FA756DA}" destId="{EC4C1BE5-43B4-A946-B823-7F3224EF65E1}" srcOrd="1" destOrd="0" parTransId="{4DB299CC-5416-7948-8EE0-052A9B24583F}" sibTransId="{D14DD423-BBA9-7641-8368-3DFC8FAB6FAA}"/>
    <dgm:cxn modelId="{E4146CE6-79FC-DA43-9F06-6F596CED2D7E}" srcId="{A78E0F5F-21E6-DA4E-9C8F-781F4FA756DA}" destId="{5E453DA7-1847-7A4A-B19F-912454DC9912}" srcOrd="4" destOrd="0" parTransId="{30AFE1F4-68C0-0E4E-A22F-67324553F1F6}" sibTransId="{8123C2B5-4BC7-6F4B-A241-45B08F1E678E}"/>
    <dgm:cxn modelId="{B9A4BDF6-2FD9-5741-9BF9-79C1E3AA6209}" type="presOf" srcId="{D14DD423-BBA9-7641-8368-3DFC8FAB6FAA}" destId="{38796416-BC65-1343-A2E1-3DD563B99D41}" srcOrd="0" destOrd="0" presId="urn:microsoft.com/office/officeart/2005/8/layout/bProcess3"/>
    <dgm:cxn modelId="{B37B0126-9510-F348-B026-BD4D80CB3F69}" type="presParOf" srcId="{D9704E0A-A3F6-3D42-A726-5F40A4E183D2}" destId="{1641E1BF-AE47-7A49-BB0C-576F8A672C3E}" srcOrd="0" destOrd="0" presId="urn:microsoft.com/office/officeart/2005/8/layout/bProcess3"/>
    <dgm:cxn modelId="{727626E7-8F2E-5B4A-AFDF-09E7A3A6019D}" type="presParOf" srcId="{D9704E0A-A3F6-3D42-A726-5F40A4E183D2}" destId="{596E4DBA-A15D-C24E-8E56-E358C1784AB4}" srcOrd="1" destOrd="0" presId="urn:microsoft.com/office/officeart/2005/8/layout/bProcess3"/>
    <dgm:cxn modelId="{7A0A9F61-C42E-8A46-9ED0-9AFAF3CFC906}" type="presParOf" srcId="{596E4DBA-A15D-C24E-8E56-E358C1784AB4}" destId="{4D03334D-2583-DB46-8D91-8F1F34E7AF58}" srcOrd="0" destOrd="0" presId="urn:microsoft.com/office/officeart/2005/8/layout/bProcess3"/>
    <dgm:cxn modelId="{D22DED15-BEBB-EF43-9C41-3DB59AEC863B}" type="presParOf" srcId="{D9704E0A-A3F6-3D42-A726-5F40A4E183D2}" destId="{8F394B00-74FF-304A-B5ED-4D9DFAA0674C}" srcOrd="2" destOrd="0" presId="urn:microsoft.com/office/officeart/2005/8/layout/bProcess3"/>
    <dgm:cxn modelId="{52698C0D-267D-0F48-A427-90C610766B17}" type="presParOf" srcId="{D9704E0A-A3F6-3D42-A726-5F40A4E183D2}" destId="{38796416-BC65-1343-A2E1-3DD563B99D41}" srcOrd="3" destOrd="0" presId="urn:microsoft.com/office/officeart/2005/8/layout/bProcess3"/>
    <dgm:cxn modelId="{E5BF11D3-3766-D448-BAE6-6678FD15E69E}" type="presParOf" srcId="{38796416-BC65-1343-A2E1-3DD563B99D41}" destId="{F5A8EA92-85B0-2E48-A054-B75A18686DF9}" srcOrd="0" destOrd="0" presId="urn:microsoft.com/office/officeart/2005/8/layout/bProcess3"/>
    <dgm:cxn modelId="{ECFA5B75-1CA4-6A4C-B18F-DB60A4BE9C79}" type="presParOf" srcId="{D9704E0A-A3F6-3D42-A726-5F40A4E183D2}" destId="{3B60FC8A-4870-D545-A961-135C49E7FE90}" srcOrd="4" destOrd="0" presId="urn:microsoft.com/office/officeart/2005/8/layout/bProcess3"/>
    <dgm:cxn modelId="{B402FBAE-DFEC-F24C-B97C-55E0595F5124}" type="presParOf" srcId="{D9704E0A-A3F6-3D42-A726-5F40A4E183D2}" destId="{DF02F8FA-73B1-B74B-8F66-011A39C742D2}" srcOrd="5" destOrd="0" presId="urn:microsoft.com/office/officeart/2005/8/layout/bProcess3"/>
    <dgm:cxn modelId="{5B46E5ED-7233-384A-B338-4C2415855C6A}" type="presParOf" srcId="{DF02F8FA-73B1-B74B-8F66-011A39C742D2}" destId="{B3D44DCF-ACAC-3A4C-8BE0-295BBB2AD4C5}" srcOrd="0" destOrd="0" presId="urn:microsoft.com/office/officeart/2005/8/layout/bProcess3"/>
    <dgm:cxn modelId="{72B6016A-1702-7E49-8F73-63C9CAE1DF96}" type="presParOf" srcId="{D9704E0A-A3F6-3D42-A726-5F40A4E183D2}" destId="{30E58062-06AD-7046-B657-324A5714A388}" srcOrd="6" destOrd="0" presId="urn:microsoft.com/office/officeart/2005/8/layout/bProcess3"/>
    <dgm:cxn modelId="{C97E0F2E-EBA2-3848-A530-C08D171A0159}" type="presParOf" srcId="{D9704E0A-A3F6-3D42-A726-5F40A4E183D2}" destId="{C467FE3D-3E27-C74B-8D61-50EC34E091BC}" srcOrd="7" destOrd="0" presId="urn:microsoft.com/office/officeart/2005/8/layout/bProcess3"/>
    <dgm:cxn modelId="{4FEEB9DA-5962-344C-B185-E3A387322796}" type="presParOf" srcId="{C467FE3D-3E27-C74B-8D61-50EC34E091BC}" destId="{D8B825DB-B25D-D441-B7BA-0E52D58B94FC}" srcOrd="0" destOrd="0" presId="urn:microsoft.com/office/officeart/2005/8/layout/bProcess3"/>
    <dgm:cxn modelId="{71C753E6-254E-6443-93C2-EB6CBC1C0E92}" type="presParOf" srcId="{D9704E0A-A3F6-3D42-A726-5F40A4E183D2}" destId="{C9534F75-4FFA-924D-BBFA-D082BB46A9A7}" srcOrd="8" destOrd="0" presId="urn:microsoft.com/office/officeart/2005/8/layout/bProcess3"/>
  </dgm:cxnLst>
  <dgm:bg/>
  <dgm:whole/>
  <dgm:extLst>
    <a:ext uri="http://schemas.microsoft.com/office/drawing/2008/diagram">
      <dsp:dataModelExt xmlns:dsp="http://schemas.microsoft.com/office/drawing/2008/diagram" relId="rId3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96E4DBA-A15D-C24E-8E56-E358C1784AB4}">
      <dsp:nvSpPr>
        <dsp:cNvPr id="0" name=""/>
        <dsp:cNvSpPr/>
      </dsp:nvSpPr>
      <dsp:spPr>
        <a:xfrm>
          <a:off x="1570473" y="795855"/>
          <a:ext cx="329494" cy="91440"/>
        </a:xfrm>
        <a:custGeom>
          <a:avLst/>
          <a:gdLst/>
          <a:ahLst/>
          <a:cxnLst/>
          <a:rect l="0" t="0" r="0" b="0"/>
          <a:pathLst>
            <a:path>
              <a:moveTo>
                <a:pt x="0" y="45720"/>
              </a:moveTo>
              <a:lnTo>
                <a:pt x="329494" y="45720"/>
              </a:lnTo>
            </a:path>
          </a:pathLst>
        </a:custGeom>
        <a:noFill/>
        <a:ln w="1270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726218" y="839773"/>
        <a:ext cx="18004" cy="3604"/>
      </dsp:txXfrm>
    </dsp:sp>
    <dsp:sp modelId="{1641E1BF-AE47-7A49-BB0C-576F8A672C3E}">
      <dsp:nvSpPr>
        <dsp:cNvPr id="0" name=""/>
        <dsp:cNvSpPr/>
      </dsp:nvSpPr>
      <dsp:spPr>
        <a:xfrm>
          <a:off x="6643" y="371886"/>
          <a:ext cx="1565629" cy="939377"/>
        </a:xfrm>
        <a:prstGeom prst="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b="1" kern="1200"/>
            <a:t>Drivers:</a:t>
          </a:r>
          <a:r>
            <a:rPr lang="en-US" sz="1200" kern="1200"/>
            <a:t> digital access, creator-led consumption, commercial demand and AI tools.</a:t>
          </a:r>
          <a:endParaRPr lang="en-GB" sz="1200" kern="1200">
            <a:latin typeface="Arial" panose="020B0604020202020204" pitchFamily="34" charset="0"/>
            <a:cs typeface="Arial" panose="020B0604020202020204" pitchFamily="34" charset="0"/>
          </a:endParaRPr>
        </a:p>
      </dsp:txBody>
      <dsp:txXfrm>
        <a:off x="6643" y="371886"/>
        <a:ext cx="1565629" cy="939377"/>
      </dsp:txXfrm>
    </dsp:sp>
    <dsp:sp modelId="{38796416-BC65-1343-A2E1-3DD563B99D41}">
      <dsp:nvSpPr>
        <dsp:cNvPr id="0" name=""/>
        <dsp:cNvSpPr/>
      </dsp:nvSpPr>
      <dsp:spPr>
        <a:xfrm>
          <a:off x="3552231" y="795855"/>
          <a:ext cx="329494" cy="91440"/>
        </a:xfrm>
        <a:custGeom>
          <a:avLst/>
          <a:gdLst/>
          <a:ahLst/>
          <a:cxnLst/>
          <a:rect l="0" t="0" r="0" b="0"/>
          <a:pathLst>
            <a:path>
              <a:moveTo>
                <a:pt x="0" y="45720"/>
              </a:moveTo>
              <a:lnTo>
                <a:pt x="329494" y="45720"/>
              </a:lnTo>
            </a:path>
          </a:pathLst>
        </a:custGeom>
        <a:noFill/>
        <a:ln w="1270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707976" y="839773"/>
        <a:ext cx="18004" cy="3604"/>
      </dsp:txXfrm>
    </dsp:sp>
    <dsp:sp modelId="{8F394B00-74FF-304A-B5ED-4D9DFAA0674C}">
      <dsp:nvSpPr>
        <dsp:cNvPr id="0" name=""/>
        <dsp:cNvSpPr/>
      </dsp:nvSpPr>
      <dsp:spPr>
        <a:xfrm>
          <a:off x="1932368" y="303345"/>
          <a:ext cx="1621663" cy="1076461"/>
        </a:xfrm>
        <a:prstGeom prst="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b="1" kern="1200"/>
            <a:t>Pressures</a:t>
          </a:r>
          <a:r>
            <a:rPr lang="en-US" sz="1200" kern="1200"/>
            <a:t>: platform dependence, competition, unstable income and compliance requirements.</a:t>
          </a:r>
          <a:endParaRPr lang="en-GB" sz="1200" kern="1200">
            <a:latin typeface="Arial" panose="020B0604020202020204" pitchFamily="34" charset="0"/>
            <a:cs typeface="Arial" panose="020B0604020202020204" pitchFamily="34" charset="0"/>
          </a:endParaRPr>
        </a:p>
      </dsp:txBody>
      <dsp:txXfrm>
        <a:off x="1932368" y="303345"/>
        <a:ext cx="1621663" cy="1076461"/>
      </dsp:txXfrm>
    </dsp:sp>
    <dsp:sp modelId="{DF02F8FA-73B1-B74B-8F66-011A39C742D2}">
      <dsp:nvSpPr>
        <dsp:cNvPr id="0" name=""/>
        <dsp:cNvSpPr/>
      </dsp:nvSpPr>
      <dsp:spPr>
        <a:xfrm>
          <a:off x="832145" y="1309464"/>
          <a:ext cx="3864796" cy="416067"/>
        </a:xfrm>
        <a:custGeom>
          <a:avLst/>
          <a:gdLst/>
          <a:ahLst/>
          <a:cxnLst/>
          <a:rect l="0" t="0" r="0" b="0"/>
          <a:pathLst>
            <a:path>
              <a:moveTo>
                <a:pt x="3864796" y="0"/>
              </a:moveTo>
              <a:lnTo>
                <a:pt x="3864796" y="225133"/>
              </a:lnTo>
              <a:lnTo>
                <a:pt x="0" y="225133"/>
              </a:lnTo>
              <a:lnTo>
                <a:pt x="0" y="416067"/>
              </a:lnTo>
            </a:path>
          </a:pathLst>
        </a:custGeom>
        <a:noFill/>
        <a:ln w="1270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667280" y="1515696"/>
        <a:ext cx="194526" cy="3604"/>
      </dsp:txXfrm>
    </dsp:sp>
    <dsp:sp modelId="{3B60FC8A-4870-D545-A961-135C49E7FE90}">
      <dsp:nvSpPr>
        <dsp:cNvPr id="0" name=""/>
        <dsp:cNvSpPr/>
      </dsp:nvSpPr>
      <dsp:spPr>
        <a:xfrm>
          <a:off x="3914126" y="371886"/>
          <a:ext cx="1565629" cy="939377"/>
        </a:xfrm>
        <a:prstGeom prst="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b="1" kern="1200"/>
            <a:t>State</a:t>
          </a:r>
          <a:r>
            <a:rPr lang="en-US" sz="1200" kern="1200"/>
            <a:t>: rapid industry growth with unequal reach, monetisation and resilience.</a:t>
          </a:r>
          <a:endParaRPr lang="en-GB" sz="1200" kern="1200">
            <a:latin typeface="Arial" panose="020B0604020202020204" pitchFamily="34" charset="0"/>
            <a:cs typeface="Arial" panose="020B0604020202020204" pitchFamily="34" charset="0"/>
          </a:endParaRPr>
        </a:p>
      </dsp:txBody>
      <dsp:txXfrm>
        <a:off x="3914126" y="371886"/>
        <a:ext cx="1565629" cy="939377"/>
      </dsp:txXfrm>
    </dsp:sp>
    <dsp:sp modelId="{C467FE3D-3E27-C74B-8D61-50EC34E091BC}">
      <dsp:nvSpPr>
        <dsp:cNvPr id="0" name=""/>
        <dsp:cNvSpPr/>
      </dsp:nvSpPr>
      <dsp:spPr>
        <a:xfrm>
          <a:off x="1655847" y="2272758"/>
          <a:ext cx="329494" cy="91440"/>
        </a:xfrm>
        <a:custGeom>
          <a:avLst/>
          <a:gdLst/>
          <a:ahLst/>
          <a:cxnLst/>
          <a:rect l="0" t="0" r="0" b="0"/>
          <a:pathLst>
            <a:path>
              <a:moveTo>
                <a:pt x="0" y="45720"/>
              </a:moveTo>
              <a:lnTo>
                <a:pt x="329494" y="45720"/>
              </a:lnTo>
            </a:path>
          </a:pathLst>
        </a:custGeom>
        <a:noFill/>
        <a:ln w="1270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811592" y="2316675"/>
        <a:ext cx="18004" cy="3604"/>
      </dsp:txXfrm>
    </dsp:sp>
    <dsp:sp modelId="{30E58062-06AD-7046-B657-324A5714A388}">
      <dsp:nvSpPr>
        <dsp:cNvPr id="0" name=""/>
        <dsp:cNvSpPr/>
      </dsp:nvSpPr>
      <dsp:spPr>
        <a:xfrm>
          <a:off x="6643" y="1757932"/>
          <a:ext cx="1651003" cy="1121091"/>
        </a:xfrm>
        <a:prstGeom prst="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b="1" kern="1200"/>
            <a:t>Impacts: </a:t>
          </a:r>
          <a:r>
            <a:rPr lang="en-US" sz="1200" kern="1200"/>
            <a:t>entrepreneurial opportunities, cultural influence, income insecurity and trust risks.</a:t>
          </a:r>
          <a:endParaRPr lang="en-GB" sz="1200" kern="1200">
            <a:latin typeface="Arial" panose="020B0604020202020204" pitchFamily="34" charset="0"/>
            <a:cs typeface="Arial" panose="020B0604020202020204" pitchFamily="34" charset="0"/>
          </a:endParaRPr>
        </a:p>
      </dsp:txBody>
      <dsp:txXfrm>
        <a:off x="6643" y="1757932"/>
        <a:ext cx="1651003" cy="1121091"/>
      </dsp:txXfrm>
    </dsp:sp>
    <dsp:sp modelId="{C9534F75-4FFA-924D-BBFA-D082BB46A9A7}">
      <dsp:nvSpPr>
        <dsp:cNvPr id="0" name=""/>
        <dsp:cNvSpPr/>
      </dsp:nvSpPr>
      <dsp:spPr>
        <a:xfrm>
          <a:off x="2017741" y="1739901"/>
          <a:ext cx="1549816" cy="1157153"/>
        </a:xfrm>
        <a:prstGeom prst="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b="1" kern="1200"/>
            <a:t>Responses: </a:t>
          </a:r>
          <a:r>
            <a:rPr lang="en-US" sz="1200" kern="1200"/>
            <a:t>diversification, transparent advertising, content safeguards and adaptive business models.</a:t>
          </a:r>
          <a:endParaRPr lang="en-GB" sz="1200" kern="1200">
            <a:latin typeface="Arial" panose="020B0604020202020204" pitchFamily="34" charset="0"/>
            <a:cs typeface="Arial" panose="020B0604020202020204" pitchFamily="34" charset="0"/>
          </a:endParaRPr>
        </a:p>
      </dsp:txBody>
      <dsp:txXfrm>
        <a:off x="2017741" y="1739901"/>
        <a:ext cx="1549816" cy="1157153"/>
      </dsp:txXfrm>
    </dsp:sp>
  </dsp:spTree>
</dsp:drawing>
</file>

<file path=word/diagrams/layout1.xml><?xml version="1.0" encoding="utf-8"?>
<dgm:layoutDef xmlns:dgm="http://schemas.openxmlformats.org/drawingml/2006/diagram" xmlns:a="http://schemas.openxmlformats.org/drawingml/2006/main" uniqueId="urn:microsoft.com/office/officeart/2005/8/layout/bProcess3">
  <dgm:title val=""/>
  <dgm:desc val=""/>
  <dgm:catLst>
    <dgm:cat type="process" pri="18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axis="self" func="var" arg="dir" op="equ" val="norm">
        <dgm:alg type="snake">
          <dgm:param type="grDir" val="tL"/>
          <dgm:param type="flowDir" val="row"/>
          <dgm:param type="contDir" val="sameDir"/>
          <dgm:param type="bkpt" val="endCnv"/>
        </dgm:alg>
      </dgm:if>
      <dgm:else name="Name3">
        <dgm:alg type="snake">
          <dgm:param type="grDir" val="tR"/>
          <dgm:param type="flowDir" val="row"/>
          <dgm:param type="contDir" val="same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23"/>
      <dgm:constr type="sp" refType="w" refFor="ch" refForName="sibTrans" op="equ"/>
      <dgm:constr type="userB" for="des" forName="connectorText" refType="sp"/>
      <dgm:constr type="primFontSz" for="ch" ptType="node" op="equ" val="65"/>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ect" r:blip="">
          <dgm:adjLst/>
        </dgm:shape>
        <dgm:presOf axis="desOrSelf" ptType="node"/>
        <dgm:constrLst>
          <dgm:constr type="h" refType="w" fact="0.6"/>
        </dgm:constrLst>
        <dgm:ruleLst>
          <dgm:rule type="primFontSz" val="5" fact="NaN" max="NaN"/>
        </dgm:ruleLst>
      </dgm:layoutNode>
      <dgm:forEach name="sibTransForEach" axis="followSib" ptType="sibTrans" cnt="1">
        <dgm:layoutNode name="sibTrans">
          <dgm:choose name="Name4">
            <dgm:if name="Name5" axis="self" func="var" arg="dir" op="equ" val="norm">
              <dgm:alg type="conn">
                <dgm:param type="connRout" val="bend"/>
                <dgm:param type="dim" val="1D"/>
                <dgm:param type="begPts" val="midR bCtr"/>
                <dgm:param type="endPts" val="midL tCtr"/>
              </dgm:alg>
            </dgm:if>
            <dgm:else name="Name6">
              <dgm:alg type="conn">
                <dgm:param type="connRout" val="bend"/>
                <dgm:param type="dim" val="1D"/>
                <dgm:param type="begPts" val="midL bCtr"/>
                <dgm:param type="endPts" val="midR tCtr"/>
              </dgm:alg>
            </dgm:else>
          </dgm:choose>
          <dgm:shape xmlns:r="http://schemas.openxmlformats.org/officeDocument/2006/relationships" type="conn" r:blip="" zOrderOff="-2">
            <dgm:adjLst/>
          </dgm:shape>
          <dgm:presOf axis="self"/>
          <dgm:constrLst>
            <dgm:constr type="begPad" val="-0.05"/>
            <dgm:constr type="endPad" val="0.9"/>
            <dgm:constr type="userA" for="ch" refType="connDist"/>
          </dgm:constrLst>
          <dgm:ruleLst/>
          <dgm:layoutNode name="connectorText">
            <dgm:alg type="tx">
              <dgm:param type="autoTxRot" val="upr"/>
            </dgm:alg>
            <dgm:shape xmlns:r="http://schemas.openxmlformats.org/officeDocument/2006/relationships" type="rect" r:blip="" hideGeom="1">
              <dgm:adjLst/>
            </dgm:shape>
            <dgm:presOf axis="self"/>
            <dgm:constrLst>
              <dgm:constr type="userA"/>
              <dgm:constr type="userB"/>
              <dgm:constr type="w" refType="userA" fact="0.05"/>
              <dgm:constr type="h" refType="userB" fact="0.01"/>
              <dgm:constr type="lMarg" val="1"/>
              <dgm:constr type="rMarg" val="1"/>
              <dgm:constr type="tMarg"/>
              <dgm:constr type="bMarg"/>
            </dgm:constrLst>
            <dgm:ruleLst>
              <dgm:rule type="w" val="NaN" fact="0.6" max="NaN"/>
              <dgm:rule type="h" val="NaN" fact="0.6" max="NaN"/>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117</TotalTime>
  <Pages>25</Pages>
  <Words>5579</Words>
  <Characters>31804</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Aurelia-Mirela Sterian (2238113)</dc:creator>
  <cp:keywords/>
  <dc:description/>
  <cp:lastModifiedBy>Aurelia-Mirela Sterian (2238113)</cp:lastModifiedBy>
  <cp:revision>1</cp:revision>
  <dcterms:created xsi:type="dcterms:W3CDTF">2026-10-23T11:03:00Z</dcterms:created>
  <dcterms:modified xsi:type="dcterms:W3CDTF">2026-10-23T13:39:00Z</dcterms:modified>
</cp:coreProperties>
</file>