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24B" w:rsidRPr="00567860" w:rsidRDefault="00567860" w:rsidP="001D3E52">
      <w:pPr>
        <w:jc w:val="center"/>
        <w:rPr>
          <w:rFonts w:ascii="Arial" w:hAnsi="Arial"/>
          <w:color w:val="auto"/>
          <w:sz w:val="28"/>
          <w:szCs w:val="28"/>
        </w:rPr>
      </w:pPr>
      <w:r w:rsidRPr="00567860">
        <w:rPr>
          <w:rFonts w:ascii="Arial" w:hAnsi="Arial"/>
          <w:color w:val="auto"/>
          <w:sz w:val="28"/>
          <w:szCs w:val="28"/>
        </w:rPr>
        <w:t>The Home</w:t>
      </w:r>
      <w:r w:rsidR="00451DCE" w:rsidRPr="00567860">
        <w:rPr>
          <w:rFonts w:ascii="Arial" w:hAnsi="Arial"/>
          <w:color w:val="auto"/>
          <w:sz w:val="28"/>
          <w:szCs w:val="28"/>
        </w:rPr>
        <w:t xml:space="preserve"> through BIOGRAPHICAL OBJECTS AND SOCIAL HIERARCHY</w:t>
      </w:r>
    </w:p>
    <w:p w:rsidR="007F4ABC" w:rsidRPr="00567860" w:rsidRDefault="007F4ABC" w:rsidP="007F4ABC">
      <w:pPr>
        <w:ind w:firstLine="720"/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</w:rPr>
        <w:t xml:space="preserve">In this research project I </w:t>
      </w:r>
      <w:r w:rsidR="0056785F" w:rsidRPr="00567860">
        <w:rPr>
          <w:rFonts w:ascii="Arial" w:hAnsi="Arial"/>
          <w:color w:val="auto"/>
        </w:rPr>
        <w:t xml:space="preserve">will be </w:t>
      </w:r>
      <w:r w:rsidRPr="00567860">
        <w:rPr>
          <w:rFonts w:ascii="Arial" w:hAnsi="Arial"/>
          <w:color w:val="auto"/>
        </w:rPr>
        <w:t>examining the home as a biographical object and a communicator of social hierarchy cross culturally. Inspired by Colloredo-</w:t>
      </w:r>
      <w:proofErr w:type="spellStart"/>
      <w:r w:rsidRPr="00567860">
        <w:rPr>
          <w:rFonts w:ascii="Arial" w:hAnsi="Arial"/>
          <w:color w:val="auto"/>
        </w:rPr>
        <w:t>Mansfeld</w:t>
      </w:r>
      <w:proofErr w:type="spellEnd"/>
      <w:r w:rsidRPr="00567860">
        <w:rPr>
          <w:rFonts w:ascii="Arial" w:hAnsi="Arial"/>
          <w:color w:val="auto"/>
        </w:rPr>
        <w:t xml:space="preserve"> and Abbots’ work in </w:t>
      </w:r>
      <w:r w:rsidR="00EC48BA" w:rsidRPr="00567860">
        <w:rPr>
          <w:rFonts w:ascii="Arial" w:hAnsi="Arial"/>
          <w:color w:val="auto"/>
        </w:rPr>
        <w:t>Ecuador</w:t>
      </w:r>
      <w:r w:rsidRPr="00567860">
        <w:rPr>
          <w:rFonts w:ascii="Arial" w:hAnsi="Arial"/>
          <w:color w:val="auto"/>
        </w:rPr>
        <w:t xml:space="preserve"> and Bo</w:t>
      </w:r>
      <w:r w:rsidR="00567860" w:rsidRPr="00567860">
        <w:rPr>
          <w:rFonts w:ascii="Arial" w:hAnsi="Arial"/>
          <w:color w:val="auto"/>
        </w:rPr>
        <w:t>u</w:t>
      </w:r>
      <w:r w:rsidRPr="00567860">
        <w:rPr>
          <w:rFonts w:ascii="Arial" w:hAnsi="Arial"/>
          <w:color w:val="auto"/>
        </w:rPr>
        <w:t>rdieu’</w:t>
      </w:r>
      <w:r w:rsidR="001F2988" w:rsidRPr="00567860">
        <w:rPr>
          <w:rFonts w:ascii="Arial" w:hAnsi="Arial"/>
          <w:color w:val="auto"/>
        </w:rPr>
        <w:t>s notions of taste and its relationship to class</w:t>
      </w:r>
      <w:r w:rsidRPr="00567860">
        <w:rPr>
          <w:rFonts w:ascii="Arial" w:hAnsi="Arial"/>
          <w:color w:val="auto"/>
        </w:rPr>
        <w:t xml:space="preserve"> I aim to show that </w:t>
      </w:r>
      <w:r w:rsidR="001F2988" w:rsidRPr="00567860">
        <w:rPr>
          <w:rFonts w:ascii="Arial" w:hAnsi="Arial"/>
          <w:color w:val="auto"/>
        </w:rPr>
        <w:t xml:space="preserve">the dwelling place </w:t>
      </w:r>
      <w:r w:rsidRPr="00567860">
        <w:rPr>
          <w:rFonts w:ascii="Arial" w:hAnsi="Arial"/>
          <w:color w:val="auto"/>
        </w:rPr>
        <w:t xml:space="preserve">is an anchor for identity and a powerful signifier of both cultural and economic capital. </w:t>
      </w:r>
      <w:r w:rsidR="0056785F" w:rsidRPr="00567860">
        <w:rPr>
          <w:rFonts w:ascii="Arial" w:hAnsi="Arial"/>
          <w:color w:val="auto"/>
        </w:rPr>
        <w:t>Both theories have their benefits and limitations as lenses thro</w:t>
      </w:r>
      <w:r w:rsidR="008E5BDC" w:rsidRPr="00567860">
        <w:rPr>
          <w:rFonts w:ascii="Arial" w:hAnsi="Arial"/>
          <w:color w:val="auto"/>
        </w:rPr>
        <w:t>ugh which to consider the home and throughout this piece of writing I will be drawing attention to these.</w:t>
      </w:r>
    </w:p>
    <w:p w:rsidR="008E5BDC" w:rsidRPr="00567860" w:rsidRDefault="00F3262F" w:rsidP="007F4ABC">
      <w:pPr>
        <w:ind w:firstLine="720"/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</w:rPr>
        <w:t xml:space="preserve">In his 1994 paper, </w:t>
      </w:r>
      <w:r w:rsidRPr="00567860">
        <w:rPr>
          <w:rFonts w:ascii="Arial" w:hAnsi="Arial"/>
          <w:i/>
          <w:color w:val="auto"/>
        </w:rPr>
        <w:t>Architectural Conspicuous Consumption and Economic Change in the Andes</w:t>
      </w:r>
      <w:r w:rsidRPr="00567860">
        <w:rPr>
          <w:rFonts w:ascii="Arial" w:hAnsi="Arial"/>
          <w:color w:val="auto"/>
        </w:rPr>
        <w:t>, Rudolf Colloredo-</w:t>
      </w:r>
      <w:proofErr w:type="spellStart"/>
      <w:r w:rsidRPr="00567860">
        <w:rPr>
          <w:rFonts w:ascii="Arial" w:hAnsi="Arial"/>
          <w:color w:val="auto"/>
        </w:rPr>
        <w:t>Mansfeld</w:t>
      </w:r>
      <w:proofErr w:type="spellEnd"/>
      <w:r w:rsidR="001D3E52" w:rsidRPr="00567860">
        <w:rPr>
          <w:rFonts w:ascii="Arial" w:hAnsi="Arial"/>
          <w:color w:val="auto"/>
        </w:rPr>
        <w:t xml:space="preserve"> writes on </w:t>
      </w:r>
      <w:r w:rsidR="00EC48BA" w:rsidRPr="00567860">
        <w:rPr>
          <w:rFonts w:ascii="Arial" w:hAnsi="Arial"/>
          <w:color w:val="auto"/>
        </w:rPr>
        <w:t>Ecuadorian</w:t>
      </w:r>
      <w:r w:rsidR="001D3E52" w:rsidRPr="00567860">
        <w:rPr>
          <w:rFonts w:ascii="Arial" w:hAnsi="Arial"/>
          <w:color w:val="auto"/>
        </w:rPr>
        <w:t xml:space="preserve"> ethnic group known as the </w:t>
      </w:r>
      <w:proofErr w:type="spellStart"/>
      <w:r w:rsidR="001D3E52" w:rsidRPr="00567860">
        <w:rPr>
          <w:rFonts w:ascii="Arial" w:hAnsi="Arial"/>
          <w:color w:val="auto"/>
        </w:rPr>
        <w:t>Otavalenos</w:t>
      </w:r>
      <w:proofErr w:type="spellEnd"/>
      <w:r w:rsidR="001D3E52" w:rsidRPr="00567860">
        <w:rPr>
          <w:rFonts w:ascii="Arial" w:hAnsi="Arial"/>
          <w:color w:val="auto"/>
        </w:rPr>
        <w:t xml:space="preserve"> and the patterns of conspicuous consumption that have emerged with changing social dynamics within the community of </w:t>
      </w:r>
      <w:proofErr w:type="spellStart"/>
      <w:r w:rsidR="001D3E52" w:rsidRPr="00567860">
        <w:rPr>
          <w:rFonts w:ascii="Arial" w:hAnsi="Arial"/>
          <w:color w:val="auto"/>
        </w:rPr>
        <w:t>Ariasucu</w:t>
      </w:r>
      <w:proofErr w:type="spellEnd"/>
      <w:r w:rsidR="001D3E52" w:rsidRPr="00567860">
        <w:rPr>
          <w:rFonts w:ascii="Arial" w:hAnsi="Arial"/>
          <w:color w:val="auto"/>
        </w:rPr>
        <w:t>.</w:t>
      </w:r>
      <w:r w:rsidR="00EC48BA" w:rsidRPr="00567860">
        <w:rPr>
          <w:rFonts w:ascii="Arial" w:hAnsi="Arial"/>
          <w:color w:val="auto"/>
        </w:rPr>
        <w:t xml:space="preserve"> </w:t>
      </w:r>
    </w:p>
    <w:p w:rsidR="00EC48BA" w:rsidRPr="00567860" w:rsidRDefault="00EC48BA" w:rsidP="007F4ABC">
      <w:pPr>
        <w:ind w:firstLine="720"/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</w:rPr>
        <w:t>‘</w:t>
      </w:r>
      <w:proofErr w:type="gramStart"/>
      <w:r w:rsidRPr="00567860">
        <w:rPr>
          <w:rFonts w:ascii="Arial" w:hAnsi="Arial"/>
          <w:color w:val="auto"/>
        </w:rPr>
        <w:t>residents</w:t>
      </w:r>
      <w:proofErr w:type="gramEnd"/>
      <w:r w:rsidRPr="00567860">
        <w:rPr>
          <w:rFonts w:ascii="Arial" w:hAnsi="Arial"/>
          <w:color w:val="auto"/>
        </w:rPr>
        <w:t xml:space="preserve"> use their homes as </w:t>
      </w:r>
      <w:r w:rsidR="006B38F4" w:rsidRPr="00567860">
        <w:rPr>
          <w:rFonts w:ascii="Arial" w:hAnsi="Arial"/>
          <w:color w:val="auto"/>
        </w:rPr>
        <w:t>“a public medium through which individuals broadcast claims about themselves [comment] about the presentation of others” (Holston 1991 in Colloredo-</w:t>
      </w:r>
      <w:proofErr w:type="spellStart"/>
      <w:r w:rsidR="006B38F4" w:rsidRPr="00567860">
        <w:rPr>
          <w:rFonts w:ascii="Arial" w:hAnsi="Arial"/>
          <w:color w:val="auto"/>
        </w:rPr>
        <w:t>Mansfeld</w:t>
      </w:r>
      <w:proofErr w:type="spellEnd"/>
      <w:r w:rsidR="006B38F4" w:rsidRPr="00567860">
        <w:rPr>
          <w:rFonts w:ascii="Arial" w:hAnsi="Arial"/>
          <w:color w:val="auto"/>
        </w:rPr>
        <w:t xml:space="preserve"> 1994 pp.849)</w:t>
      </w:r>
    </w:p>
    <w:p w:rsidR="00E87C85" w:rsidRPr="00567860" w:rsidRDefault="00C04AE7" w:rsidP="00E87C85">
      <w:pPr>
        <w:pStyle w:val="ListParagraph"/>
        <w:numPr>
          <w:ilvl w:val="0"/>
          <w:numId w:val="1"/>
        </w:numPr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</w:rPr>
        <w:t>E-</w:t>
      </w:r>
      <w:r w:rsidR="00E87C85" w:rsidRPr="00567860">
        <w:rPr>
          <w:rFonts w:ascii="Arial" w:hAnsi="Arial"/>
          <w:color w:val="auto"/>
        </w:rPr>
        <w:t>J. Abbots investment in the family – links to biographical objects and social hierarchy</w:t>
      </w:r>
      <w:r w:rsidR="004C3BDC" w:rsidRPr="00567860">
        <w:rPr>
          <w:rFonts w:ascii="Arial" w:hAnsi="Arial"/>
          <w:color w:val="auto"/>
        </w:rPr>
        <w:t xml:space="preserve"> – home as evidence of good husband/sons</w:t>
      </w:r>
    </w:p>
    <w:p w:rsidR="00E87C85" w:rsidRPr="00567860" w:rsidRDefault="00E87C85" w:rsidP="00E87C85">
      <w:pPr>
        <w:pStyle w:val="ListParagraph"/>
        <w:numPr>
          <w:ilvl w:val="0"/>
          <w:numId w:val="1"/>
        </w:numPr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</w:rPr>
        <w:t>UK tenants</w:t>
      </w:r>
      <w:r w:rsidR="004C3BDC" w:rsidRPr="00567860">
        <w:rPr>
          <w:rFonts w:ascii="Arial" w:hAnsi="Arial"/>
          <w:color w:val="auto"/>
        </w:rPr>
        <w:t xml:space="preserve"> vs landlords, political leanings + </w:t>
      </w:r>
    </w:p>
    <w:p w:rsidR="004C3BDC" w:rsidRDefault="004C3BDC" w:rsidP="00E87C85">
      <w:pPr>
        <w:pStyle w:val="ListParagraph"/>
        <w:numPr>
          <w:ilvl w:val="0"/>
          <w:numId w:val="1"/>
        </w:numPr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</w:rPr>
        <w:t>UK home owning and class</w:t>
      </w:r>
    </w:p>
    <w:p w:rsidR="00567860" w:rsidRPr="00567860" w:rsidRDefault="00567860" w:rsidP="00E87C85">
      <w:pPr>
        <w:pStyle w:val="ListParagraph"/>
        <w:numPr>
          <w:ilvl w:val="0"/>
          <w:numId w:val="1"/>
        </w:numPr>
        <w:rPr>
          <w:rFonts w:ascii="Arial" w:hAnsi="Arial"/>
          <w:color w:val="auto"/>
        </w:rPr>
      </w:pPr>
      <w:r>
        <w:rPr>
          <w:rFonts w:ascii="Arial" w:hAnsi="Arial"/>
          <w:color w:val="auto"/>
        </w:rPr>
        <w:t>Eco Homes + Conspicuous consumption</w:t>
      </w:r>
      <w:bookmarkStart w:id="0" w:name="_GoBack"/>
      <w:bookmarkEnd w:id="0"/>
    </w:p>
    <w:p w:rsidR="00150187" w:rsidRPr="00567860" w:rsidRDefault="00150187" w:rsidP="00E87C85">
      <w:pPr>
        <w:pStyle w:val="ListParagraph"/>
        <w:numPr>
          <w:ilvl w:val="0"/>
          <w:numId w:val="1"/>
        </w:numPr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</w:rPr>
        <w:t>Hoarding</w:t>
      </w:r>
    </w:p>
    <w:p w:rsidR="00150187" w:rsidRPr="00567860" w:rsidRDefault="00C04AE7" w:rsidP="00E87C85">
      <w:pPr>
        <w:pStyle w:val="ListParagraph"/>
        <w:numPr>
          <w:ilvl w:val="0"/>
          <w:numId w:val="1"/>
        </w:numPr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</w:rPr>
        <w:t>Built forms – traditional/conventional – size and shape - message</w:t>
      </w:r>
    </w:p>
    <w:p w:rsidR="00C04AE7" w:rsidRPr="00567860" w:rsidRDefault="00C04AE7" w:rsidP="00E87C85">
      <w:pPr>
        <w:pStyle w:val="ListParagraph"/>
        <w:numPr>
          <w:ilvl w:val="0"/>
          <w:numId w:val="1"/>
        </w:numPr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</w:rPr>
        <w:t>Lectures, E-J Abbots – Houses too big to live in, many rooms unused</w:t>
      </w:r>
    </w:p>
    <w:p w:rsidR="00C04AE7" w:rsidRPr="00567860" w:rsidRDefault="00C04AE7" w:rsidP="00E87C85">
      <w:pPr>
        <w:pStyle w:val="ListParagraph"/>
        <w:numPr>
          <w:ilvl w:val="0"/>
          <w:numId w:val="1"/>
        </w:numPr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</w:rPr>
        <w:t xml:space="preserve">Benefits of using a biographical + hierarchies approach </w:t>
      </w:r>
    </w:p>
    <w:p w:rsidR="00C04AE7" w:rsidRPr="00567860" w:rsidRDefault="00C04AE7" w:rsidP="00E87C85">
      <w:pPr>
        <w:pStyle w:val="ListParagraph"/>
        <w:numPr>
          <w:ilvl w:val="0"/>
          <w:numId w:val="1"/>
        </w:numPr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</w:rPr>
        <w:t>Drawbacks</w:t>
      </w:r>
    </w:p>
    <w:p w:rsidR="00C04AE7" w:rsidRPr="00567860" w:rsidRDefault="00C04AE7" w:rsidP="00E87C85">
      <w:pPr>
        <w:pStyle w:val="ListParagraph"/>
        <w:numPr>
          <w:ilvl w:val="0"/>
          <w:numId w:val="1"/>
        </w:numPr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</w:rPr>
        <w:t xml:space="preserve">Reasons I chose these theories as opposed to: </w:t>
      </w:r>
    </w:p>
    <w:p w:rsidR="00C04AE7" w:rsidRPr="00567860" w:rsidRDefault="00C04AE7" w:rsidP="00E87C85">
      <w:pPr>
        <w:pStyle w:val="ListParagraph"/>
        <w:numPr>
          <w:ilvl w:val="0"/>
          <w:numId w:val="1"/>
        </w:numPr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</w:rPr>
        <w:t xml:space="preserve">Conclusion </w:t>
      </w:r>
    </w:p>
    <w:p w:rsidR="00C04AE7" w:rsidRPr="00567860" w:rsidRDefault="00C04AE7" w:rsidP="00C04AE7">
      <w:pPr>
        <w:pStyle w:val="ListParagraph"/>
        <w:numPr>
          <w:ilvl w:val="0"/>
          <w:numId w:val="2"/>
        </w:numPr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</w:rPr>
        <w:t>People’</w:t>
      </w:r>
      <w:r w:rsidR="00AF0A57" w:rsidRPr="00567860">
        <w:rPr>
          <w:rFonts w:ascii="Arial" w:hAnsi="Arial"/>
          <w:color w:val="auto"/>
        </w:rPr>
        <w:t>s homes</w:t>
      </w:r>
      <w:r w:rsidRPr="00567860">
        <w:rPr>
          <w:rFonts w:ascii="Arial" w:hAnsi="Arial"/>
          <w:color w:val="auto"/>
        </w:rPr>
        <w:t xml:space="preserve"> are innately biographical and laden with personal meaning and memories. Think a house vs a home. House is a building. Home is a ‘people place’. House also intrinsically economical (property = </w:t>
      </w:r>
      <w:r w:rsidRPr="00567860">
        <w:rPr>
          <w:rFonts w:ascii="Arial" w:hAnsi="Arial"/>
          <w:color w:val="auto"/>
          <w:u w:val="single"/>
        </w:rPr>
        <w:t>property</w:t>
      </w:r>
      <w:r w:rsidRPr="00567860">
        <w:rPr>
          <w:rFonts w:ascii="Arial" w:hAnsi="Arial"/>
          <w:color w:val="auto"/>
        </w:rPr>
        <w:t>!)</w:t>
      </w:r>
      <w:r w:rsidR="00D24AD4" w:rsidRPr="00567860">
        <w:rPr>
          <w:rFonts w:ascii="Arial" w:hAnsi="Arial"/>
          <w:color w:val="auto"/>
        </w:rPr>
        <w:t xml:space="preserve"> and largest </w:t>
      </w:r>
      <w:r w:rsidR="00AF0A57" w:rsidRPr="00567860">
        <w:rPr>
          <w:rFonts w:ascii="Arial" w:hAnsi="Arial"/>
          <w:color w:val="auto"/>
        </w:rPr>
        <w:t xml:space="preserve">normal </w:t>
      </w:r>
      <w:r w:rsidR="00D24AD4" w:rsidRPr="00567860">
        <w:rPr>
          <w:rFonts w:ascii="Arial" w:hAnsi="Arial"/>
          <w:color w:val="auto"/>
        </w:rPr>
        <w:t>display of wealth for most people (physical size</w:t>
      </w:r>
      <w:r w:rsidR="00AF0A57" w:rsidRPr="00567860">
        <w:rPr>
          <w:rFonts w:ascii="Arial" w:hAnsi="Arial"/>
          <w:color w:val="auto"/>
        </w:rPr>
        <w:t xml:space="preserve"> and also size of investment)</w:t>
      </w:r>
    </w:p>
    <w:p w:rsidR="00567860" w:rsidRDefault="00567860" w:rsidP="00567860">
      <w:pPr>
        <w:rPr>
          <w:rFonts w:ascii="Arial" w:hAnsi="Arial"/>
          <w:color w:val="auto"/>
        </w:rPr>
      </w:pPr>
    </w:p>
    <w:p w:rsidR="00567860" w:rsidRDefault="00567860" w:rsidP="00567860">
      <w:pPr>
        <w:rPr>
          <w:rFonts w:ascii="Arial" w:hAnsi="Arial"/>
          <w:color w:val="auto"/>
        </w:rPr>
      </w:pPr>
    </w:p>
    <w:p w:rsidR="00567860" w:rsidRPr="00567860" w:rsidRDefault="00567860" w:rsidP="00567860">
      <w:pPr>
        <w:rPr>
          <w:rFonts w:ascii="Arial" w:hAnsi="Arial"/>
          <w:color w:val="auto"/>
          <w:shd w:val="clear" w:color="auto" w:fill="FFFFFF"/>
        </w:rPr>
      </w:pPr>
      <w:r w:rsidRPr="00567860">
        <w:rPr>
          <w:rFonts w:ascii="Arial" w:hAnsi="Arial"/>
          <w:color w:val="auto"/>
          <w:shd w:val="clear" w:color="auto" w:fill="FFFFFF"/>
        </w:rPr>
        <w:t>Abbots, E. (2014). Investing in the family's future: labour, gender and consumption in Highland Ecuador. </w:t>
      </w:r>
      <w:r w:rsidRPr="00567860">
        <w:rPr>
          <w:rFonts w:ascii="Arial" w:hAnsi="Arial"/>
          <w:i/>
          <w:iCs/>
          <w:color w:val="auto"/>
          <w:shd w:val="clear" w:color="auto" w:fill="FFFFFF"/>
        </w:rPr>
        <w:t>Families, Relationships and Societies</w:t>
      </w:r>
      <w:r w:rsidRPr="00567860">
        <w:rPr>
          <w:rFonts w:ascii="Arial" w:hAnsi="Arial"/>
          <w:color w:val="auto"/>
          <w:shd w:val="clear" w:color="auto" w:fill="FFFFFF"/>
        </w:rPr>
        <w:t>, 3(1), pp.143-147.</w:t>
      </w:r>
    </w:p>
    <w:p w:rsidR="00567860" w:rsidRPr="00567860" w:rsidRDefault="00567860" w:rsidP="00567860">
      <w:pPr>
        <w:rPr>
          <w:rFonts w:ascii="Arial" w:hAnsi="Arial"/>
          <w:color w:val="auto"/>
          <w:shd w:val="clear" w:color="auto" w:fill="FFFFFF"/>
        </w:rPr>
      </w:pPr>
      <w:r w:rsidRPr="00567860">
        <w:rPr>
          <w:rFonts w:ascii="Arial" w:hAnsi="Arial"/>
          <w:color w:val="auto"/>
          <w:shd w:val="clear" w:color="auto" w:fill="FFFFFF"/>
        </w:rPr>
        <w:lastRenderedPageBreak/>
        <w:t>Bourdieu, P., Nice, R. and Bennett, T. (1979). </w:t>
      </w:r>
      <w:r w:rsidRPr="00567860">
        <w:rPr>
          <w:rFonts w:ascii="Arial" w:hAnsi="Arial"/>
          <w:i/>
          <w:iCs/>
          <w:color w:val="auto"/>
          <w:shd w:val="clear" w:color="auto" w:fill="FFFFFF"/>
        </w:rPr>
        <w:t>Distinction</w:t>
      </w:r>
      <w:r w:rsidRPr="00567860">
        <w:rPr>
          <w:rFonts w:ascii="Arial" w:hAnsi="Arial"/>
          <w:color w:val="auto"/>
          <w:shd w:val="clear" w:color="auto" w:fill="FFFFFF"/>
        </w:rPr>
        <w:t>.</w:t>
      </w:r>
    </w:p>
    <w:p w:rsidR="00567860" w:rsidRPr="00567860" w:rsidRDefault="00567860" w:rsidP="00567860">
      <w:pPr>
        <w:rPr>
          <w:rFonts w:ascii="Arial" w:hAnsi="Arial"/>
          <w:color w:val="auto"/>
          <w:shd w:val="clear" w:color="auto" w:fill="FFFFFF"/>
        </w:rPr>
      </w:pPr>
      <w:r w:rsidRPr="00567860">
        <w:rPr>
          <w:rFonts w:ascii="Arial" w:hAnsi="Arial"/>
          <w:color w:val="auto"/>
          <w:shd w:val="clear" w:color="auto" w:fill="FFFFFF"/>
        </w:rPr>
        <w:t>Colloredo-</w:t>
      </w:r>
      <w:proofErr w:type="spellStart"/>
      <w:r w:rsidRPr="00567860">
        <w:rPr>
          <w:rFonts w:ascii="Arial" w:hAnsi="Arial"/>
          <w:color w:val="auto"/>
          <w:shd w:val="clear" w:color="auto" w:fill="FFFFFF"/>
        </w:rPr>
        <w:t>Mansfeld</w:t>
      </w:r>
      <w:proofErr w:type="spellEnd"/>
      <w:r w:rsidRPr="00567860">
        <w:rPr>
          <w:rFonts w:ascii="Arial" w:hAnsi="Arial"/>
          <w:color w:val="auto"/>
          <w:shd w:val="clear" w:color="auto" w:fill="FFFFFF"/>
        </w:rPr>
        <w:t>, R. (1994). Architectural Conspicuous Consumption and Economic Change in the Andes. </w:t>
      </w:r>
      <w:r w:rsidRPr="00567860">
        <w:rPr>
          <w:rFonts w:ascii="Arial" w:hAnsi="Arial"/>
          <w:i/>
          <w:iCs/>
          <w:color w:val="auto"/>
          <w:shd w:val="clear" w:color="auto" w:fill="FFFFFF"/>
        </w:rPr>
        <w:t>American Anthropologist</w:t>
      </w:r>
      <w:r w:rsidRPr="00567860">
        <w:rPr>
          <w:rFonts w:ascii="Arial" w:hAnsi="Arial"/>
          <w:color w:val="auto"/>
          <w:shd w:val="clear" w:color="auto" w:fill="FFFFFF"/>
        </w:rPr>
        <w:t>, 96(4), pp.845-865.</w:t>
      </w:r>
    </w:p>
    <w:p w:rsidR="00567860" w:rsidRPr="00567860" w:rsidRDefault="00567860" w:rsidP="00567860">
      <w:pPr>
        <w:rPr>
          <w:rFonts w:ascii="Arial" w:hAnsi="Arial"/>
          <w:color w:val="auto"/>
          <w:shd w:val="clear" w:color="auto" w:fill="FFFFFF"/>
        </w:rPr>
      </w:pPr>
      <w:r w:rsidRPr="00567860">
        <w:rPr>
          <w:rFonts w:ascii="Arial" w:hAnsi="Arial"/>
          <w:color w:val="auto"/>
          <w:shd w:val="clear" w:color="auto" w:fill="FFFFFF"/>
        </w:rPr>
        <w:t xml:space="preserve">Haynes, N. and </w:t>
      </w:r>
      <w:proofErr w:type="spellStart"/>
      <w:r w:rsidRPr="00567860">
        <w:rPr>
          <w:rFonts w:ascii="Arial" w:hAnsi="Arial"/>
          <w:color w:val="auto"/>
          <w:shd w:val="clear" w:color="auto" w:fill="FFFFFF"/>
        </w:rPr>
        <w:t>Hickel</w:t>
      </w:r>
      <w:proofErr w:type="spellEnd"/>
      <w:r w:rsidRPr="00567860">
        <w:rPr>
          <w:rFonts w:ascii="Arial" w:hAnsi="Arial"/>
          <w:color w:val="auto"/>
          <w:shd w:val="clear" w:color="auto" w:fill="FFFFFF"/>
        </w:rPr>
        <w:t>, J. (2016). Hierarchy, Value, and the Value of Hierarchy. </w:t>
      </w:r>
      <w:r w:rsidRPr="00567860">
        <w:rPr>
          <w:rFonts w:ascii="Arial" w:hAnsi="Arial"/>
          <w:i/>
          <w:iCs/>
          <w:color w:val="auto"/>
          <w:shd w:val="clear" w:color="auto" w:fill="FFFFFF"/>
        </w:rPr>
        <w:t>Social Analysis</w:t>
      </w:r>
      <w:r w:rsidRPr="00567860">
        <w:rPr>
          <w:rFonts w:ascii="Arial" w:hAnsi="Arial"/>
          <w:color w:val="auto"/>
          <w:shd w:val="clear" w:color="auto" w:fill="FFFFFF"/>
        </w:rPr>
        <w:t>, 60(4), pp.1-20.</w:t>
      </w:r>
    </w:p>
    <w:p w:rsidR="00567860" w:rsidRPr="00567860" w:rsidRDefault="00567860" w:rsidP="00567860">
      <w:pPr>
        <w:rPr>
          <w:rFonts w:ascii="Arial" w:hAnsi="Arial"/>
          <w:color w:val="auto"/>
          <w:shd w:val="clear" w:color="auto" w:fill="FFFFFF"/>
        </w:rPr>
      </w:pPr>
      <w:proofErr w:type="spellStart"/>
      <w:r w:rsidRPr="00567860">
        <w:rPr>
          <w:rFonts w:ascii="Arial" w:hAnsi="Arial"/>
          <w:color w:val="auto"/>
          <w:shd w:val="clear" w:color="auto" w:fill="FFFFFF"/>
        </w:rPr>
        <w:t>Román</w:t>
      </w:r>
      <w:proofErr w:type="spellEnd"/>
      <w:r w:rsidRPr="00567860">
        <w:rPr>
          <w:rFonts w:ascii="Arial" w:hAnsi="Arial"/>
          <w:color w:val="auto"/>
          <w:shd w:val="clear" w:color="auto" w:fill="FFFFFF"/>
        </w:rPr>
        <w:t>, E. (2014). Mortgaged Status: Literary Representations of Black Home Ownership and Social Mobility. </w:t>
      </w:r>
      <w:r w:rsidRPr="00567860">
        <w:rPr>
          <w:rFonts w:ascii="Arial" w:hAnsi="Arial"/>
          <w:i/>
          <w:iCs/>
          <w:color w:val="auto"/>
          <w:shd w:val="clear" w:color="auto" w:fill="FFFFFF"/>
        </w:rPr>
        <w:t>Contemporary Literature</w:t>
      </w:r>
      <w:r w:rsidRPr="00567860">
        <w:rPr>
          <w:rFonts w:ascii="Arial" w:hAnsi="Arial"/>
          <w:color w:val="auto"/>
          <w:shd w:val="clear" w:color="auto" w:fill="FFFFFF"/>
        </w:rPr>
        <w:t>, 55(4), pp.726-759.</w:t>
      </w:r>
    </w:p>
    <w:p w:rsidR="00567860" w:rsidRPr="00567860" w:rsidRDefault="00567860" w:rsidP="00567860">
      <w:pPr>
        <w:rPr>
          <w:rFonts w:ascii="Arial" w:hAnsi="Arial"/>
          <w:color w:val="auto"/>
        </w:rPr>
      </w:pPr>
      <w:r w:rsidRPr="00567860">
        <w:rPr>
          <w:rFonts w:ascii="Arial" w:hAnsi="Arial"/>
          <w:color w:val="auto"/>
          <w:shd w:val="clear" w:color="auto" w:fill="FFFFFF"/>
        </w:rPr>
        <w:t>Williams, J. (2014). Economic Security and Home Ownership. </w:t>
      </w:r>
      <w:r w:rsidRPr="00567860">
        <w:rPr>
          <w:rFonts w:ascii="Arial" w:hAnsi="Arial"/>
          <w:i/>
          <w:iCs/>
          <w:color w:val="auto"/>
          <w:shd w:val="clear" w:color="auto" w:fill="FFFFFF"/>
        </w:rPr>
        <w:t>Social Work Research</w:t>
      </w:r>
      <w:r w:rsidRPr="00567860">
        <w:rPr>
          <w:rFonts w:ascii="Arial" w:hAnsi="Arial"/>
          <w:color w:val="auto"/>
          <w:shd w:val="clear" w:color="auto" w:fill="FFFFFF"/>
        </w:rPr>
        <w:t>, 38(1), pp.3-4.</w:t>
      </w:r>
    </w:p>
    <w:sectPr w:rsidR="00567860" w:rsidRPr="005678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413176"/>
    <w:multiLevelType w:val="hybridMultilevel"/>
    <w:tmpl w:val="0EBA6A30"/>
    <w:lvl w:ilvl="0" w:tplc="66D0C7FE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44B478E5"/>
    <w:multiLevelType w:val="hybridMultilevel"/>
    <w:tmpl w:val="6DE44D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DCE"/>
    <w:rsid w:val="00093F6F"/>
    <w:rsid w:val="00150187"/>
    <w:rsid w:val="001D3E52"/>
    <w:rsid w:val="001F2988"/>
    <w:rsid w:val="004250D0"/>
    <w:rsid w:val="00451DCE"/>
    <w:rsid w:val="004C3BDC"/>
    <w:rsid w:val="00567794"/>
    <w:rsid w:val="0056785F"/>
    <w:rsid w:val="00567860"/>
    <w:rsid w:val="006B38F4"/>
    <w:rsid w:val="006D5A9E"/>
    <w:rsid w:val="007F4ABC"/>
    <w:rsid w:val="008E5BDC"/>
    <w:rsid w:val="00985EF2"/>
    <w:rsid w:val="00A878FB"/>
    <w:rsid w:val="00AF0A57"/>
    <w:rsid w:val="00B46509"/>
    <w:rsid w:val="00C04AE7"/>
    <w:rsid w:val="00C72332"/>
    <w:rsid w:val="00D24AD4"/>
    <w:rsid w:val="00E87C85"/>
    <w:rsid w:val="00EC48BA"/>
    <w:rsid w:val="00EE1E32"/>
    <w:rsid w:val="00F32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9D0B50-3084-431A-971C-AEBD0988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mic Sans MS" w:eastAsiaTheme="minorHAnsi" w:hAnsi="Comic Sans MS" w:cs="Arial"/>
        <w:color w:val="666666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C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2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Allen (1503827)</dc:creator>
  <cp:keywords/>
  <dc:description/>
  <cp:lastModifiedBy>Grace Allen (1503827)</cp:lastModifiedBy>
  <cp:revision>2</cp:revision>
  <dcterms:created xsi:type="dcterms:W3CDTF">2018-01-26T21:23:00Z</dcterms:created>
  <dcterms:modified xsi:type="dcterms:W3CDTF">2018-01-26T21:23:00Z</dcterms:modified>
</cp:coreProperties>
</file>