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77F26" w14:textId="77777777" w:rsidR="00D438AE" w:rsidRDefault="00D438AE" w:rsidP="006155D6"/>
    <w:p w14:paraId="565E9926" w14:textId="77777777" w:rsidR="00D438AE" w:rsidRDefault="00D438AE" w:rsidP="006155D6"/>
    <w:p w14:paraId="70B23EC9" w14:textId="2E1B99A9" w:rsidR="00D438AE" w:rsidRPr="002F0845" w:rsidRDefault="002F0845" w:rsidP="002F0845">
      <w:pPr>
        <w:jc w:val="center"/>
        <w:rPr>
          <w:b/>
          <w:bCs/>
          <w:sz w:val="36"/>
          <w:szCs w:val="32"/>
        </w:rPr>
      </w:pPr>
      <w:r w:rsidRPr="002F0845">
        <w:rPr>
          <w:b/>
          <w:bCs/>
          <w:sz w:val="36"/>
          <w:szCs w:val="32"/>
        </w:rPr>
        <w:t>Self-Reflection</w:t>
      </w:r>
    </w:p>
    <w:p w14:paraId="3579F462" w14:textId="77777777" w:rsidR="00D438AE" w:rsidRDefault="00D438AE" w:rsidP="006155D6"/>
    <w:p w14:paraId="1C9B4237" w14:textId="77777777" w:rsidR="00D438AE" w:rsidRDefault="00D438AE" w:rsidP="00973F86">
      <w:pPr>
        <w:jc w:val="center"/>
      </w:pPr>
    </w:p>
    <w:p w14:paraId="36906725" w14:textId="2B866369" w:rsidR="00D438AE" w:rsidRPr="00C62504" w:rsidRDefault="00D438AE" w:rsidP="00973F86">
      <w:pPr>
        <w:spacing w:line="259" w:lineRule="auto"/>
        <w:jc w:val="center"/>
        <w:rPr>
          <w:rFonts w:eastAsia="Calibri" w:cs="Times New Roman"/>
        </w:rPr>
      </w:pPr>
      <w:r w:rsidRPr="00C62504">
        <w:rPr>
          <w:rFonts w:eastAsia="Calibri" w:cs="Times New Roman"/>
          <w:b/>
          <w:bCs/>
        </w:rPr>
        <w:t>Module:</w:t>
      </w:r>
      <w:r w:rsidRPr="00C62504">
        <w:rPr>
          <w:rFonts w:eastAsia="Calibri" w:cs="Times New Roman"/>
        </w:rPr>
        <w:t xml:space="preserve"> </w:t>
      </w:r>
      <w:r>
        <w:rPr>
          <w:rFonts w:eastAsia="Calibri" w:cs="Times New Roman"/>
        </w:rPr>
        <w:t xml:space="preserve">Foreign </w:t>
      </w:r>
      <w:r w:rsidR="005450CC">
        <w:rPr>
          <w:rFonts w:eastAsia="Calibri" w:cs="Times New Roman"/>
        </w:rPr>
        <w:t>Languages and cultural awareness</w:t>
      </w:r>
    </w:p>
    <w:p w14:paraId="5CD1C2DE" w14:textId="2316E527" w:rsidR="00D438AE" w:rsidRPr="00C62504" w:rsidRDefault="00D438AE" w:rsidP="00973F86">
      <w:pPr>
        <w:spacing w:line="259" w:lineRule="auto"/>
        <w:jc w:val="center"/>
        <w:rPr>
          <w:rFonts w:eastAsia="Calibri" w:cs="Times New Roman"/>
        </w:rPr>
      </w:pPr>
      <w:r w:rsidRPr="00C62504">
        <w:rPr>
          <w:rFonts w:eastAsia="Calibri" w:cs="Times New Roman"/>
          <w:b/>
          <w:bCs/>
        </w:rPr>
        <w:t xml:space="preserve">Module </w:t>
      </w:r>
      <w:r>
        <w:rPr>
          <w:rFonts w:eastAsia="Calibri" w:cs="Times New Roman"/>
          <w:b/>
          <w:bCs/>
        </w:rPr>
        <w:t>C</w:t>
      </w:r>
      <w:r w:rsidRPr="00C62504">
        <w:rPr>
          <w:rFonts w:eastAsia="Calibri" w:cs="Times New Roman"/>
          <w:b/>
          <w:bCs/>
        </w:rPr>
        <w:t>ode:</w:t>
      </w:r>
      <w:r w:rsidRPr="00C62504">
        <w:rPr>
          <w:rFonts w:eastAsia="Calibri" w:cs="Times New Roman"/>
        </w:rPr>
        <w:t xml:space="preserve"> BMIH500</w:t>
      </w:r>
      <w:r>
        <w:rPr>
          <w:rFonts w:eastAsia="Calibri" w:cs="Times New Roman"/>
        </w:rPr>
        <w:t>3</w:t>
      </w:r>
    </w:p>
    <w:p w14:paraId="762DA2F9" w14:textId="77777777" w:rsidR="00D438AE" w:rsidRPr="00C62504" w:rsidRDefault="00D438AE" w:rsidP="00973F86">
      <w:pPr>
        <w:spacing w:line="259" w:lineRule="auto"/>
        <w:jc w:val="center"/>
        <w:rPr>
          <w:rFonts w:eastAsia="Calibri" w:cs="Times New Roman"/>
        </w:rPr>
      </w:pPr>
    </w:p>
    <w:p w14:paraId="4FD232FA" w14:textId="77777777" w:rsidR="00D438AE" w:rsidRPr="00C62504" w:rsidRDefault="00D438AE" w:rsidP="00973F86">
      <w:pPr>
        <w:spacing w:line="259" w:lineRule="auto"/>
        <w:jc w:val="center"/>
        <w:rPr>
          <w:rFonts w:eastAsia="Calibri" w:cs="Times New Roman"/>
        </w:rPr>
      </w:pPr>
    </w:p>
    <w:p w14:paraId="4DFA78DC" w14:textId="4061DE10" w:rsidR="00D438AE" w:rsidRPr="00C62504" w:rsidRDefault="00D438AE" w:rsidP="00973F86">
      <w:pPr>
        <w:tabs>
          <w:tab w:val="center" w:pos="4680"/>
          <w:tab w:val="left" w:pos="6030"/>
        </w:tabs>
        <w:spacing w:line="259" w:lineRule="auto"/>
        <w:jc w:val="center"/>
        <w:rPr>
          <w:rFonts w:eastAsia="Calibri" w:cs="Times New Roman"/>
          <w:b/>
          <w:bCs/>
        </w:rPr>
      </w:pPr>
      <w:r w:rsidRPr="00C62504">
        <w:rPr>
          <w:rFonts w:eastAsia="Calibri" w:cs="Times New Roman"/>
          <w:b/>
          <w:bCs/>
        </w:rPr>
        <w:t>Student Name:</w:t>
      </w:r>
      <w:r w:rsidR="005450CC">
        <w:rPr>
          <w:rFonts w:eastAsia="Calibri" w:cs="Times New Roman"/>
          <w:b/>
          <w:bCs/>
        </w:rPr>
        <w:t xml:space="preserve"> A K M Amdadul Hoque</w:t>
      </w:r>
    </w:p>
    <w:p w14:paraId="1CFB7A2C" w14:textId="0590DDF0" w:rsidR="00D438AE" w:rsidRDefault="00D438AE" w:rsidP="00973F86">
      <w:pPr>
        <w:spacing w:line="259" w:lineRule="auto"/>
        <w:jc w:val="center"/>
        <w:rPr>
          <w:rFonts w:eastAsia="Calibri" w:cs="Times New Roman"/>
          <w:b/>
          <w:bCs/>
        </w:rPr>
      </w:pPr>
      <w:r w:rsidRPr="00C62504">
        <w:rPr>
          <w:rFonts w:eastAsia="Calibri" w:cs="Times New Roman"/>
          <w:b/>
          <w:bCs/>
        </w:rPr>
        <w:t>Student ID:</w:t>
      </w:r>
      <w:r w:rsidR="005450CC">
        <w:rPr>
          <w:rFonts w:eastAsia="Calibri" w:cs="Times New Roman"/>
          <w:b/>
          <w:bCs/>
        </w:rPr>
        <w:t>2107424</w:t>
      </w:r>
    </w:p>
    <w:p w14:paraId="7FDE96E6" w14:textId="219EF6AA" w:rsidR="00E92BC0" w:rsidRPr="00E92BC0" w:rsidRDefault="00E92BC0" w:rsidP="00973F86">
      <w:pPr>
        <w:spacing w:line="256" w:lineRule="auto"/>
        <w:ind w:left="360"/>
        <w:jc w:val="center"/>
        <w:rPr>
          <w:color w:val="A53010"/>
          <w:szCs w:val="24"/>
        </w:rPr>
      </w:pPr>
      <w:r w:rsidRPr="00E92BC0">
        <w:rPr>
          <w:rFonts w:eastAsia="Calibri" w:cs="Times New Roman"/>
          <w:b/>
          <w:bCs/>
        </w:rPr>
        <w:t>Lecturer Name:</w:t>
      </w:r>
      <w:r w:rsidRPr="00E92BC0">
        <w:rPr>
          <w:rFonts w:eastAsia="Calibri"/>
          <w:b/>
          <w:bCs/>
          <w:color w:val="404040"/>
          <w:sz w:val="56"/>
          <w:szCs w:val="56"/>
        </w:rPr>
        <w:t xml:space="preserve"> </w:t>
      </w:r>
      <w:r w:rsidRPr="00E92BC0">
        <w:rPr>
          <w:rFonts w:eastAsia="Calibri"/>
          <w:b/>
          <w:bCs/>
          <w:color w:val="404040"/>
          <w:szCs w:val="24"/>
        </w:rPr>
        <w:t xml:space="preserve">Giulia </w:t>
      </w:r>
      <w:proofErr w:type="spellStart"/>
      <w:r w:rsidRPr="00E92BC0">
        <w:rPr>
          <w:rFonts w:eastAsia="Calibri"/>
          <w:b/>
          <w:bCs/>
          <w:color w:val="404040"/>
          <w:szCs w:val="24"/>
        </w:rPr>
        <w:t>Chifari</w:t>
      </w:r>
      <w:proofErr w:type="spellEnd"/>
    </w:p>
    <w:p w14:paraId="5A59B764" w14:textId="194FFD07" w:rsidR="00E92BC0" w:rsidRPr="00E92BC0" w:rsidRDefault="00E92BC0" w:rsidP="00973F86">
      <w:pPr>
        <w:spacing w:line="259" w:lineRule="auto"/>
        <w:jc w:val="center"/>
        <w:rPr>
          <w:rFonts w:eastAsia="Calibri" w:cs="Times New Roman"/>
          <w:b/>
          <w:bCs/>
          <w:szCs w:val="24"/>
        </w:rPr>
      </w:pPr>
    </w:p>
    <w:p w14:paraId="73B840D0" w14:textId="6A698D41" w:rsidR="00D438AE" w:rsidRDefault="00D438AE" w:rsidP="00973F86">
      <w:pPr>
        <w:jc w:val="center"/>
      </w:pPr>
      <w:r w:rsidRPr="00C62504">
        <w:rPr>
          <w:rFonts w:eastAsia="Calibri" w:cs="Times New Roman"/>
          <w:b/>
          <w:bCs/>
        </w:rPr>
        <w:t>Word</w:t>
      </w:r>
      <w:r>
        <w:rPr>
          <w:rFonts w:eastAsia="Calibri" w:cs="Times New Roman"/>
          <w:b/>
          <w:bCs/>
        </w:rPr>
        <w:t>s count</w:t>
      </w:r>
      <w:r w:rsidRPr="00C62504">
        <w:rPr>
          <w:rFonts w:eastAsia="Calibri" w:cs="Times New Roman"/>
          <w:b/>
          <w:bCs/>
        </w:rPr>
        <w:t>:</w:t>
      </w:r>
      <w:r>
        <w:rPr>
          <w:rFonts w:eastAsia="Calibri" w:cs="Times New Roman"/>
          <w:b/>
          <w:bCs/>
        </w:rPr>
        <w:t xml:space="preserve"> </w:t>
      </w:r>
      <w:proofErr w:type="gramStart"/>
      <w:r>
        <w:rPr>
          <w:rFonts w:eastAsia="Calibri" w:cs="Times New Roman"/>
          <w:b/>
          <w:bCs/>
        </w:rPr>
        <w:t>52</w:t>
      </w:r>
      <w:r w:rsidR="00D05A2C">
        <w:rPr>
          <w:rFonts w:eastAsia="Calibri" w:cs="Times New Roman"/>
          <w:b/>
          <w:bCs/>
        </w:rPr>
        <w:t>1</w:t>
      </w:r>
      <w:proofErr w:type="gramEnd"/>
    </w:p>
    <w:p w14:paraId="62E6E4BE" w14:textId="77777777" w:rsidR="00D438AE" w:rsidRDefault="00D438AE" w:rsidP="006155D6"/>
    <w:p w14:paraId="5510BCEC" w14:textId="77777777" w:rsidR="00D438AE" w:rsidRDefault="00D438AE" w:rsidP="006155D6"/>
    <w:p w14:paraId="0D7E278B" w14:textId="77777777" w:rsidR="00D438AE" w:rsidRDefault="00D438AE" w:rsidP="006155D6"/>
    <w:p w14:paraId="43AC52DB" w14:textId="77777777" w:rsidR="00D438AE" w:rsidRDefault="00D438AE" w:rsidP="006155D6"/>
    <w:p w14:paraId="4878F7EB" w14:textId="77777777" w:rsidR="00D438AE" w:rsidRDefault="00D438AE" w:rsidP="006155D6"/>
    <w:p w14:paraId="1EBBEA64" w14:textId="77777777" w:rsidR="00D438AE" w:rsidRDefault="00D438AE" w:rsidP="006155D6"/>
    <w:p w14:paraId="073592D6" w14:textId="77777777" w:rsidR="00D438AE" w:rsidRDefault="00D438AE" w:rsidP="006155D6"/>
    <w:p w14:paraId="40CA0789" w14:textId="77777777" w:rsidR="00D438AE" w:rsidRDefault="00D438AE" w:rsidP="006155D6"/>
    <w:p w14:paraId="4A276EE2" w14:textId="77777777" w:rsidR="00D438AE" w:rsidRDefault="00D438AE" w:rsidP="006155D6"/>
    <w:p w14:paraId="2FFE5FD9" w14:textId="4CA33C7E" w:rsidR="00205F60" w:rsidRDefault="00205F60" w:rsidP="006155D6">
      <w:r>
        <w:lastRenderedPageBreak/>
        <w:t>Gibbs’ Reflective Cycle, developed by Graham Gibbs in 1988, is considered one of the most popular self-reflection models to evaluate one’s learning experience from a particular thing or event</w:t>
      </w:r>
      <w:r w:rsidR="00D438AE">
        <w:t xml:space="preserve"> (</w:t>
      </w:r>
      <w:r w:rsidR="00D438AE" w:rsidRPr="00D438AE">
        <w:t>Husebø</w:t>
      </w:r>
      <w:r w:rsidR="00D438AE">
        <w:t xml:space="preserve"> et. al., 2015)</w:t>
      </w:r>
      <w:r>
        <w:t xml:space="preserve">. </w:t>
      </w:r>
      <w:r w:rsidR="00E47FC1">
        <w:t xml:space="preserve">It is a model that provides a systematic framework for a learner to reflect his or her learning in </w:t>
      </w:r>
      <w:proofErr w:type="gramStart"/>
      <w:r w:rsidR="00E47FC1">
        <w:t>a number of</w:t>
      </w:r>
      <w:proofErr w:type="gramEnd"/>
      <w:r w:rsidR="00E47FC1">
        <w:t xml:space="preserve"> fields, including education, healthcare, and professional expertise</w:t>
      </w:r>
      <w:r w:rsidR="00D438AE">
        <w:t xml:space="preserve"> (</w:t>
      </w:r>
      <w:r w:rsidR="00D438AE" w:rsidRPr="00D438AE">
        <w:t>Husebø</w:t>
      </w:r>
      <w:r w:rsidR="00D438AE">
        <w:t xml:space="preserve"> et. al., 2013)</w:t>
      </w:r>
      <w:r w:rsidR="00E47FC1">
        <w:t xml:space="preserve">. This self-reflection model comprises six stages: Description, Feelings, Evaluation, Analysis, Conclusion, and Action plan. Each of these stages plays a significant role in evaluating the effectiveness of self-learning. </w:t>
      </w:r>
    </w:p>
    <w:p w14:paraId="1481F7AC" w14:textId="4AE46F70" w:rsidR="00E47FC1" w:rsidRDefault="00E47FC1" w:rsidP="006155D6">
      <w:r>
        <w:t xml:space="preserve">According to Gibbs’ Reflective Cycle, the description stage explains the situation or event in detail including background context, </w:t>
      </w:r>
      <w:r w:rsidR="00427528">
        <w:t>time needed, people interested, locations involved, and relevant other necessary information</w:t>
      </w:r>
      <w:r w:rsidR="005E244E">
        <w:t xml:space="preserve"> (</w:t>
      </w:r>
      <w:r w:rsidR="005E244E" w:rsidRPr="00D438AE">
        <w:t>Hill</w:t>
      </w:r>
      <w:r w:rsidR="005E244E">
        <w:t xml:space="preserve"> </w:t>
      </w:r>
      <w:r w:rsidR="005E244E" w:rsidRPr="00D438AE">
        <w:t>and Fitzgerald, 2020</w:t>
      </w:r>
      <w:r w:rsidR="005E244E">
        <w:t>)</w:t>
      </w:r>
      <w:r w:rsidR="00427528">
        <w:t xml:space="preserve">. As it is self-assessment writing, I </w:t>
      </w:r>
      <w:proofErr w:type="gramStart"/>
      <w:r w:rsidR="00427528">
        <w:t>have to</w:t>
      </w:r>
      <w:proofErr w:type="gramEnd"/>
      <w:r w:rsidR="00427528">
        <w:t xml:space="preserve"> study and research all, having limited time while preparing the presentation. I was given a situation of multilingualism from the viewpoint of a </w:t>
      </w:r>
      <w:proofErr w:type="gramStart"/>
      <w:r w:rsidR="00427528">
        <w:t>hotel</w:t>
      </w:r>
      <w:proofErr w:type="gramEnd"/>
      <w:r w:rsidR="00427528">
        <w:t xml:space="preserve"> and I have passed through further stages in a sequential manner. Feelings reflect the learner’s thoughts and psychological states during the learning from start to end</w:t>
      </w:r>
      <w:r w:rsidR="005E244E">
        <w:t xml:space="preserve"> (</w:t>
      </w:r>
      <w:r w:rsidR="005E244E" w:rsidRPr="005E244E">
        <w:t>Powley, 2013</w:t>
      </w:r>
      <w:r w:rsidR="005E244E">
        <w:t>)</w:t>
      </w:r>
      <w:r w:rsidR="00427528">
        <w:t xml:space="preserve">. At first, I was a little bit nervous since there was not much accessibility to the required sites and I lacked relevant information. </w:t>
      </w:r>
      <w:r w:rsidR="0012495A">
        <w:t xml:space="preserve">Then I researched deeply and got out of this </w:t>
      </w:r>
      <w:proofErr w:type="gramStart"/>
      <w:r w:rsidR="0012495A">
        <w:t>frustration</w:t>
      </w:r>
      <w:proofErr w:type="gramEnd"/>
      <w:r w:rsidR="0012495A">
        <w:t xml:space="preserve"> being inspired by the research results. </w:t>
      </w:r>
      <w:r w:rsidR="00E45AA0">
        <w:t xml:space="preserve">In the evaluation stage, positive and negative aspects are assessed. What things go well and what goes wrong are identified. As per my experience, I became confused about what facts are to be treated as most important as there is a limitation of slides to include. The thing that goes well is the abundance of information gathered after thorough research. In the stage of analysis, the learner relates her findings evolved from the situation that she has encountered to her previous knowledge </w:t>
      </w:r>
      <w:r w:rsidR="006153C4">
        <w:t xml:space="preserve">taught in classes and otherwise. I tried to realize the significance of the given situation from a hotel business perspective and observed the overall findings resulting in the prepared presentation. The conclusion phase reflects the alternative aspect of doing the same thing in a different manner. I think it would be possible to illustrate the presentation in a more personalized and customized way which may provide an overview of similar industries. At last, </w:t>
      </w:r>
      <w:r w:rsidR="0025555D">
        <w:t xml:space="preserve">the </w:t>
      </w:r>
      <w:r w:rsidR="006153C4">
        <w:t>action plan stage develops</w:t>
      </w:r>
      <w:r w:rsidR="0025555D">
        <w:t xml:space="preserve"> the required steps that give the final shape of the assigned task. It offers an opportunity to identify behavioral changes that are experienced through the completion of this task in the future</w:t>
      </w:r>
      <w:r w:rsidR="005E244E">
        <w:t xml:space="preserve"> (</w:t>
      </w:r>
      <w:proofErr w:type="spellStart"/>
      <w:r w:rsidR="005E244E" w:rsidRPr="005E244E">
        <w:t>Adeani</w:t>
      </w:r>
      <w:proofErr w:type="spellEnd"/>
      <w:r w:rsidR="005E244E">
        <w:t xml:space="preserve"> et. al., 2020)</w:t>
      </w:r>
      <w:r w:rsidR="0025555D">
        <w:t xml:space="preserve">. As per my experience, I need to be more confident and exercise multilingual skills on my professional platform which may uncover several potential opportunities for my improvements. </w:t>
      </w:r>
    </w:p>
    <w:p w14:paraId="6B322E8F" w14:textId="68B8D7A8" w:rsidR="00626054" w:rsidRDefault="00626054" w:rsidP="006155D6">
      <w:r>
        <w:lastRenderedPageBreak/>
        <w:t>Gibbs’ Reflective Cycle is considered a flexible and adaptable model to help individuals think deeply about their learning, work experience, emotional behavior, and expected actions. This reflection model provides individuals with insightful thinking, potential pitfalls, decision-making efficiencies, and professional and personal modification</w:t>
      </w:r>
      <w:r w:rsidR="005E244E">
        <w:t xml:space="preserve"> (</w:t>
      </w:r>
      <w:r w:rsidR="005E244E" w:rsidRPr="005E244E">
        <w:t>Davies, 2012</w:t>
      </w:r>
      <w:r w:rsidR="005E244E">
        <w:t>)</w:t>
      </w:r>
      <w:r>
        <w:t xml:space="preserve">. I have critically examined each of the stages of this reflection process and it helps me identify efficiencies and </w:t>
      </w:r>
      <w:r w:rsidR="004D3586">
        <w:t xml:space="preserve">deficiencies and take redressable actions to resolve the shortfalls. </w:t>
      </w:r>
    </w:p>
    <w:p w14:paraId="1BFA0F57" w14:textId="6EDCA0A4" w:rsidR="00D438AE" w:rsidRDefault="00D438AE"/>
    <w:p w14:paraId="210BA266" w14:textId="77777777" w:rsidR="00D438AE" w:rsidRDefault="00D438AE">
      <w:pPr>
        <w:spacing w:line="259" w:lineRule="auto"/>
        <w:jc w:val="left"/>
      </w:pPr>
      <w:r>
        <w:br w:type="page"/>
      </w:r>
    </w:p>
    <w:p w14:paraId="34605654" w14:textId="69A7AE77" w:rsidR="006A67EE" w:rsidRPr="00086BCD" w:rsidRDefault="00D438AE">
      <w:pPr>
        <w:rPr>
          <w:b/>
          <w:bCs/>
          <w:sz w:val="28"/>
          <w:szCs w:val="24"/>
        </w:rPr>
      </w:pPr>
      <w:r w:rsidRPr="00086BCD">
        <w:rPr>
          <w:b/>
          <w:bCs/>
          <w:sz w:val="28"/>
          <w:szCs w:val="24"/>
        </w:rPr>
        <w:lastRenderedPageBreak/>
        <w:t>References</w:t>
      </w:r>
    </w:p>
    <w:p w14:paraId="172F9F7D" w14:textId="247A40A9" w:rsidR="00D438AE" w:rsidRDefault="00D438AE">
      <w:r w:rsidRPr="00D438AE">
        <w:t>Husebø, S.E., O'Regan, S. and Nestel, D., 2015. Reflective practice and its role in simulation. </w:t>
      </w:r>
      <w:r w:rsidRPr="00D438AE">
        <w:rPr>
          <w:i/>
          <w:iCs/>
        </w:rPr>
        <w:t>Clinical Simulation in Nursing</w:t>
      </w:r>
      <w:r w:rsidRPr="00D438AE">
        <w:t>, </w:t>
      </w:r>
      <w:r w:rsidRPr="00D438AE">
        <w:rPr>
          <w:i/>
          <w:iCs/>
        </w:rPr>
        <w:t>11</w:t>
      </w:r>
      <w:r w:rsidRPr="00D438AE">
        <w:t>(8), pp.368-375.</w:t>
      </w:r>
    </w:p>
    <w:p w14:paraId="199E6D8B" w14:textId="2C556DC3" w:rsidR="00D438AE" w:rsidRDefault="00D438AE">
      <w:r w:rsidRPr="00D438AE">
        <w:t xml:space="preserve">Husebø, S.E., Dieckmann, P., </w:t>
      </w:r>
      <w:proofErr w:type="spellStart"/>
      <w:r w:rsidRPr="00D438AE">
        <w:t>Rystedt</w:t>
      </w:r>
      <w:proofErr w:type="spellEnd"/>
      <w:r w:rsidRPr="00D438AE">
        <w:t xml:space="preserve">, H., Søreide, E. and Friberg, F., 2013. The relationship between facilitators’ questions and the level of reflection in </w:t>
      </w:r>
      <w:proofErr w:type="spellStart"/>
      <w:r w:rsidRPr="00D438AE">
        <w:t>postsimulation</w:t>
      </w:r>
      <w:proofErr w:type="spellEnd"/>
      <w:r w:rsidRPr="00D438AE">
        <w:t xml:space="preserve"> debriefing. </w:t>
      </w:r>
      <w:r w:rsidRPr="00D438AE">
        <w:rPr>
          <w:i/>
          <w:iCs/>
        </w:rPr>
        <w:t>Simulation in healthcare</w:t>
      </w:r>
      <w:r w:rsidRPr="00D438AE">
        <w:t>, </w:t>
      </w:r>
      <w:r w:rsidRPr="00D438AE">
        <w:rPr>
          <w:i/>
          <w:iCs/>
        </w:rPr>
        <w:t>8</w:t>
      </w:r>
      <w:r w:rsidRPr="00D438AE">
        <w:t>(3), pp.135-142.</w:t>
      </w:r>
    </w:p>
    <w:p w14:paraId="4B69796E" w14:textId="3B2FAEE0" w:rsidR="00D438AE" w:rsidRDefault="00D438AE">
      <w:r w:rsidRPr="00D438AE">
        <w:t>Hill, K. and Fitzgerald, R., 2020. Student perspectives of the impact of COVID-19 on learning. </w:t>
      </w:r>
      <w:r w:rsidRPr="00D438AE">
        <w:rPr>
          <w:i/>
          <w:iCs/>
        </w:rPr>
        <w:t>All Ireland Journal of Higher Education</w:t>
      </w:r>
      <w:r w:rsidRPr="00D438AE">
        <w:t>, </w:t>
      </w:r>
      <w:r w:rsidRPr="00D438AE">
        <w:rPr>
          <w:i/>
          <w:iCs/>
        </w:rPr>
        <w:t>12</w:t>
      </w:r>
      <w:r w:rsidRPr="00D438AE">
        <w:t>(2).</w:t>
      </w:r>
    </w:p>
    <w:p w14:paraId="58BB4363" w14:textId="65FC8677" w:rsidR="005E244E" w:rsidRDefault="005E244E">
      <w:r w:rsidRPr="005E244E">
        <w:t>Davies, S., 2012. Embracing reflective practice. </w:t>
      </w:r>
      <w:r w:rsidRPr="005E244E">
        <w:rPr>
          <w:i/>
          <w:iCs/>
        </w:rPr>
        <w:t>Education for Primary Care</w:t>
      </w:r>
      <w:r w:rsidRPr="005E244E">
        <w:t>, </w:t>
      </w:r>
      <w:r w:rsidRPr="005E244E">
        <w:rPr>
          <w:i/>
          <w:iCs/>
        </w:rPr>
        <w:t>23</w:t>
      </w:r>
      <w:r w:rsidRPr="005E244E">
        <w:t>(1), pp.9-12.</w:t>
      </w:r>
    </w:p>
    <w:p w14:paraId="120ABE8C" w14:textId="62E5E25A" w:rsidR="005E244E" w:rsidRDefault="005E244E">
      <w:r w:rsidRPr="005E244E">
        <w:t>Powley, D., 2013. Reducing violence and aggression in the emergency department. </w:t>
      </w:r>
      <w:r w:rsidRPr="005E244E">
        <w:rPr>
          <w:i/>
          <w:iCs/>
        </w:rPr>
        <w:t>Emergency nurse</w:t>
      </w:r>
      <w:r w:rsidRPr="005E244E">
        <w:t>, </w:t>
      </w:r>
      <w:r w:rsidRPr="005E244E">
        <w:rPr>
          <w:i/>
          <w:iCs/>
        </w:rPr>
        <w:t>21</w:t>
      </w:r>
      <w:r w:rsidRPr="005E244E">
        <w:t>(4).</w:t>
      </w:r>
    </w:p>
    <w:p w14:paraId="3DB1D3D9" w14:textId="322C3747" w:rsidR="005E244E" w:rsidRDefault="005E244E">
      <w:proofErr w:type="spellStart"/>
      <w:r w:rsidRPr="005E244E">
        <w:t>Adeani</w:t>
      </w:r>
      <w:proofErr w:type="spellEnd"/>
      <w:r w:rsidRPr="005E244E">
        <w:t xml:space="preserve">, I.S., </w:t>
      </w:r>
      <w:proofErr w:type="spellStart"/>
      <w:r w:rsidRPr="005E244E">
        <w:t>Febriani</w:t>
      </w:r>
      <w:proofErr w:type="spellEnd"/>
      <w:r w:rsidRPr="005E244E">
        <w:t xml:space="preserve">, R.B. and </w:t>
      </w:r>
      <w:proofErr w:type="spellStart"/>
      <w:r w:rsidRPr="005E244E">
        <w:t>Syafryadin</w:t>
      </w:r>
      <w:proofErr w:type="spellEnd"/>
      <w:r w:rsidRPr="005E244E">
        <w:t xml:space="preserve">, S., 2020. Using </w:t>
      </w:r>
      <w:proofErr w:type="spellStart"/>
      <w:r w:rsidRPr="005E244E">
        <w:t>GIBBS’reflective</w:t>
      </w:r>
      <w:proofErr w:type="spellEnd"/>
      <w:r w:rsidRPr="005E244E">
        <w:t xml:space="preserve"> cycle in making reflections of literary analysis. </w:t>
      </w:r>
      <w:r w:rsidRPr="005E244E">
        <w:rPr>
          <w:i/>
          <w:iCs/>
        </w:rPr>
        <w:t>Indonesian EFL Journal</w:t>
      </w:r>
      <w:r w:rsidRPr="005E244E">
        <w:t>, </w:t>
      </w:r>
      <w:r w:rsidRPr="005E244E">
        <w:rPr>
          <w:i/>
          <w:iCs/>
        </w:rPr>
        <w:t>6</w:t>
      </w:r>
      <w:r w:rsidRPr="005E244E">
        <w:t>(2), pp.139-148.</w:t>
      </w:r>
    </w:p>
    <w:sectPr w:rsidR="005E24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242E"/>
    <w:multiLevelType w:val="multilevel"/>
    <w:tmpl w:val="5C5CCD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7F5C4B"/>
    <w:multiLevelType w:val="hybridMultilevel"/>
    <w:tmpl w:val="C3F064E2"/>
    <w:lvl w:ilvl="0" w:tplc="873A6216">
      <w:start w:val="1"/>
      <w:numFmt w:val="bullet"/>
      <w:lvlText w:val=""/>
      <w:lvlJc w:val="left"/>
      <w:pPr>
        <w:tabs>
          <w:tab w:val="num" w:pos="720"/>
        </w:tabs>
        <w:ind w:left="720" w:hanging="360"/>
      </w:pPr>
      <w:rPr>
        <w:rFonts w:ascii="Wingdings 3" w:hAnsi="Wingdings 3" w:hint="default"/>
      </w:rPr>
    </w:lvl>
    <w:lvl w:ilvl="1" w:tplc="45BED69A" w:tentative="1">
      <w:start w:val="1"/>
      <w:numFmt w:val="bullet"/>
      <w:lvlText w:val=""/>
      <w:lvlJc w:val="left"/>
      <w:pPr>
        <w:tabs>
          <w:tab w:val="num" w:pos="1440"/>
        </w:tabs>
        <w:ind w:left="1440" w:hanging="360"/>
      </w:pPr>
      <w:rPr>
        <w:rFonts w:ascii="Wingdings 3" w:hAnsi="Wingdings 3" w:hint="default"/>
      </w:rPr>
    </w:lvl>
    <w:lvl w:ilvl="2" w:tplc="5104656E" w:tentative="1">
      <w:start w:val="1"/>
      <w:numFmt w:val="bullet"/>
      <w:lvlText w:val=""/>
      <w:lvlJc w:val="left"/>
      <w:pPr>
        <w:tabs>
          <w:tab w:val="num" w:pos="2160"/>
        </w:tabs>
        <w:ind w:left="2160" w:hanging="360"/>
      </w:pPr>
      <w:rPr>
        <w:rFonts w:ascii="Wingdings 3" w:hAnsi="Wingdings 3" w:hint="default"/>
      </w:rPr>
    </w:lvl>
    <w:lvl w:ilvl="3" w:tplc="9E4AF5F2" w:tentative="1">
      <w:start w:val="1"/>
      <w:numFmt w:val="bullet"/>
      <w:lvlText w:val=""/>
      <w:lvlJc w:val="left"/>
      <w:pPr>
        <w:tabs>
          <w:tab w:val="num" w:pos="2880"/>
        </w:tabs>
        <w:ind w:left="2880" w:hanging="360"/>
      </w:pPr>
      <w:rPr>
        <w:rFonts w:ascii="Wingdings 3" w:hAnsi="Wingdings 3" w:hint="default"/>
      </w:rPr>
    </w:lvl>
    <w:lvl w:ilvl="4" w:tplc="1174E982" w:tentative="1">
      <w:start w:val="1"/>
      <w:numFmt w:val="bullet"/>
      <w:lvlText w:val=""/>
      <w:lvlJc w:val="left"/>
      <w:pPr>
        <w:tabs>
          <w:tab w:val="num" w:pos="3600"/>
        </w:tabs>
        <w:ind w:left="3600" w:hanging="360"/>
      </w:pPr>
      <w:rPr>
        <w:rFonts w:ascii="Wingdings 3" w:hAnsi="Wingdings 3" w:hint="default"/>
      </w:rPr>
    </w:lvl>
    <w:lvl w:ilvl="5" w:tplc="C232AA3C" w:tentative="1">
      <w:start w:val="1"/>
      <w:numFmt w:val="bullet"/>
      <w:lvlText w:val=""/>
      <w:lvlJc w:val="left"/>
      <w:pPr>
        <w:tabs>
          <w:tab w:val="num" w:pos="4320"/>
        </w:tabs>
        <w:ind w:left="4320" w:hanging="360"/>
      </w:pPr>
      <w:rPr>
        <w:rFonts w:ascii="Wingdings 3" w:hAnsi="Wingdings 3" w:hint="default"/>
      </w:rPr>
    </w:lvl>
    <w:lvl w:ilvl="6" w:tplc="4CC45CA6" w:tentative="1">
      <w:start w:val="1"/>
      <w:numFmt w:val="bullet"/>
      <w:lvlText w:val=""/>
      <w:lvlJc w:val="left"/>
      <w:pPr>
        <w:tabs>
          <w:tab w:val="num" w:pos="5040"/>
        </w:tabs>
        <w:ind w:left="5040" w:hanging="360"/>
      </w:pPr>
      <w:rPr>
        <w:rFonts w:ascii="Wingdings 3" w:hAnsi="Wingdings 3" w:hint="default"/>
      </w:rPr>
    </w:lvl>
    <w:lvl w:ilvl="7" w:tplc="C90C5078" w:tentative="1">
      <w:start w:val="1"/>
      <w:numFmt w:val="bullet"/>
      <w:lvlText w:val=""/>
      <w:lvlJc w:val="left"/>
      <w:pPr>
        <w:tabs>
          <w:tab w:val="num" w:pos="5760"/>
        </w:tabs>
        <w:ind w:left="5760" w:hanging="360"/>
      </w:pPr>
      <w:rPr>
        <w:rFonts w:ascii="Wingdings 3" w:hAnsi="Wingdings 3" w:hint="default"/>
      </w:rPr>
    </w:lvl>
    <w:lvl w:ilvl="8" w:tplc="866A1E1E" w:tentative="1">
      <w:start w:val="1"/>
      <w:numFmt w:val="bullet"/>
      <w:lvlText w:val=""/>
      <w:lvlJc w:val="left"/>
      <w:pPr>
        <w:tabs>
          <w:tab w:val="num" w:pos="6480"/>
        </w:tabs>
        <w:ind w:left="6480" w:hanging="360"/>
      </w:pPr>
      <w:rPr>
        <w:rFonts w:ascii="Wingdings 3" w:hAnsi="Wingdings 3" w:hint="default"/>
      </w:rPr>
    </w:lvl>
  </w:abstractNum>
  <w:num w:numId="1" w16cid:durableId="1580212689">
    <w:abstractNumId w:val="0"/>
  </w:num>
  <w:num w:numId="2" w16cid:durableId="1888684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D6"/>
    <w:rsid w:val="00086BCD"/>
    <w:rsid w:val="0012495A"/>
    <w:rsid w:val="00205F60"/>
    <w:rsid w:val="0025555D"/>
    <w:rsid w:val="002F0845"/>
    <w:rsid w:val="00427528"/>
    <w:rsid w:val="004D3586"/>
    <w:rsid w:val="005450CC"/>
    <w:rsid w:val="005E244E"/>
    <w:rsid w:val="006153C4"/>
    <w:rsid w:val="006155D6"/>
    <w:rsid w:val="00626054"/>
    <w:rsid w:val="006A67EE"/>
    <w:rsid w:val="007C747A"/>
    <w:rsid w:val="008F31C2"/>
    <w:rsid w:val="00973F86"/>
    <w:rsid w:val="00CD5F98"/>
    <w:rsid w:val="00D05A2C"/>
    <w:rsid w:val="00D438AE"/>
    <w:rsid w:val="00E45AA0"/>
    <w:rsid w:val="00E47FC1"/>
    <w:rsid w:val="00E92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972BE"/>
  <w15:chartTrackingRefBased/>
  <w15:docId w15:val="{3D8D345C-75B9-4D92-AF03-955E91A7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D6"/>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BC0"/>
    <w:pPr>
      <w:spacing w:after="0" w:line="240" w:lineRule="auto"/>
      <w:ind w:left="720"/>
      <w:contextualSpacing/>
      <w:jc w:val="left"/>
    </w:pPr>
    <w:rPr>
      <w:rFonts w:eastAsia="Times New Roman" w:cs="Times New Roman"/>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771110">
      <w:bodyDiv w:val="1"/>
      <w:marLeft w:val="0"/>
      <w:marRight w:val="0"/>
      <w:marTop w:val="0"/>
      <w:marBottom w:val="0"/>
      <w:divBdr>
        <w:top w:val="none" w:sz="0" w:space="0" w:color="auto"/>
        <w:left w:val="none" w:sz="0" w:space="0" w:color="auto"/>
        <w:bottom w:val="none" w:sz="0" w:space="0" w:color="auto"/>
        <w:right w:val="none" w:sz="0" w:space="0" w:color="auto"/>
      </w:divBdr>
      <w:divsChild>
        <w:div w:id="951326397">
          <w:marLeft w:val="547"/>
          <w:marRight w:val="0"/>
          <w:marTop w:val="200"/>
          <w:marBottom w:val="160"/>
          <w:divBdr>
            <w:top w:val="none" w:sz="0" w:space="0" w:color="auto"/>
            <w:left w:val="none" w:sz="0" w:space="0" w:color="auto"/>
            <w:bottom w:val="none" w:sz="0" w:space="0" w:color="auto"/>
            <w:right w:val="none" w:sz="0" w:space="0" w:color="auto"/>
          </w:divBdr>
        </w:div>
      </w:divsChild>
    </w:div>
    <w:div w:id="214407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Antu Barua Raju</dc:creator>
  <cp:keywords/>
  <dc:description/>
  <cp:lastModifiedBy>A K M Amdadul Hoque (2107424)</cp:lastModifiedBy>
  <cp:revision>11</cp:revision>
  <dcterms:created xsi:type="dcterms:W3CDTF">2023-10-07T17:45:00Z</dcterms:created>
  <dcterms:modified xsi:type="dcterms:W3CDTF">2023-11-02T10:26:00Z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000f5616-d0bf-4b87-be14-21600a9b0163</vt:lpwstr>
  </property>
</Properties>
</file>