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0DBC" w:rsidRDefault="0061048D" w:rsidP="00A80DBC">
      <w:pPr>
        <w:rPr>
          <w:rFonts w:ascii="Arial" w:hAnsi="Arial" w:cs="Arial"/>
          <w:sz w:val="56"/>
          <w:szCs w:val="56"/>
        </w:rPr>
      </w:pPr>
      <w:r>
        <w:rPr>
          <w:rFonts w:ascii="Arial" w:hAnsi="Arial" w:cs="Arial"/>
          <w:sz w:val="56"/>
          <w:szCs w:val="56"/>
        </w:rPr>
        <w:t xml:space="preserve">Advanced Application of </w:t>
      </w:r>
      <w:r w:rsidR="00A80DBC">
        <w:rPr>
          <w:rFonts w:ascii="Arial" w:hAnsi="Arial" w:cs="Arial"/>
          <w:sz w:val="56"/>
          <w:szCs w:val="56"/>
        </w:rPr>
        <w:t>Employment Law – Task 1</w:t>
      </w:r>
    </w:p>
    <w:p w:rsidR="00A80DBC" w:rsidRPr="009C513C" w:rsidRDefault="00A80DBC" w:rsidP="00A80DBC">
      <w:pPr>
        <w:rPr>
          <w:rFonts w:ascii="Arial" w:hAnsi="Arial" w:cs="Arial"/>
          <w:sz w:val="56"/>
          <w:szCs w:val="56"/>
        </w:rPr>
      </w:pPr>
      <w:r w:rsidRPr="009C513C">
        <w:rPr>
          <w:rFonts w:ascii="Arial" w:hAnsi="Arial" w:cs="Arial"/>
          <w:sz w:val="56"/>
          <w:szCs w:val="56"/>
        </w:rPr>
        <w:t>Course Module Code: BMHR701</w:t>
      </w:r>
      <w:r>
        <w:rPr>
          <w:rFonts w:ascii="Arial" w:hAnsi="Arial" w:cs="Arial"/>
          <w:sz w:val="56"/>
          <w:szCs w:val="56"/>
        </w:rPr>
        <w:t>9</w:t>
      </w:r>
    </w:p>
    <w:p w:rsidR="00A80DBC" w:rsidRPr="009C513C" w:rsidRDefault="00A80DBC" w:rsidP="00A80DBC">
      <w:pPr>
        <w:rPr>
          <w:rFonts w:ascii="Arial" w:hAnsi="Arial" w:cs="Arial"/>
          <w:sz w:val="56"/>
          <w:szCs w:val="56"/>
        </w:rPr>
      </w:pPr>
      <w:r w:rsidRPr="009C513C">
        <w:rPr>
          <w:rFonts w:ascii="Arial" w:hAnsi="Arial" w:cs="Arial"/>
          <w:sz w:val="56"/>
          <w:szCs w:val="56"/>
        </w:rPr>
        <w:t xml:space="preserve">Daniel </w:t>
      </w:r>
      <w:r>
        <w:rPr>
          <w:rFonts w:ascii="Arial" w:hAnsi="Arial" w:cs="Arial"/>
          <w:sz w:val="56"/>
          <w:szCs w:val="56"/>
        </w:rPr>
        <w:t xml:space="preserve">Lee </w:t>
      </w:r>
      <w:r w:rsidRPr="009C513C">
        <w:rPr>
          <w:rFonts w:ascii="Arial" w:hAnsi="Arial" w:cs="Arial"/>
          <w:sz w:val="56"/>
          <w:szCs w:val="56"/>
        </w:rPr>
        <w:t xml:space="preserve">Davies </w:t>
      </w:r>
    </w:p>
    <w:p w:rsidR="00A80DBC" w:rsidRPr="009C513C" w:rsidRDefault="00A80DBC" w:rsidP="00A80DBC">
      <w:pPr>
        <w:rPr>
          <w:rFonts w:ascii="Arial" w:hAnsi="Arial" w:cs="Arial"/>
          <w:sz w:val="56"/>
          <w:szCs w:val="56"/>
        </w:rPr>
      </w:pPr>
      <w:r w:rsidRPr="009C513C">
        <w:rPr>
          <w:rFonts w:ascii="Arial" w:hAnsi="Arial" w:cs="Arial"/>
          <w:sz w:val="56"/>
          <w:szCs w:val="56"/>
        </w:rPr>
        <w:t>Student ID Number: 2115251</w:t>
      </w:r>
    </w:p>
    <w:p w:rsidR="00A80DBC" w:rsidRDefault="00A80DBC" w:rsidP="00BF02C1">
      <w:pPr>
        <w:rPr>
          <w:rFonts w:ascii="Arial" w:hAnsi="Arial" w:cs="Arial"/>
          <w:b/>
          <w:sz w:val="24"/>
          <w:szCs w:val="24"/>
          <w:u w:val="single"/>
        </w:rPr>
      </w:pPr>
    </w:p>
    <w:p w:rsidR="00A80DBC" w:rsidRDefault="00A80DBC" w:rsidP="00BF02C1">
      <w:pPr>
        <w:rPr>
          <w:rFonts w:ascii="Arial" w:hAnsi="Arial" w:cs="Arial"/>
          <w:b/>
          <w:sz w:val="24"/>
          <w:szCs w:val="24"/>
          <w:u w:val="single"/>
        </w:rPr>
      </w:pPr>
      <w:r>
        <w:rPr>
          <w:rFonts w:ascii="Arial" w:hAnsi="Arial" w:cs="Arial"/>
          <w:b/>
          <w:sz w:val="24"/>
          <w:szCs w:val="24"/>
          <w:u w:val="single"/>
        </w:rPr>
        <w:br w:type="page"/>
      </w:r>
    </w:p>
    <w:p w:rsidR="00111EEA" w:rsidRPr="0061048D" w:rsidRDefault="001A1773" w:rsidP="00BF02C1">
      <w:pPr>
        <w:pStyle w:val="ListParagraph"/>
        <w:numPr>
          <w:ilvl w:val="0"/>
          <w:numId w:val="2"/>
        </w:numPr>
        <w:ind w:left="426" w:firstLine="0"/>
        <w:rPr>
          <w:rFonts w:ascii="Arial" w:hAnsi="Arial" w:cs="Arial"/>
          <w:sz w:val="24"/>
          <w:szCs w:val="24"/>
        </w:rPr>
      </w:pPr>
      <w:r w:rsidRPr="0061048D">
        <w:rPr>
          <w:rFonts w:ascii="Arial" w:hAnsi="Arial" w:cs="Arial"/>
          <w:b/>
          <w:sz w:val="24"/>
          <w:szCs w:val="24"/>
          <w:u w:val="single"/>
        </w:rPr>
        <w:lastRenderedPageBreak/>
        <w:t>TUPE Transfer?</w:t>
      </w:r>
    </w:p>
    <w:p w:rsidR="001A1773" w:rsidRPr="00C93355" w:rsidRDefault="00B74DBC" w:rsidP="00C93355">
      <w:pPr>
        <w:ind w:left="284"/>
        <w:rPr>
          <w:rFonts w:ascii="Arial" w:hAnsi="Arial" w:cs="Arial"/>
          <w:sz w:val="24"/>
          <w:szCs w:val="24"/>
        </w:rPr>
      </w:pPr>
      <w:r w:rsidRPr="00C93355">
        <w:rPr>
          <w:rFonts w:ascii="Arial" w:hAnsi="Arial" w:cs="Arial"/>
          <w:sz w:val="24"/>
          <w:szCs w:val="24"/>
        </w:rPr>
        <w:t>In response to your query on whether cancelling the contract with Illuminate would constitute a TUPE transfer here are my thoughts:</w:t>
      </w:r>
    </w:p>
    <w:p w:rsidR="002A296E" w:rsidRPr="00C93355" w:rsidRDefault="001A1773" w:rsidP="00C93355">
      <w:pPr>
        <w:pStyle w:val="ListParagraph"/>
        <w:numPr>
          <w:ilvl w:val="1"/>
          <w:numId w:val="2"/>
        </w:numPr>
        <w:rPr>
          <w:rFonts w:ascii="Arial" w:hAnsi="Arial" w:cs="Arial"/>
          <w:b/>
          <w:sz w:val="24"/>
          <w:szCs w:val="24"/>
          <w:u w:val="single"/>
        </w:rPr>
      </w:pPr>
      <w:r w:rsidRPr="0061048D">
        <w:rPr>
          <w:rFonts w:ascii="Arial" w:hAnsi="Arial" w:cs="Arial"/>
          <w:b/>
          <w:sz w:val="24"/>
          <w:szCs w:val="24"/>
          <w:u w:val="single"/>
        </w:rPr>
        <w:t>Why it could be</w:t>
      </w:r>
    </w:p>
    <w:p w:rsidR="001A1773" w:rsidRPr="0061048D" w:rsidRDefault="00450AE2" w:rsidP="00450AE2">
      <w:pPr>
        <w:pStyle w:val="ListParagraph"/>
        <w:numPr>
          <w:ilvl w:val="0"/>
          <w:numId w:val="4"/>
        </w:numPr>
        <w:rPr>
          <w:rFonts w:ascii="Arial" w:hAnsi="Arial" w:cs="Arial"/>
          <w:sz w:val="24"/>
          <w:szCs w:val="24"/>
        </w:rPr>
      </w:pPr>
      <w:r w:rsidRPr="0061048D">
        <w:rPr>
          <w:rFonts w:ascii="Arial" w:hAnsi="Arial" w:cs="Arial"/>
          <w:sz w:val="24"/>
          <w:szCs w:val="24"/>
        </w:rPr>
        <w:t xml:space="preserve">Should BBL decide to end its contractual agreement with Illuminate there is a strong likelihood that this would result in a TUPE </w:t>
      </w:r>
      <w:proofErr w:type="gramStart"/>
      <w:r w:rsidRPr="0061048D">
        <w:rPr>
          <w:rFonts w:ascii="Arial" w:hAnsi="Arial" w:cs="Arial"/>
          <w:sz w:val="24"/>
          <w:szCs w:val="24"/>
        </w:rPr>
        <w:t>transfer.</w:t>
      </w:r>
      <w:proofErr w:type="gramEnd"/>
    </w:p>
    <w:p w:rsidR="00450AE2" w:rsidRPr="0061048D" w:rsidRDefault="00450AE2" w:rsidP="00450AE2">
      <w:pPr>
        <w:pStyle w:val="ListParagraph"/>
        <w:numPr>
          <w:ilvl w:val="0"/>
          <w:numId w:val="4"/>
        </w:numPr>
        <w:rPr>
          <w:rFonts w:ascii="Arial" w:hAnsi="Arial" w:cs="Arial"/>
          <w:sz w:val="24"/>
          <w:szCs w:val="24"/>
        </w:rPr>
      </w:pPr>
      <w:r w:rsidRPr="0061048D">
        <w:rPr>
          <w:rFonts w:ascii="Arial" w:hAnsi="Arial" w:cs="Arial"/>
          <w:sz w:val="24"/>
          <w:szCs w:val="24"/>
        </w:rPr>
        <w:t>This is due to the fact that it comes under what is called ‘Service Provision Change’ where ‘’the work is transferred in-house (known as ‘insourcing’)’’ (acas, no date) and (CIPD, 2022).</w:t>
      </w:r>
    </w:p>
    <w:p w:rsidR="00DF3E38" w:rsidRPr="0061048D" w:rsidRDefault="00390580" w:rsidP="00450AE2">
      <w:pPr>
        <w:pStyle w:val="ListParagraph"/>
        <w:numPr>
          <w:ilvl w:val="0"/>
          <w:numId w:val="4"/>
        </w:numPr>
        <w:rPr>
          <w:rFonts w:ascii="Arial" w:hAnsi="Arial" w:cs="Arial"/>
          <w:sz w:val="24"/>
          <w:szCs w:val="24"/>
        </w:rPr>
      </w:pPr>
      <w:r w:rsidRPr="0061048D">
        <w:rPr>
          <w:rFonts w:ascii="Arial" w:hAnsi="Arial" w:cs="Arial"/>
          <w:sz w:val="24"/>
          <w:szCs w:val="24"/>
        </w:rPr>
        <w:t xml:space="preserve">Should this decision go ahead and it seems likely that </w:t>
      </w:r>
      <w:r w:rsidR="00D35CCD" w:rsidRPr="0061048D">
        <w:rPr>
          <w:rFonts w:ascii="Arial" w:hAnsi="Arial" w:cs="Arial"/>
          <w:sz w:val="24"/>
          <w:szCs w:val="24"/>
        </w:rPr>
        <w:t xml:space="preserve">it comes under a ‘’relevant transfer’’ category (CIPD, 2021), employees working for Illuminate (known as ‘’the transferor’’) would move to work for the new employer (‘’the transferee’’) which would be BBL. </w:t>
      </w:r>
    </w:p>
    <w:p w:rsidR="00D35CCD" w:rsidRPr="0061048D" w:rsidRDefault="00492F07" w:rsidP="00450AE2">
      <w:pPr>
        <w:pStyle w:val="ListParagraph"/>
        <w:numPr>
          <w:ilvl w:val="0"/>
          <w:numId w:val="4"/>
        </w:numPr>
        <w:rPr>
          <w:rFonts w:ascii="Arial" w:hAnsi="Arial" w:cs="Arial"/>
          <w:sz w:val="24"/>
          <w:szCs w:val="24"/>
        </w:rPr>
      </w:pPr>
      <w:r w:rsidRPr="0061048D">
        <w:rPr>
          <w:rFonts w:ascii="Arial" w:hAnsi="Arial" w:cs="Arial"/>
          <w:sz w:val="24"/>
          <w:szCs w:val="24"/>
        </w:rPr>
        <w:t>The team of employees from I</w:t>
      </w:r>
      <w:r w:rsidR="008E2D95" w:rsidRPr="0061048D">
        <w:rPr>
          <w:rFonts w:ascii="Arial" w:hAnsi="Arial" w:cs="Arial"/>
          <w:sz w:val="24"/>
          <w:szCs w:val="24"/>
        </w:rPr>
        <w:t xml:space="preserve">lluminate spend around 85% of their working time on site for BBL, therefore should they lose their employment with Illuminate (if they no longer had enough work for them), the 15 employees could claim unfair dismissal </w:t>
      </w:r>
      <w:r w:rsidR="005D1051" w:rsidRPr="0061048D">
        <w:rPr>
          <w:rFonts w:ascii="Arial" w:hAnsi="Arial" w:cs="Arial"/>
          <w:sz w:val="24"/>
          <w:szCs w:val="24"/>
        </w:rPr>
        <w:t xml:space="preserve">against BOTH companies, as was the case of ‘Ceva Freight (UK) Ltd. v Seawell Ltd.’ (2013). </w:t>
      </w:r>
    </w:p>
    <w:p w:rsidR="00492F07" w:rsidRPr="0061048D" w:rsidRDefault="00492F07" w:rsidP="00450AE2">
      <w:pPr>
        <w:pStyle w:val="ListParagraph"/>
        <w:numPr>
          <w:ilvl w:val="0"/>
          <w:numId w:val="4"/>
        </w:numPr>
        <w:rPr>
          <w:rFonts w:ascii="Arial" w:hAnsi="Arial" w:cs="Arial"/>
          <w:sz w:val="24"/>
          <w:szCs w:val="24"/>
        </w:rPr>
      </w:pPr>
      <w:r w:rsidRPr="0061048D">
        <w:rPr>
          <w:rFonts w:ascii="Arial" w:hAnsi="Arial" w:cs="Arial"/>
          <w:sz w:val="24"/>
          <w:szCs w:val="24"/>
        </w:rPr>
        <w:t xml:space="preserve">As is stated on the CIPD website (CIPD, 2021), ‘’percentages of work undertaken can be a practical indicator of where the employee is assigned.’’ </w:t>
      </w:r>
    </w:p>
    <w:p w:rsidR="00492F07" w:rsidRPr="0061048D" w:rsidRDefault="00492F07" w:rsidP="00450AE2">
      <w:pPr>
        <w:pStyle w:val="ListParagraph"/>
        <w:numPr>
          <w:ilvl w:val="0"/>
          <w:numId w:val="4"/>
        </w:numPr>
        <w:rPr>
          <w:rFonts w:ascii="Arial" w:hAnsi="Arial" w:cs="Arial"/>
          <w:sz w:val="24"/>
          <w:szCs w:val="24"/>
        </w:rPr>
      </w:pPr>
      <w:r w:rsidRPr="0061048D">
        <w:rPr>
          <w:rFonts w:ascii="Arial" w:hAnsi="Arial" w:cs="Arial"/>
          <w:sz w:val="24"/>
          <w:szCs w:val="24"/>
        </w:rPr>
        <w:t>Due to the fact that Illuminate’s employees spend such a large amount of time working at BBL (around 85% of their total working time) it might be difficult to argue against the case that they would ‘move’ along with the workload (CIPD, 2021).</w:t>
      </w:r>
    </w:p>
    <w:p w:rsidR="00D35CCD" w:rsidRPr="00C93355" w:rsidRDefault="00492F07" w:rsidP="00C93355">
      <w:pPr>
        <w:pStyle w:val="ListParagraph"/>
        <w:numPr>
          <w:ilvl w:val="0"/>
          <w:numId w:val="4"/>
        </w:numPr>
        <w:rPr>
          <w:rFonts w:ascii="Arial" w:hAnsi="Arial" w:cs="Arial"/>
          <w:sz w:val="24"/>
          <w:szCs w:val="24"/>
        </w:rPr>
      </w:pPr>
      <w:r w:rsidRPr="0061048D">
        <w:rPr>
          <w:rFonts w:ascii="Arial" w:hAnsi="Arial" w:cs="Arial"/>
          <w:sz w:val="24"/>
          <w:szCs w:val="24"/>
        </w:rPr>
        <w:lastRenderedPageBreak/>
        <w:t xml:space="preserve">How the 15 employees </w:t>
      </w:r>
      <w:r w:rsidR="001D1AFC" w:rsidRPr="0061048D">
        <w:rPr>
          <w:rFonts w:ascii="Arial" w:hAnsi="Arial" w:cs="Arial"/>
          <w:sz w:val="24"/>
          <w:szCs w:val="24"/>
        </w:rPr>
        <w:t xml:space="preserve">are a </w:t>
      </w:r>
      <w:r w:rsidRPr="0061048D">
        <w:rPr>
          <w:rFonts w:ascii="Arial" w:hAnsi="Arial" w:cs="Arial"/>
          <w:sz w:val="24"/>
          <w:szCs w:val="24"/>
        </w:rPr>
        <w:t xml:space="preserve">benefit </w:t>
      </w:r>
      <w:r w:rsidR="001D1AFC" w:rsidRPr="0061048D">
        <w:rPr>
          <w:rFonts w:ascii="Arial" w:hAnsi="Arial" w:cs="Arial"/>
          <w:sz w:val="24"/>
          <w:szCs w:val="24"/>
        </w:rPr>
        <w:t xml:space="preserve">to </w:t>
      </w:r>
      <w:r w:rsidRPr="0061048D">
        <w:rPr>
          <w:rFonts w:ascii="Arial" w:hAnsi="Arial" w:cs="Arial"/>
          <w:sz w:val="24"/>
          <w:szCs w:val="24"/>
        </w:rPr>
        <w:t>BBL</w:t>
      </w:r>
      <w:r w:rsidR="001D1AFC" w:rsidRPr="0061048D">
        <w:rPr>
          <w:rFonts w:ascii="Arial" w:hAnsi="Arial" w:cs="Arial"/>
          <w:sz w:val="24"/>
          <w:szCs w:val="24"/>
        </w:rPr>
        <w:t xml:space="preserve"> in the work that they complete</w:t>
      </w:r>
      <w:r w:rsidRPr="0061048D">
        <w:rPr>
          <w:rFonts w:ascii="Arial" w:hAnsi="Arial" w:cs="Arial"/>
          <w:sz w:val="24"/>
          <w:szCs w:val="24"/>
        </w:rPr>
        <w:t xml:space="preserve"> and whether they hold any other responsibilities would also be something to consider (CIPD, 2021). </w:t>
      </w:r>
    </w:p>
    <w:p w:rsidR="002A296E" w:rsidRPr="00C93355" w:rsidRDefault="001A1773" w:rsidP="00C93355">
      <w:pPr>
        <w:pStyle w:val="ListParagraph"/>
        <w:numPr>
          <w:ilvl w:val="1"/>
          <w:numId w:val="2"/>
        </w:numPr>
        <w:rPr>
          <w:rFonts w:ascii="Arial" w:hAnsi="Arial" w:cs="Arial"/>
          <w:b/>
          <w:sz w:val="24"/>
          <w:szCs w:val="24"/>
          <w:u w:val="single"/>
        </w:rPr>
      </w:pPr>
      <w:r w:rsidRPr="0061048D">
        <w:rPr>
          <w:rFonts w:ascii="Arial" w:hAnsi="Arial" w:cs="Arial"/>
          <w:b/>
          <w:sz w:val="24"/>
          <w:szCs w:val="24"/>
          <w:u w:val="single"/>
        </w:rPr>
        <w:t>Why it might not be</w:t>
      </w:r>
    </w:p>
    <w:p w:rsidR="00DF3E38" w:rsidRPr="0061048D" w:rsidRDefault="002812A4" w:rsidP="00DF3E38">
      <w:pPr>
        <w:pStyle w:val="ListParagraph"/>
        <w:numPr>
          <w:ilvl w:val="0"/>
          <w:numId w:val="4"/>
        </w:numPr>
        <w:rPr>
          <w:rFonts w:ascii="Arial" w:hAnsi="Arial" w:cs="Arial"/>
          <w:sz w:val="24"/>
          <w:szCs w:val="24"/>
        </w:rPr>
      </w:pPr>
      <w:r w:rsidRPr="0061048D">
        <w:rPr>
          <w:rFonts w:ascii="Arial" w:hAnsi="Arial" w:cs="Arial"/>
          <w:sz w:val="24"/>
          <w:szCs w:val="24"/>
        </w:rPr>
        <w:t xml:space="preserve">Should the agreement between BBL and Illuminate have been for a ‘’short-term duration’’ leading up to cancelling the contract then TUPE might not apply in this scenario (CIPD, 2022). </w:t>
      </w:r>
    </w:p>
    <w:p w:rsidR="00DF03D0" w:rsidRPr="0061048D" w:rsidRDefault="00DF03D0" w:rsidP="00DF3E38">
      <w:pPr>
        <w:pStyle w:val="ListParagraph"/>
        <w:numPr>
          <w:ilvl w:val="0"/>
          <w:numId w:val="4"/>
        </w:numPr>
        <w:rPr>
          <w:rFonts w:ascii="Arial" w:hAnsi="Arial" w:cs="Arial"/>
          <w:sz w:val="24"/>
          <w:szCs w:val="24"/>
        </w:rPr>
      </w:pPr>
      <w:r w:rsidRPr="0061048D">
        <w:rPr>
          <w:rFonts w:ascii="Arial" w:hAnsi="Arial" w:cs="Arial"/>
          <w:sz w:val="24"/>
          <w:szCs w:val="24"/>
        </w:rPr>
        <w:t xml:space="preserve">Should the service provided by BBL’s current staff be different following this change (either in the majority of work undertaken or work in its entirety) to that which is currently undertaken by Illuminate then there is an argument that this would not constitute TUPE (White, no date). </w:t>
      </w:r>
    </w:p>
    <w:p w:rsidR="002A296E" w:rsidRPr="00C93355" w:rsidRDefault="006848E5" w:rsidP="00C93355">
      <w:pPr>
        <w:pStyle w:val="ListParagraph"/>
        <w:numPr>
          <w:ilvl w:val="0"/>
          <w:numId w:val="4"/>
        </w:numPr>
        <w:rPr>
          <w:rFonts w:ascii="Arial" w:hAnsi="Arial" w:cs="Arial"/>
          <w:sz w:val="24"/>
          <w:szCs w:val="24"/>
        </w:rPr>
      </w:pPr>
      <w:r w:rsidRPr="0061048D">
        <w:rPr>
          <w:rFonts w:ascii="Arial" w:hAnsi="Arial" w:cs="Arial"/>
          <w:sz w:val="24"/>
          <w:szCs w:val="24"/>
        </w:rPr>
        <w:t>The work undertaken by Illuminate would need to be carried out on behalf of BBL ‘’immediately before the change’’ (White, no date). If not then it may be difficult for Illuminate’s employees to consider this a TUPE situation.</w:t>
      </w:r>
    </w:p>
    <w:p w:rsidR="002A296E" w:rsidRPr="00C93355" w:rsidRDefault="006848E5" w:rsidP="00C93355">
      <w:pPr>
        <w:pStyle w:val="ListParagraph"/>
        <w:numPr>
          <w:ilvl w:val="1"/>
          <w:numId w:val="2"/>
        </w:numPr>
        <w:rPr>
          <w:rFonts w:ascii="Arial" w:hAnsi="Arial" w:cs="Arial"/>
          <w:b/>
          <w:sz w:val="24"/>
          <w:szCs w:val="24"/>
          <w:u w:val="single"/>
        </w:rPr>
      </w:pPr>
      <w:r w:rsidRPr="0061048D">
        <w:rPr>
          <w:rFonts w:ascii="Arial" w:hAnsi="Arial" w:cs="Arial"/>
          <w:b/>
          <w:sz w:val="24"/>
          <w:szCs w:val="24"/>
          <w:u w:val="single"/>
        </w:rPr>
        <w:t>Conclusion</w:t>
      </w:r>
    </w:p>
    <w:p w:rsidR="00B74DBC" w:rsidRDefault="006848E5" w:rsidP="00C93355">
      <w:pPr>
        <w:pStyle w:val="ListParagraph"/>
        <w:ind w:left="760"/>
        <w:rPr>
          <w:rFonts w:ascii="Arial" w:hAnsi="Arial" w:cs="Arial"/>
          <w:sz w:val="24"/>
          <w:szCs w:val="24"/>
        </w:rPr>
      </w:pPr>
      <w:r w:rsidRPr="0061048D">
        <w:rPr>
          <w:rFonts w:ascii="Arial" w:hAnsi="Arial" w:cs="Arial"/>
          <w:sz w:val="24"/>
          <w:szCs w:val="24"/>
        </w:rPr>
        <w:t xml:space="preserve">Based on the points above I would argue that this </w:t>
      </w:r>
      <w:r w:rsidRPr="0061048D">
        <w:rPr>
          <w:rFonts w:ascii="Arial" w:hAnsi="Arial" w:cs="Arial"/>
          <w:sz w:val="24"/>
          <w:szCs w:val="24"/>
          <w:u w:val="single"/>
        </w:rPr>
        <w:t>would</w:t>
      </w:r>
      <w:r w:rsidRPr="0061048D">
        <w:rPr>
          <w:rFonts w:ascii="Arial" w:hAnsi="Arial" w:cs="Arial"/>
          <w:sz w:val="24"/>
          <w:szCs w:val="24"/>
        </w:rPr>
        <w:t xml:space="preserve"> be a TUPE scenario as I presume that the work </w:t>
      </w:r>
      <w:r w:rsidR="005C5EC0" w:rsidRPr="0061048D">
        <w:rPr>
          <w:rFonts w:ascii="Arial" w:hAnsi="Arial" w:cs="Arial"/>
          <w:sz w:val="24"/>
          <w:szCs w:val="24"/>
        </w:rPr>
        <w:t xml:space="preserve">currently </w:t>
      </w:r>
      <w:r w:rsidRPr="0061048D">
        <w:rPr>
          <w:rFonts w:ascii="Arial" w:hAnsi="Arial" w:cs="Arial"/>
          <w:sz w:val="24"/>
          <w:szCs w:val="24"/>
        </w:rPr>
        <w:t xml:space="preserve">undertaken by Illuminate’s employees will be exactly or almost exactly the same as the work that will be transferred ‘in-house’. I can only presume that there would be no gap in time from when Illuminate’s employees undertake the work to the </w:t>
      </w:r>
      <w:r w:rsidR="00ED737F" w:rsidRPr="0061048D">
        <w:rPr>
          <w:rFonts w:ascii="Arial" w:hAnsi="Arial" w:cs="Arial"/>
          <w:sz w:val="24"/>
          <w:szCs w:val="24"/>
        </w:rPr>
        <w:t xml:space="preserve">work being done internally following the </w:t>
      </w:r>
      <w:r w:rsidRPr="0061048D">
        <w:rPr>
          <w:rFonts w:ascii="Arial" w:hAnsi="Arial" w:cs="Arial"/>
          <w:sz w:val="24"/>
          <w:szCs w:val="24"/>
        </w:rPr>
        <w:t xml:space="preserve">cancellation of the contract. </w:t>
      </w:r>
    </w:p>
    <w:p w:rsidR="00C93355" w:rsidRPr="00C93355" w:rsidRDefault="00C93355" w:rsidP="00C93355">
      <w:pPr>
        <w:pStyle w:val="ListParagraph"/>
        <w:ind w:left="760"/>
        <w:rPr>
          <w:rFonts w:ascii="Arial" w:hAnsi="Arial" w:cs="Arial"/>
          <w:sz w:val="24"/>
          <w:szCs w:val="24"/>
        </w:rPr>
      </w:pPr>
    </w:p>
    <w:p w:rsidR="00B74DBC" w:rsidRPr="00C93355" w:rsidRDefault="00B30E0C" w:rsidP="00C93355">
      <w:pPr>
        <w:pStyle w:val="ListParagraph"/>
        <w:numPr>
          <w:ilvl w:val="0"/>
          <w:numId w:val="2"/>
        </w:numPr>
        <w:rPr>
          <w:rFonts w:ascii="Arial" w:hAnsi="Arial" w:cs="Arial"/>
          <w:b/>
          <w:sz w:val="24"/>
          <w:szCs w:val="24"/>
          <w:u w:val="single"/>
        </w:rPr>
      </w:pPr>
      <w:r w:rsidRPr="0061048D">
        <w:rPr>
          <w:rFonts w:ascii="Arial" w:hAnsi="Arial" w:cs="Arial"/>
          <w:b/>
          <w:sz w:val="24"/>
          <w:szCs w:val="24"/>
          <w:u w:val="single"/>
        </w:rPr>
        <w:t>Legal Obligations – BBL</w:t>
      </w:r>
    </w:p>
    <w:p w:rsidR="00B74DBC" w:rsidRPr="0061048D" w:rsidRDefault="00B74DBC" w:rsidP="0061048D">
      <w:pPr>
        <w:pStyle w:val="ListParagraph"/>
        <w:rPr>
          <w:rFonts w:ascii="Arial" w:hAnsi="Arial" w:cs="Arial"/>
          <w:sz w:val="24"/>
          <w:szCs w:val="24"/>
        </w:rPr>
      </w:pPr>
      <w:r w:rsidRPr="0061048D">
        <w:rPr>
          <w:rFonts w:ascii="Arial" w:hAnsi="Arial" w:cs="Arial"/>
          <w:sz w:val="24"/>
          <w:szCs w:val="24"/>
        </w:rPr>
        <w:t>Should this become a TUPE transfer, the legal obligations for BBL would be as follows:</w:t>
      </w:r>
    </w:p>
    <w:p w:rsidR="00B30E0C" w:rsidRPr="0061048D" w:rsidRDefault="00B30E0C" w:rsidP="00B30E0C">
      <w:pPr>
        <w:pStyle w:val="ListParagraph"/>
        <w:numPr>
          <w:ilvl w:val="0"/>
          <w:numId w:val="5"/>
        </w:numPr>
        <w:rPr>
          <w:rFonts w:ascii="Arial" w:hAnsi="Arial" w:cs="Arial"/>
          <w:sz w:val="24"/>
          <w:szCs w:val="24"/>
        </w:rPr>
      </w:pPr>
      <w:r w:rsidRPr="0061048D">
        <w:rPr>
          <w:rFonts w:ascii="Arial" w:hAnsi="Arial" w:cs="Arial"/>
          <w:sz w:val="24"/>
          <w:szCs w:val="24"/>
        </w:rPr>
        <w:lastRenderedPageBreak/>
        <w:t xml:space="preserve">When a change to how the business is run falls into the bracket of a ‘relevant transfer’, all 15 employees currently working for Illuminate will transfer to BBL – that is, BBL would not be able to pick individual employees to be TUPE’d over (as long as they are working for Illuminate </w:t>
      </w:r>
      <w:r w:rsidRPr="0061048D">
        <w:rPr>
          <w:rFonts w:ascii="Arial" w:hAnsi="Arial" w:cs="Arial"/>
          <w:sz w:val="24"/>
          <w:szCs w:val="24"/>
          <w:u w:val="single"/>
        </w:rPr>
        <w:t>at the time just before a TUPE transfer comes into place</w:t>
      </w:r>
      <w:r w:rsidRPr="0061048D">
        <w:rPr>
          <w:rFonts w:ascii="Arial" w:hAnsi="Arial" w:cs="Arial"/>
          <w:sz w:val="24"/>
          <w:szCs w:val="24"/>
        </w:rPr>
        <w:t xml:space="preserve">) (CIPD, 2021). </w:t>
      </w:r>
    </w:p>
    <w:p w:rsidR="00B30E0C" w:rsidRPr="0061048D" w:rsidRDefault="00B30E0C" w:rsidP="00B30E0C">
      <w:pPr>
        <w:pStyle w:val="ListParagraph"/>
        <w:numPr>
          <w:ilvl w:val="0"/>
          <w:numId w:val="5"/>
        </w:numPr>
        <w:rPr>
          <w:rFonts w:ascii="Arial" w:hAnsi="Arial" w:cs="Arial"/>
          <w:sz w:val="24"/>
          <w:szCs w:val="24"/>
        </w:rPr>
      </w:pPr>
      <w:r w:rsidRPr="0061048D">
        <w:rPr>
          <w:rFonts w:ascii="Arial" w:hAnsi="Arial" w:cs="Arial"/>
          <w:sz w:val="24"/>
          <w:szCs w:val="24"/>
        </w:rPr>
        <w:t>Contracts for Illuminate’s employees would be protected at the point of transfer (all T&amp;C’s apart from pensions as they are protected by the Pensions Act 2004) (CIPD, 2021).</w:t>
      </w:r>
    </w:p>
    <w:p w:rsidR="00B30E0C" w:rsidRPr="0061048D" w:rsidRDefault="00B30E0C" w:rsidP="00B30E0C">
      <w:pPr>
        <w:pStyle w:val="ListParagraph"/>
        <w:numPr>
          <w:ilvl w:val="0"/>
          <w:numId w:val="5"/>
        </w:numPr>
        <w:rPr>
          <w:rFonts w:ascii="Arial" w:hAnsi="Arial" w:cs="Arial"/>
          <w:sz w:val="24"/>
          <w:szCs w:val="24"/>
        </w:rPr>
      </w:pPr>
      <w:r w:rsidRPr="0061048D">
        <w:rPr>
          <w:rFonts w:ascii="Arial" w:hAnsi="Arial" w:cs="Arial"/>
          <w:sz w:val="24"/>
          <w:szCs w:val="24"/>
        </w:rPr>
        <w:t>Important to keep in mind the possibility that some of Illuminate’s employees may have ‘’TUPE-transferred from previous employers’’ (Green, no date) and therefore would have carried over contractual rights from that employer.</w:t>
      </w:r>
    </w:p>
    <w:p w:rsidR="00B30E0C" w:rsidRPr="0061048D" w:rsidRDefault="00B30E0C" w:rsidP="00B30E0C">
      <w:pPr>
        <w:pStyle w:val="ListParagraph"/>
        <w:numPr>
          <w:ilvl w:val="0"/>
          <w:numId w:val="5"/>
        </w:numPr>
        <w:rPr>
          <w:rFonts w:ascii="Arial" w:hAnsi="Arial" w:cs="Arial"/>
          <w:sz w:val="24"/>
          <w:szCs w:val="24"/>
        </w:rPr>
      </w:pPr>
      <w:r w:rsidRPr="0061048D">
        <w:rPr>
          <w:rFonts w:ascii="Arial" w:hAnsi="Arial" w:cs="Arial"/>
          <w:sz w:val="24"/>
          <w:szCs w:val="24"/>
        </w:rPr>
        <w:t>Continuous service dates will carry over – whatever the date of commencement was with Illuminate will remain the same following TUPE (CIPD, 2021).</w:t>
      </w:r>
    </w:p>
    <w:p w:rsidR="00B30E0C" w:rsidRPr="0061048D" w:rsidRDefault="00B30E0C" w:rsidP="00B30E0C">
      <w:pPr>
        <w:pStyle w:val="ListParagraph"/>
        <w:numPr>
          <w:ilvl w:val="0"/>
          <w:numId w:val="5"/>
        </w:numPr>
        <w:rPr>
          <w:rFonts w:ascii="Arial" w:hAnsi="Arial" w:cs="Arial"/>
          <w:sz w:val="24"/>
          <w:szCs w:val="24"/>
        </w:rPr>
      </w:pPr>
      <w:r w:rsidRPr="0061048D">
        <w:rPr>
          <w:rFonts w:ascii="Arial" w:hAnsi="Arial" w:cs="Arial"/>
          <w:sz w:val="24"/>
          <w:szCs w:val="24"/>
        </w:rPr>
        <w:t>BBL would take over responsibilities on liabilities for claims against Illuminate such as:</w:t>
      </w:r>
    </w:p>
    <w:p w:rsidR="00B30E0C" w:rsidRPr="0061048D" w:rsidRDefault="00B30E0C" w:rsidP="00B30E0C">
      <w:pPr>
        <w:pStyle w:val="ListParagraph"/>
        <w:numPr>
          <w:ilvl w:val="0"/>
          <w:numId w:val="6"/>
        </w:numPr>
        <w:rPr>
          <w:rFonts w:ascii="Arial" w:hAnsi="Arial" w:cs="Arial"/>
          <w:sz w:val="24"/>
          <w:szCs w:val="24"/>
        </w:rPr>
      </w:pPr>
      <w:r w:rsidRPr="0061048D">
        <w:rPr>
          <w:rFonts w:ascii="Arial" w:hAnsi="Arial" w:cs="Arial"/>
          <w:sz w:val="24"/>
          <w:szCs w:val="24"/>
        </w:rPr>
        <w:t>‘’Personal injury claims’’</w:t>
      </w:r>
    </w:p>
    <w:p w:rsidR="00B30E0C" w:rsidRPr="0061048D" w:rsidRDefault="00B30E0C" w:rsidP="00B30E0C">
      <w:pPr>
        <w:pStyle w:val="ListParagraph"/>
        <w:numPr>
          <w:ilvl w:val="0"/>
          <w:numId w:val="6"/>
        </w:numPr>
        <w:rPr>
          <w:rFonts w:ascii="Arial" w:hAnsi="Arial" w:cs="Arial"/>
          <w:sz w:val="24"/>
          <w:szCs w:val="24"/>
        </w:rPr>
      </w:pPr>
      <w:r w:rsidRPr="0061048D">
        <w:rPr>
          <w:rFonts w:ascii="Arial" w:hAnsi="Arial" w:cs="Arial"/>
          <w:sz w:val="24"/>
          <w:szCs w:val="24"/>
        </w:rPr>
        <w:t>Any discrimination claims</w:t>
      </w:r>
    </w:p>
    <w:p w:rsidR="00B30E0C" w:rsidRPr="0061048D" w:rsidRDefault="00B30E0C" w:rsidP="00B30E0C">
      <w:pPr>
        <w:pStyle w:val="ListParagraph"/>
        <w:numPr>
          <w:ilvl w:val="0"/>
          <w:numId w:val="6"/>
        </w:numPr>
        <w:rPr>
          <w:rFonts w:ascii="Arial" w:hAnsi="Arial" w:cs="Arial"/>
          <w:sz w:val="24"/>
          <w:szCs w:val="24"/>
        </w:rPr>
      </w:pPr>
      <w:r w:rsidRPr="0061048D">
        <w:rPr>
          <w:rFonts w:ascii="Arial" w:hAnsi="Arial" w:cs="Arial"/>
          <w:sz w:val="24"/>
          <w:szCs w:val="24"/>
        </w:rPr>
        <w:t>Breaches in contract</w:t>
      </w:r>
    </w:p>
    <w:p w:rsidR="00B30E0C" w:rsidRPr="0061048D" w:rsidRDefault="00B30E0C" w:rsidP="00B30E0C">
      <w:pPr>
        <w:pStyle w:val="ListParagraph"/>
        <w:numPr>
          <w:ilvl w:val="0"/>
          <w:numId w:val="6"/>
        </w:numPr>
        <w:rPr>
          <w:rFonts w:ascii="Arial" w:hAnsi="Arial" w:cs="Arial"/>
          <w:sz w:val="24"/>
          <w:szCs w:val="24"/>
        </w:rPr>
      </w:pPr>
      <w:r w:rsidRPr="0061048D">
        <w:rPr>
          <w:rFonts w:ascii="Arial" w:hAnsi="Arial" w:cs="Arial"/>
          <w:sz w:val="24"/>
          <w:szCs w:val="24"/>
        </w:rPr>
        <w:t>‘’Unfair dismissal claims’’</w:t>
      </w:r>
    </w:p>
    <w:p w:rsidR="00B30E0C" w:rsidRPr="0061048D" w:rsidRDefault="00B30E0C" w:rsidP="00B30E0C">
      <w:pPr>
        <w:pStyle w:val="ListParagraph"/>
        <w:numPr>
          <w:ilvl w:val="0"/>
          <w:numId w:val="6"/>
        </w:numPr>
        <w:rPr>
          <w:rFonts w:ascii="Arial" w:hAnsi="Arial" w:cs="Arial"/>
          <w:sz w:val="24"/>
          <w:szCs w:val="24"/>
        </w:rPr>
      </w:pPr>
      <w:r w:rsidRPr="0061048D">
        <w:rPr>
          <w:rFonts w:ascii="Arial" w:hAnsi="Arial" w:cs="Arial"/>
          <w:sz w:val="24"/>
          <w:szCs w:val="24"/>
        </w:rPr>
        <w:t xml:space="preserve">‘’Equal pay claims’’ (CIPD, 2021). </w:t>
      </w:r>
    </w:p>
    <w:p w:rsidR="00B30E0C" w:rsidRPr="0061048D" w:rsidRDefault="00B30E0C" w:rsidP="00B30E0C">
      <w:pPr>
        <w:pStyle w:val="ListParagraph"/>
        <w:numPr>
          <w:ilvl w:val="0"/>
          <w:numId w:val="7"/>
        </w:numPr>
        <w:ind w:left="709" w:hanging="283"/>
        <w:rPr>
          <w:rFonts w:ascii="Arial" w:hAnsi="Arial" w:cs="Arial"/>
          <w:sz w:val="24"/>
          <w:szCs w:val="24"/>
        </w:rPr>
      </w:pPr>
      <w:r w:rsidRPr="0061048D">
        <w:rPr>
          <w:rFonts w:ascii="Arial" w:hAnsi="Arial" w:cs="Arial"/>
          <w:sz w:val="24"/>
          <w:szCs w:val="24"/>
        </w:rPr>
        <w:t xml:space="preserve">BBL would need to consult with FEW prior to consultation with the employees affected (although the main responsibility for this would be on Illuminate) (acas, no date). </w:t>
      </w:r>
    </w:p>
    <w:p w:rsidR="00B30E0C" w:rsidRPr="0061048D" w:rsidRDefault="00B30E0C" w:rsidP="00B30E0C">
      <w:pPr>
        <w:pStyle w:val="ListParagraph"/>
        <w:numPr>
          <w:ilvl w:val="0"/>
          <w:numId w:val="7"/>
        </w:numPr>
        <w:ind w:left="709" w:hanging="283"/>
        <w:rPr>
          <w:rFonts w:ascii="Arial" w:hAnsi="Arial" w:cs="Arial"/>
          <w:sz w:val="24"/>
          <w:szCs w:val="24"/>
        </w:rPr>
      </w:pPr>
      <w:r w:rsidRPr="0061048D">
        <w:rPr>
          <w:rFonts w:ascii="Arial" w:hAnsi="Arial" w:cs="Arial"/>
          <w:sz w:val="24"/>
          <w:szCs w:val="24"/>
        </w:rPr>
        <w:lastRenderedPageBreak/>
        <w:t>BBL would need to inform the employees transferring over, in writing, of the change to employer (acas, no date).</w:t>
      </w:r>
    </w:p>
    <w:p w:rsidR="00B30E0C" w:rsidRPr="0061048D" w:rsidRDefault="00B30E0C" w:rsidP="00B30E0C">
      <w:pPr>
        <w:pStyle w:val="ListParagraph"/>
        <w:numPr>
          <w:ilvl w:val="0"/>
          <w:numId w:val="7"/>
        </w:numPr>
        <w:ind w:left="709" w:hanging="283"/>
        <w:rPr>
          <w:rFonts w:ascii="Arial" w:hAnsi="Arial" w:cs="Arial"/>
          <w:sz w:val="24"/>
          <w:szCs w:val="24"/>
        </w:rPr>
      </w:pPr>
      <w:r w:rsidRPr="0061048D">
        <w:rPr>
          <w:rFonts w:ascii="Arial" w:hAnsi="Arial" w:cs="Arial"/>
          <w:sz w:val="24"/>
          <w:szCs w:val="24"/>
        </w:rPr>
        <w:t xml:space="preserve">Failure to inform employees transferring that BBL would be the new employer could result in them making discrimination claims against </w:t>
      </w:r>
      <w:r w:rsidRPr="0061048D">
        <w:rPr>
          <w:rFonts w:ascii="Arial" w:hAnsi="Arial" w:cs="Arial"/>
          <w:sz w:val="24"/>
          <w:szCs w:val="24"/>
          <w:u w:val="single"/>
        </w:rPr>
        <w:t xml:space="preserve">both </w:t>
      </w:r>
      <w:r w:rsidRPr="0061048D">
        <w:rPr>
          <w:rFonts w:ascii="Arial" w:hAnsi="Arial" w:cs="Arial"/>
          <w:sz w:val="24"/>
          <w:szCs w:val="24"/>
        </w:rPr>
        <w:t>BBL and Illuminate such as was the case for ‘Gabriel v Peninsula Business Services Ltd’ (2021).</w:t>
      </w:r>
    </w:p>
    <w:p w:rsidR="00B30E0C" w:rsidRPr="0061048D" w:rsidRDefault="00B30E0C" w:rsidP="00B30E0C">
      <w:pPr>
        <w:pStyle w:val="ListParagraph"/>
        <w:numPr>
          <w:ilvl w:val="0"/>
          <w:numId w:val="7"/>
        </w:numPr>
        <w:ind w:left="709" w:hanging="283"/>
        <w:rPr>
          <w:rFonts w:ascii="Arial" w:hAnsi="Arial" w:cs="Arial"/>
          <w:sz w:val="24"/>
          <w:szCs w:val="24"/>
        </w:rPr>
      </w:pPr>
      <w:r w:rsidRPr="0061048D">
        <w:rPr>
          <w:rFonts w:ascii="Arial" w:hAnsi="Arial" w:cs="Arial"/>
          <w:sz w:val="24"/>
          <w:szCs w:val="24"/>
        </w:rPr>
        <w:t xml:space="preserve">Failing to consult with ‘’the employees affected, trade union or employee representative’’ (CIPD, 2021) could result in a complaint being made by the employees affected, where both BBL and Illuminate could be liable ‘’to pay compensation to each affected employee of up to a maximum of 13 weeks’ pay each’’ (CIPD, 2022). The amount of compensation could be paid, in full, by either BBL or Illuminate, or the cost could be split between the two businesses (acas, no date). </w:t>
      </w:r>
    </w:p>
    <w:p w:rsidR="00505633" w:rsidRPr="00C93355" w:rsidRDefault="00B30E0C" w:rsidP="00856C3F">
      <w:pPr>
        <w:pStyle w:val="ListParagraph"/>
        <w:numPr>
          <w:ilvl w:val="0"/>
          <w:numId w:val="7"/>
        </w:numPr>
        <w:ind w:left="709" w:hanging="283"/>
        <w:rPr>
          <w:rFonts w:ascii="Arial" w:hAnsi="Arial" w:cs="Arial"/>
          <w:sz w:val="24"/>
          <w:szCs w:val="24"/>
        </w:rPr>
      </w:pPr>
      <w:r w:rsidRPr="0061048D">
        <w:rPr>
          <w:rFonts w:ascii="Arial" w:hAnsi="Arial" w:cs="Arial"/>
          <w:sz w:val="24"/>
          <w:szCs w:val="24"/>
        </w:rPr>
        <w:t>As ‘transferee’, BBL could ‘’</w:t>
      </w:r>
      <w:r w:rsidRPr="0061048D">
        <w:rPr>
          <w:rFonts w:ascii="Arial" w:hAnsi="Arial" w:cs="Arial"/>
          <w:bCs/>
          <w:sz w:val="24"/>
          <w:szCs w:val="24"/>
        </w:rPr>
        <w:t xml:space="preserve">be liable for up to six years’ worth of equal pay claims’’ (CIPD, 2021) and should ensure that any inequalities are exposed before transferring. </w:t>
      </w:r>
    </w:p>
    <w:p w:rsidR="00C93355" w:rsidRPr="00C93355" w:rsidRDefault="00C93355" w:rsidP="00C93355">
      <w:pPr>
        <w:pStyle w:val="ListParagraph"/>
        <w:ind w:left="709"/>
        <w:rPr>
          <w:rFonts w:ascii="Arial" w:hAnsi="Arial" w:cs="Arial"/>
          <w:sz w:val="24"/>
          <w:szCs w:val="24"/>
        </w:rPr>
      </w:pPr>
    </w:p>
    <w:p w:rsidR="00B74DBC" w:rsidRPr="00C93355" w:rsidRDefault="00505633" w:rsidP="00C93355">
      <w:pPr>
        <w:pStyle w:val="ListParagraph"/>
        <w:numPr>
          <w:ilvl w:val="0"/>
          <w:numId w:val="2"/>
        </w:numPr>
        <w:rPr>
          <w:rFonts w:ascii="Arial" w:hAnsi="Arial" w:cs="Arial"/>
          <w:b/>
          <w:sz w:val="24"/>
          <w:szCs w:val="24"/>
          <w:u w:val="single"/>
        </w:rPr>
      </w:pPr>
      <w:r w:rsidRPr="0061048D">
        <w:rPr>
          <w:rFonts w:ascii="Arial" w:hAnsi="Arial" w:cs="Arial"/>
          <w:b/>
          <w:sz w:val="24"/>
          <w:szCs w:val="24"/>
          <w:u w:val="single"/>
        </w:rPr>
        <w:t>Legal Obligations – Illuminate</w:t>
      </w:r>
    </w:p>
    <w:p w:rsidR="00B74DBC" w:rsidRPr="0061048D" w:rsidRDefault="00B74DBC" w:rsidP="00B74DBC">
      <w:pPr>
        <w:pStyle w:val="ListParagraph"/>
        <w:rPr>
          <w:rFonts w:ascii="Arial" w:hAnsi="Arial" w:cs="Arial"/>
          <w:sz w:val="24"/>
          <w:szCs w:val="24"/>
        </w:rPr>
      </w:pPr>
      <w:r w:rsidRPr="0061048D">
        <w:rPr>
          <w:rFonts w:ascii="Arial" w:hAnsi="Arial" w:cs="Arial"/>
          <w:sz w:val="24"/>
          <w:szCs w:val="24"/>
        </w:rPr>
        <w:t>Should this become a TUPE transfer, the legal obligations for Illuminate would be as follows:</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As the ‘current’ employer, Illuminate would need to consult with FEW informing them of the fact that a transfer will be happening as well as:</w:t>
      </w:r>
    </w:p>
    <w:p w:rsidR="00505633" w:rsidRPr="0061048D" w:rsidRDefault="00505633" w:rsidP="00505633">
      <w:pPr>
        <w:numPr>
          <w:ilvl w:val="0"/>
          <w:numId w:val="9"/>
        </w:numPr>
        <w:contextualSpacing/>
        <w:rPr>
          <w:rFonts w:ascii="Arial" w:hAnsi="Arial" w:cs="Arial"/>
          <w:sz w:val="24"/>
          <w:szCs w:val="24"/>
        </w:rPr>
      </w:pPr>
      <w:r w:rsidRPr="0061048D">
        <w:rPr>
          <w:rFonts w:ascii="Arial" w:hAnsi="Arial" w:cs="Arial"/>
          <w:sz w:val="24"/>
          <w:szCs w:val="24"/>
        </w:rPr>
        <w:t>An estimation of when the change will be happening</w:t>
      </w:r>
    </w:p>
    <w:p w:rsidR="00505633" w:rsidRPr="0061048D" w:rsidRDefault="00505633" w:rsidP="00505633">
      <w:pPr>
        <w:numPr>
          <w:ilvl w:val="0"/>
          <w:numId w:val="9"/>
        </w:numPr>
        <w:contextualSpacing/>
        <w:rPr>
          <w:rFonts w:ascii="Arial" w:hAnsi="Arial" w:cs="Arial"/>
          <w:sz w:val="24"/>
          <w:szCs w:val="24"/>
        </w:rPr>
      </w:pPr>
      <w:r w:rsidRPr="0061048D">
        <w:rPr>
          <w:rFonts w:ascii="Arial" w:hAnsi="Arial" w:cs="Arial"/>
          <w:sz w:val="24"/>
          <w:szCs w:val="24"/>
        </w:rPr>
        <w:t>Reasons for the change</w:t>
      </w:r>
    </w:p>
    <w:p w:rsidR="00505633" w:rsidRPr="0061048D" w:rsidRDefault="00505633" w:rsidP="00505633">
      <w:pPr>
        <w:numPr>
          <w:ilvl w:val="0"/>
          <w:numId w:val="9"/>
        </w:numPr>
        <w:contextualSpacing/>
        <w:rPr>
          <w:rFonts w:ascii="Arial" w:hAnsi="Arial" w:cs="Arial"/>
          <w:sz w:val="24"/>
          <w:szCs w:val="24"/>
        </w:rPr>
      </w:pPr>
      <w:r w:rsidRPr="0061048D">
        <w:rPr>
          <w:rFonts w:ascii="Arial" w:hAnsi="Arial" w:cs="Arial"/>
          <w:sz w:val="24"/>
          <w:szCs w:val="24"/>
        </w:rPr>
        <w:t>‘’The legal, social and economic implications for the affected employees’’</w:t>
      </w:r>
    </w:p>
    <w:p w:rsidR="00505633" w:rsidRPr="0061048D" w:rsidRDefault="00505633" w:rsidP="00505633">
      <w:pPr>
        <w:numPr>
          <w:ilvl w:val="0"/>
          <w:numId w:val="9"/>
        </w:numPr>
        <w:contextualSpacing/>
        <w:rPr>
          <w:rFonts w:ascii="Arial" w:hAnsi="Arial" w:cs="Arial"/>
          <w:sz w:val="24"/>
          <w:szCs w:val="24"/>
        </w:rPr>
      </w:pPr>
      <w:r w:rsidRPr="0061048D">
        <w:rPr>
          <w:rFonts w:ascii="Arial" w:hAnsi="Arial" w:cs="Arial"/>
          <w:sz w:val="24"/>
          <w:szCs w:val="24"/>
        </w:rPr>
        <w:lastRenderedPageBreak/>
        <w:t>Whether BBL are intending on changing any of the T&amp;C’s (acas, no date).</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Workers affected by the transfer would need to be consulted, although there is no specific amount of time for the consultation period (CIPD, 2021) (such as would be the case in dismissals) as the contract will not be ‘ended’ (acas, no date).</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 xml:space="preserve">Despite this, the notice period should still be given ‘’in good time’’ to give ample time for the consultation period to take place (Wooller, no date), unlike what happened with ‘Cable Realisations Ltd v GMB Northern’ (2010). </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Failure to consult already explained under ‘legal obligations – BBL’.</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 xml:space="preserve">Before a final decision has been made to transfer, Illuminate would need to prove that discussions had taken place with employees with regards to any changes to contracts, which suggestions had been taken into consideration, as well as any </w:t>
      </w:r>
      <w:r w:rsidR="004F0A28" w:rsidRPr="0061048D">
        <w:rPr>
          <w:rFonts w:ascii="Arial" w:hAnsi="Arial" w:cs="Arial"/>
          <w:sz w:val="24"/>
          <w:szCs w:val="24"/>
        </w:rPr>
        <w:t xml:space="preserve">other </w:t>
      </w:r>
      <w:r w:rsidRPr="0061048D">
        <w:rPr>
          <w:rFonts w:ascii="Arial" w:hAnsi="Arial" w:cs="Arial"/>
          <w:sz w:val="24"/>
          <w:szCs w:val="24"/>
        </w:rPr>
        <w:t>agreements</w:t>
      </w:r>
      <w:r w:rsidR="004F0A28" w:rsidRPr="0061048D">
        <w:rPr>
          <w:rFonts w:ascii="Arial" w:hAnsi="Arial" w:cs="Arial"/>
          <w:sz w:val="24"/>
          <w:szCs w:val="24"/>
        </w:rPr>
        <w:t xml:space="preserve"> that</w:t>
      </w:r>
      <w:r w:rsidRPr="0061048D">
        <w:rPr>
          <w:rFonts w:ascii="Arial" w:hAnsi="Arial" w:cs="Arial"/>
          <w:sz w:val="24"/>
          <w:szCs w:val="24"/>
        </w:rPr>
        <w:t xml:space="preserve"> being reached (acas, no date).  </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If an agreement cannot be reached Illuminate would need to provide, in writing, ‘’the business reasons’’ why those suggestions cannot be considered (acas, no date).</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 xml:space="preserve">Ensuring that employees </w:t>
      </w:r>
      <w:r w:rsidR="00CE66BA" w:rsidRPr="0061048D">
        <w:rPr>
          <w:rFonts w:ascii="Arial" w:hAnsi="Arial" w:cs="Arial"/>
          <w:sz w:val="24"/>
          <w:szCs w:val="24"/>
        </w:rPr>
        <w:t>affected</w:t>
      </w:r>
      <w:r w:rsidRPr="0061048D">
        <w:rPr>
          <w:rFonts w:ascii="Arial" w:hAnsi="Arial" w:cs="Arial"/>
          <w:sz w:val="24"/>
          <w:szCs w:val="24"/>
        </w:rPr>
        <w:t xml:space="preserve"> are given all the relevant information would ensure that they cannot make a claim against BBL for reasons that they did not know the identity of the ‘transferee’</w:t>
      </w:r>
      <w:r w:rsidR="00CE66BA" w:rsidRPr="0061048D">
        <w:rPr>
          <w:rFonts w:ascii="Arial" w:hAnsi="Arial" w:cs="Arial"/>
          <w:sz w:val="24"/>
          <w:szCs w:val="24"/>
        </w:rPr>
        <w:t>,</w:t>
      </w:r>
      <w:r w:rsidRPr="0061048D">
        <w:rPr>
          <w:rFonts w:ascii="Arial" w:hAnsi="Arial" w:cs="Arial"/>
          <w:sz w:val="24"/>
          <w:szCs w:val="24"/>
        </w:rPr>
        <w:t xml:space="preserve"> as was the case for ‘New ISG Ltd v Vernon and others’ (2007).</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 xml:space="preserve">Illuminate must provide BBL with specific information about transferees (known as ‘employee liability information (ELI)) ‘’at least 28 days’’ before the transfer takes place (acas, no date). </w:t>
      </w:r>
    </w:p>
    <w:p w:rsidR="00505633" w:rsidRPr="0061048D" w:rsidRDefault="00505633" w:rsidP="00505633">
      <w:pPr>
        <w:numPr>
          <w:ilvl w:val="0"/>
          <w:numId w:val="8"/>
        </w:numPr>
        <w:contextualSpacing/>
        <w:rPr>
          <w:rFonts w:ascii="Arial" w:hAnsi="Arial" w:cs="Arial"/>
          <w:sz w:val="24"/>
          <w:szCs w:val="24"/>
        </w:rPr>
      </w:pPr>
      <w:r w:rsidRPr="0061048D">
        <w:rPr>
          <w:rFonts w:ascii="Arial" w:hAnsi="Arial" w:cs="Arial"/>
          <w:sz w:val="24"/>
          <w:szCs w:val="24"/>
        </w:rPr>
        <w:t>ELI includes:</w:t>
      </w:r>
    </w:p>
    <w:p w:rsidR="00505633" w:rsidRPr="0061048D" w:rsidRDefault="00505633" w:rsidP="00505633">
      <w:pPr>
        <w:numPr>
          <w:ilvl w:val="0"/>
          <w:numId w:val="10"/>
        </w:numPr>
        <w:contextualSpacing/>
        <w:rPr>
          <w:rFonts w:ascii="Arial" w:hAnsi="Arial" w:cs="Arial"/>
          <w:sz w:val="24"/>
          <w:szCs w:val="24"/>
        </w:rPr>
      </w:pPr>
      <w:r w:rsidRPr="0061048D">
        <w:rPr>
          <w:rFonts w:ascii="Arial" w:hAnsi="Arial" w:cs="Arial"/>
          <w:sz w:val="24"/>
          <w:szCs w:val="24"/>
        </w:rPr>
        <w:t>Identity of transferee</w:t>
      </w:r>
    </w:p>
    <w:p w:rsidR="00505633" w:rsidRPr="0061048D" w:rsidRDefault="00505633" w:rsidP="00505633">
      <w:pPr>
        <w:numPr>
          <w:ilvl w:val="0"/>
          <w:numId w:val="10"/>
        </w:numPr>
        <w:contextualSpacing/>
        <w:rPr>
          <w:rFonts w:ascii="Arial" w:hAnsi="Arial" w:cs="Arial"/>
          <w:sz w:val="24"/>
          <w:szCs w:val="24"/>
        </w:rPr>
      </w:pPr>
      <w:r w:rsidRPr="0061048D">
        <w:rPr>
          <w:rFonts w:ascii="Arial" w:hAnsi="Arial" w:cs="Arial"/>
          <w:sz w:val="24"/>
          <w:szCs w:val="24"/>
        </w:rPr>
        <w:lastRenderedPageBreak/>
        <w:t>Their age</w:t>
      </w:r>
    </w:p>
    <w:p w:rsidR="00505633" w:rsidRPr="0061048D" w:rsidRDefault="00505633" w:rsidP="00505633">
      <w:pPr>
        <w:numPr>
          <w:ilvl w:val="0"/>
          <w:numId w:val="10"/>
        </w:numPr>
        <w:contextualSpacing/>
        <w:rPr>
          <w:rFonts w:ascii="Arial" w:hAnsi="Arial" w:cs="Arial"/>
          <w:sz w:val="24"/>
          <w:szCs w:val="24"/>
        </w:rPr>
      </w:pPr>
      <w:r w:rsidRPr="0061048D">
        <w:rPr>
          <w:rFonts w:ascii="Arial" w:hAnsi="Arial" w:cs="Arial"/>
          <w:sz w:val="24"/>
          <w:szCs w:val="24"/>
        </w:rPr>
        <w:t>T&amp;C’s of their employment</w:t>
      </w:r>
    </w:p>
    <w:p w:rsidR="00505633" w:rsidRPr="0061048D" w:rsidRDefault="00505633" w:rsidP="00505633">
      <w:pPr>
        <w:numPr>
          <w:ilvl w:val="0"/>
          <w:numId w:val="10"/>
        </w:numPr>
        <w:contextualSpacing/>
        <w:rPr>
          <w:rFonts w:ascii="Arial" w:hAnsi="Arial" w:cs="Arial"/>
          <w:sz w:val="24"/>
          <w:szCs w:val="24"/>
        </w:rPr>
      </w:pPr>
      <w:r w:rsidRPr="0061048D">
        <w:rPr>
          <w:rFonts w:ascii="Arial" w:hAnsi="Arial" w:cs="Arial"/>
          <w:sz w:val="24"/>
          <w:szCs w:val="24"/>
        </w:rPr>
        <w:t>‘’Any active disciplinary and grievance records, or ongoing cases, from the last 2 years’’</w:t>
      </w:r>
    </w:p>
    <w:p w:rsidR="00505633" w:rsidRPr="0061048D" w:rsidRDefault="00505633" w:rsidP="00505633">
      <w:pPr>
        <w:numPr>
          <w:ilvl w:val="0"/>
          <w:numId w:val="10"/>
        </w:numPr>
        <w:contextualSpacing/>
        <w:rPr>
          <w:rFonts w:ascii="Arial" w:hAnsi="Arial" w:cs="Arial"/>
          <w:sz w:val="24"/>
          <w:szCs w:val="24"/>
        </w:rPr>
      </w:pPr>
      <w:r w:rsidRPr="0061048D">
        <w:rPr>
          <w:rFonts w:ascii="Arial" w:hAnsi="Arial" w:cs="Arial"/>
          <w:sz w:val="24"/>
          <w:szCs w:val="24"/>
        </w:rPr>
        <w:t>Any ‘collective agreements’ between Illuminate and a trade union</w:t>
      </w:r>
    </w:p>
    <w:p w:rsidR="00FA3565" w:rsidRPr="00C93355" w:rsidRDefault="00505633" w:rsidP="00C93355">
      <w:pPr>
        <w:numPr>
          <w:ilvl w:val="0"/>
          <w:numId w:val="10"/>
        </w:numPr>
        <w:contextualSpacing/>
        <w:rPr>
          <w:rFonts w:ascii="Arial" w:hAnsi="Arial" w:cs="Arial"/>
          <w:sz w:val="24"/>
          <w:szCs w:val="24"/>
        </w:rPr>
      </w:pPr>
      <w:r w:rsidRPr="0061048D">
        <w:rPr>
          <w:rFonts w:ascii="Arial" w:hAnsi="Arial" w:cs="Arial"/>
          <w:sz w:val="24"/>
          <w:szCs w:val="24"/>
        </w:rPr>
        <w:t xml:space="preserve">Whether claims have been made against Illuminate in the last 2 years or whether that’s likely to happen following the transfer (acas, no date). </w:t>
      </w:r>
    </w:p>
    <w:p w:rsidR="00FA3565" w:rsidRPr="0061048D" w:rsidRDefault="00FA3565" w:rsidP="00FA3565">
      <w:pPr>
        <w:contextualSpacing/>
        <w:rPr>
          <w:rFonts w:ascii="Arial" w:hAnsi="Arial" w:cs="Arial"/>
          <w:sz w:val="24"/>
          <w:szCs w:val="24"/>
        </w:rPr>
      </w:pPr>
    </w:p>
    <w:p w:rsidR="00FA3565" w:rsidRPr="0061048D" w:rsidRDefault="00FA3565" w:rsidP="00BF02C1">
      <w:pPr>
        <w:ind w:left="567" w:hanging="141"/>
        <w:rPr>
          <w:rFonts w:ascii="Arial" w:hAnsi="Arial" w:cs="Arial"/>
          <w:b/>
          <w:sz w:val="24"/>
          <w:szCs w:val="24"/>
          <w:u w:val="single"/>
        </w:rPr>
      </w:pPr>
      <w:r w:rsidRPr="0061048D">
        <w:rPr>
          <w:rFonts w:ascii="Arial" w:hAnsi="Arial" w:cs="Arial"/>
          <w:sz w:val="24"/>
          <w:szCs w:val="24"/>
        </w:rPr>
        <w:t xml:space="preserve">4. </w:t>
      </w:r>
      <w:r w:rsidRPr="0061048D">
        <w:rPr>
          <w:rFonts w:ascii="Arial" w:hAnsi="Arial" w:cs="Arial"/>
          <w:b/>
          <w:sz w:val="24"/>
          <w:szCs w:val="24"/>
          <w:u w:val="single"/>
        </w:rPr>
        <w:t>Redundancy – selection issues</w:t>
      </w:r>
    </w:p>
    <w:p w:rsidR="00FA3565" w:rsidRPr="0061048D" w:rsidRDefault="00BF02C1" w:rsidP="00BF02C1">
      <w:pPr>
        <w:ind w:left="567" w:hanging="141"/>
        <w:rPr>
          <w:rFonts w:ascii="Arial" w:hAnsi="Arial" w:cs="Arial"/>
          <w:sz w:val="24"/>
          <w:szCs w:val="24"/>
        </w:rPr>
      </w:pPr>
      <w:r w:rsidRPr="0061048D">
        <w:rPr>
          <w:rFonts w:ascii="Arial" w:hAnsi="Arial" w:cs="Arial"/>
          <w:sz w:val="24"/>
          <w:szCs w:val="24"/>
        </w:rPr>
        <w:t xml:space="preserve">  </w:t>
      </w:r>
      <w:r w:rsidR="00FA3565" w:rsidRPr="0061048D">
        <w:rPr>
          <w:rFonts w:ascii="Arial" w:hAnsi="Arial" w:cs="Arial"/>
          <w:sz w:val="24"/>
          <w:szCs w:val="24"/>
        </w:rPr>
        <w:t>Should a redundancy process take place here is my advice on the selection process:</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Firstly, and most importantly, all procedures relating to redundancies must be followed properly by BBL, which includes putting in place the ‘’appropriate selection pool that includes employees from both the transferred and pre-existing workforce’’ (CIPD, 2022).</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 xml:space="preserve">In order to protect employees previously contracted to Illuminate from being dismissed unfairly, the Regulations that encompass TUPE will view that redundancies ‘’except for certain prescribed reasons, will be automatically unfair’’ (Faulkner and O’Neill, no date). </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BBL would need to determine whether redundancies are as a result of an economic, technical or organisational reason (ETO), however this wouldn’t protect the company from accusations of unfairness (Faulkner and O’Neill, no date).</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lastRenderedPageBreak/>
        <w:t>Should BBL go ahead with IWU’s request to make redundancies on a ‘’last in, first out’’ basis, BBL could be faced with unfair dismissal claims by those employees transferred from Illuminate (Faulkner and O’Neill, no date).</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 xml:space="preserve">BBL would need to keep in mind the case of ‘Williams and others v Compair Maxam Ltd’ (1982) during the process, in that a pre-determined list of employees pushed for redundancy would not be possible (in this scenario the employees transferred from Illuminate), as this would more than likely result in an unfair dismissal case. </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 xml:space="preserve">BBL would need to create an ‘’appropriate selection pool’’ that would include ‘’employees from both the transferred and pre-existing workforce’’ (CIPD, 2022). It is essential that the selection criteria is applied in a ‘’fair and non-discriminatory’’ manner whilst also avoiding ‘’ methods that give their pre-existing workforce an unfair advantage’’ (CIPD, 2022). </w:t>
      </w:r>
    </w:p>
    <w:p w:rsidR="00FA3565" w:rsidRPr="0061048D"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Consultation with IWU and employee representatives over how redundancies will be decided ‘’can help reduce perceived bias’’ (CIPD, 2022).</w:t>
      </w:r>
    </w:p>
    <w:p w:rsidR="00FA3565" w:rsidRDefault="00FA3565" w:rsidP="00FA3565">
      <w:pPr>
        <w:pStyle w:val="ListParagraph"/>
        <w:numPr>
          <w:ilvl w:val="0"/>
          <w:numId w:val="11"/>
        </w:numPr>
        <w:rPr>
          <w:rFonts w:ascii="Arial" w:hAnsi="Arial" w:cs="Arial"/>
          <w:sz w:val="24"/>
          <w:szCs w:val="24"/>
        </w:rPr>
      </w:pPr>
      <w:r w:rsidRPr="0061048D">
        <w:rPr>
          <w:rFonts w:ascii="Arial" w:hAnsi="Arial" w:cs="Arial"/>
          <w:sz w:val="24"/>
          <w:szCs w:val="24"/>
        </w:rPr>
        <w:t>Undertaking a redundancy process using the ‘last in, first out’ (LIFO) model ‘’indirectly discriminates on the grounds of both sex and age and therefore needs to be objectively justified’’ as highlighted by Lewis and Sargeant (2019, p. 405).</w:t>
      </w:r>
    </w:p>
    <w:p w:rsidR="00C93355" w:rsidRPr="00C93355" w:rsidRDefault="00C93355" w:rsidP="00C93355">
      <w:pPr>
        <w:pStyle w:val="ListParagraph"/>
        <w:rPr>
          <w:rFonts w:ascii="Arial" w:hAnsi="Arial" w:cs="Arial"/>
          <w:sz w:val="24"/>
          <w:szCs w:val="24"/>
        </w:rPr>
      </w:pPr>
    </w:p>
    <w:p w:rsidR="00FA3565" w:rsidRPr="0061048D" w:rsidRDefault="00FA3565" w:rsidP="00BF02C1">
      <w:pPr>
        <w:ind w:left="284" w:firstLine="142"/>
        <w:rPr>
          <w:rFonts w:ascii="Arial" w:hAnsi="Arial" w:cs="Arial"/>
          <w:b/>
          <w:sz w:val="24"/>
          <w:szCs w:val="24"/>
          <w:u w:val="single"/>
        </w:rPr>
      </w:pPr>
      <w:r w:rsidRPr="0061048D">
        <w:rPr>
          <w:rFonts w:ascii="Arial" w:hAnsi="Arial" w:cs="Arial"/>
          <w:sz w:val="24"/>
          <w:szCs w:val="24"/>
        </w:rPr>
        <w:t xml:space="preserve">5. </w:t>
      </w:r>
      <w:r w:rsidRPr="0061048D">
        <w:rPr>
          <w:rFonts w:ascii="Arial" w:hAnsi="Arial" w:cs="Arial"/>
          <w:b/>
          <w:sz w:val="24"/>
          <w:szCs w:val="24"/>
          <w:u w:val="single"/>
        </w:rPr>
        <w:t>Redundancies – Legally compliant process</w:t>
      </w:r>
    </w:p>
    <w:p w:rsidR="00FA3565" w:rsidRPr="0061048D" w:rsidRDefault="00FA3565" w:rsidP="00BF02C1">
      <w:pPr>
        <w:ind w:left="426"/>
        <w:rPr>
          <w:rFonts w:ascii="Arial" w:hAnsi="Arial" w:cs="Arial"/>
          <w:sz w:val="24"/>
          <w:szCs w:val="24"/>
        </w:rPr>
      </w:pPr>
      <w:r w:rsidRPr="0061048D">
        <w:rPr>
          <w:rFonts w:ascii="Arial" w:hAnsi="Arial" w:cs="Arial"/>
          <w:sz w:val="24"/>
          <w:szCs w:val="24"/>
        </w:rPr>
        <w:t xml:space="preserve">Following the request for more information on how to move ahead with a fair and </w:t>
      </w:r>
      <w:r w:rsidR="00BF02C1" w:rsidRPr="0061048D">
        <w:rPr>
          <w:rFonts w:ascii="Arial" w:hAnsi="Arial" w:cs="Arial"/>
          <w:sz w:val="24"/>
          <w:szCs w:val="24"/>
        </w:rPr>
        <w:t xml:space="preserve">  </w:t>
      </w:r>
      <w:r w:rsidRPr="0061048D">
        <w:rPr>
          <w:rFonts w:ascii="Arial" w:hAnsi="Arial" w:cs="Arial"/>
          <w:sz w:val="24"/>
          <w:szCs w:val="24"/>
        </w:rPr>
        <w:t>legally compliant redundancy process, the following is what I advise:</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lastRenderedPageBreak/>
        <w:t>BBL would need to follow the usual redundancy procedure (if that is what is being proposed), which includes consultation with IWU or with employee representatives (CIPD, 2022).</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During consultation with IWU or with employee representatives, all facts must be laid out. These include:</w:t>
      </w:r>
    </w:p>
    <w:p w:rsidR="00FA3565" w:rsidRPr="0061048D" w:rsidRDefault="00FA3565" w:rsidP="00FA3565">
      <w:pPr>
        <w:pStyle w:val="ListParagraph"/>
        <w:numPr>
          <w:ilvl w:val="0"/>
          <w:numId w:val="13"/>
        </w:numPr>
        <w:rPr>
          <w:rFonts w:ascii="Arial" w:hAnsi="Arial" w:cs="Arial"/>
          <w:sz w:val="24"/>
          <w:szCs w:val="24"/>
        </w:rPr>
      </w:pPr>
      <w:r w:rsidRPr="0061048D">
        <w:rPr>
          <w:rFonts w:ascii="Arial" w:hAnsi="Arial" w:cs="Arial"/>
          <w:sz w:val="24"/>
          <w:szCs w:val="24"/>
        </w:rPr>
        <w:t>What other options other than redundancies have been considered (if any)</w:t>
      </w:r>
    </w:p>
    <w:p w:rsidR="00FA3565" w:rsidRPr="0061048D" w:rsidRDefault="00FA3565" w:rsidP="00FA3565">
      <w:pPr>
        <w:pStyle w:val="ListParagraph"/>
        <w:numPr>
          <w:ilvl w:val="0"/>
          <w:numId w:val="13"/>
        </w:numPr>
        <w:rPr>
          <w:rFonts w:ascii="Arial" w:hAnsi="Arial" w:cs="Arial"/>
          <w:sz w:val="24"/>
          <w:szCs w:val="24"/>
        </w:rPr>
      </w:pPr>
      <w:r w:rsidRPr="0061048D">
        <w:rPr>
          <w:rFonts w:ascii="Arial" w:hAnsi="Arial" w:cs="Arial"/>
          <w:sz w:val="24"/>
          <w:szCs w:val="24"/>
        </w:rPr>
        <w:t>The number of redundancies BBL are proposing</w:t>
      </w:r>
    </w:p>
    <w:p w:rsidR="00FA3565" w:rsidRPr="0061048D" w:rsidRDefault="00FA3565" w:rsidP="00FA3565">
      <w:pPr>
        <w:pStyle w:val="ListParagraph"/>
        <w:numPr>
          <w:ilvl w:val="0"/>
          <w:numId w:val="13"/>
        </w:numPr>
        <w:rPr>
          <w:rFonts w:ascii="Arial" w:hAnsi="Arial" w:cs="Arial"/>
          <w:sz w:val="24"/>
          <w:szCs w:val="24"/>
        </w:rPr>
      </w:pPr>
      <w:r w:rsidRPr="0061048D">
        <w:rPr>
          <w:rFonts w:ascii="Arial" w:hAnsi="Arial" w:cs="Arial"/>
          <w:sz w:val="24"/>
          <w:szCs w:val="24"/>
        </w:rPr>
        <w:t>How much time the consultation will take place</w:t>
      </w:r>
    </w:p>
    <w:p w:rsidR="00FA3565" w:rsidRPr="0061048D" w:rsidRDefault="00FA3565" w:rsidP="00FA3565">
      <w:pPr>
        <w:pStyle w:val="ListParagraph"/>
        <w:numPr>
          <w:ilvl w:val="0"/>
          <w:numId w:val="13"/>
        </w:numPr>
        <w:rPr>
          <w:rFonts w:ascii="Arial" w:hAnsi="Arial" w:cs="Arial"/>
          <w:sz w:val="24"/>
          <w:szCs w:val="24"/>
        </w:rPr>
      </w:pPr>
      <w:r w:rsidRPr="0061048D">
        <w:rPr>
          <w:rFonts w:ascii="Arial" w:hAnsi="Arial" w:cs="Arial"/>
          <w:sz w:val="24"/>
          <w:szCs w:val="24"/>
        </w:rPr>
        <w:t>Agree to a selection criteria (questionnaire that is scored by the redundancy panel) that is fair on all parties involved</w:t>
      </w:r>
    </w:p>
    <w:p w:rsidR="00FA3565" w:rsidRPr="0061048D" w:rsidRDefault="00FA3565" w:rsidP="00FA3565">
      <w:pPr>
        <w:pStyle w:val="ListParagraph"/>
        <w:numPr>
          <w:ilvl w:val="0"/>
          <w:numId w:val="13"/>
        </w:numPr>
        <w:rPr>
          <w:rFonts w:ascii="Arial" w:hAnsi="Arial" w:cs="Arial"/>
          <w:sz w:val="24"/>
          <w:szCs w:val="24"/>
        </w:rPr>
      </w:pPr>
      <w:r w:rsidRPr="0061048D">
        <w:rPr>
          <w:rFonts w:ascii="Arial" w:hAnsi="Arial" w:cs="Arial"/>
          <w:sz w:val="24"/>
          <w:szCs w:val="24"/>
        </w:rPr>
        <w:t>The appeals process (acas, no date).</w:t>
      </w:r>
    </w:p>
    <w:p w:rsidR="00FA3565" w:rsidRPr="0061048D" w:rsidRDefault="00FA3565" w:rsidP="00FA3565">
      <w:pPr>
        <w:pStyle w:val="ListParagraph"/>
        <w:numPr>
          <w:ilvl w:val="0"/>
          <w:numId w:val="17"/>
        </w:numPr>
        <w:rPr>
          <w:rFonts w:ascii="Arial" w:hAnsi="Arial" w:cs="Arial"/>
          <w:sz w:val="24"/>
          <w:szCs w:val="24"/>
        </w:rPr>
      </w:pPr>
      <w:r w:rsidRPr="0061048D">
        <w:rPr>
          <w:rFonts w:ascii="Arial" w:hAnsi="Arial" w:cs="Arial"/>
          <w:sz w:val="24"/>
          <w:szCs w:val="24"/>
        </w:rPr>
        <w:t xml:space="preserve">As BBL are looking to make more than 20 employees redundant there would need to be ‘’at least 30 days before the notification of redundancies for dismissals’’ (CIPD, 2021). </w:t>
      </w:r>
    </w:p>
    <w:p w:rsidR="00FA3565" w:rsidRPr="0061048D" w:rsidRDefault="00FA3565" w:rsidP="00FA3565">
      <w:pPr>
        <w:pStyle w:val="ListParagraph"/>
        <w:numPr>
          <w:ilvl w:val="0"/>
          <w:numId w:val="16"/>
        </w:numPr>
        <w:rPr>
          <w:rFonts w:ascii="Arial" w:hAnsi="Arial" w:cs="Arial"/>
          <w:sz w:val="24"/>
          <w:szCs w:val="24"/>
        </w:rPr>
      </w:pPr>
      <w:r w:rsidRPr="0061048D">
        <w:rPr>
          <w:rFonts w:ascii="Arial" w:hAnsi="Arial" w:cs="Arial"/>
          <w:sz w:val="24"/>
          <w:szCs w:val="24"/>
        </w:rPr>
        <w:t xml:space="preserve">By consulting with IWU/employee representatives, BBL would be protected following redundancies should staff claim unfair dismissal due to lack of consultation as is highlighted in the case of ‘Mugford v Midland Bank Plc’ (1997). </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 xml:space="preserve">BBL should inform </w:t>
      </w:r>
      <w:r w:rsidRPr="0061048D">
        <w:rPr>
          <w:rFonts w:ascii="Arial" w:hAnsi="Arial" w:cs="Arial"/>
          <w:sz w:val="24"/>
          <w:szCs w:val="24"/>
          <w:u w:val="single"/>
        </w:rPr>
        <w:t>all</w:t>
      </w:r>
      <w:r w:rsidRPr="0061048D">
        <w:rPr>
          <w:rFonts w:ascii="Arial" w:hAnsi="Arial" w:cs="Arial"/>
          <w:sz w:val="24"/>
          <w:szCs w:val="24"/>
        </w:rPr>
        <w:t xml:space="preserve"> employees affected by the risk of redundancy </w:t>
      </w:r>
      <w:r w:rsidRPr="0061048D">
        <w:rPr>
          <w:rFonts w:ascii="Arial" w:hAnsi="Arial" w:cs="Arial"/>
          <w:sz w:val="24"/>
          <w:szCs w:val="24"/>
          <w:u w:val="single"/>
        </w:rPr>
        <w:t>as soon as possible</w:t>
      </w:r>
      <w:r w:rsidRPr="0061048D">
        <w:rPr>
          <w:rFonts w:ascii="Arial" w:hAnsi="Arial" w:cs="Arial"/>
          <w:sz w:val="24"/>
          <w:szCs w:val="24"/>
        </w:rPr>
        <w:t xml:space="preserve"> (acas, no date).</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A meeting would need to be held explaining:</w:t>
      </w:r>
    </w:p>
    <w:p w:rsidR="00FA3565" w:rsidRPr="0061048D" w:rsidRDefault="00FA3565" w:rsidP="00FA3565">
      <w:pPr>
        <w:pStyle w:val="ListParagraph"/>
        <w:numPr>
          <w:ilvl w:val="0"/>
          <w:numId w:val="14"/>
        </w:numPr>
        <w:rPr>
          <w:rFonts w:ascii="Arial" w:hAnsi="Arial" w:cs="Arial"/>
          <w:sz w:val="24"/>
          <w:szCs w:val="24"/>
        </w:rPr>
      </w:pPr>
      <w:r w:rsidRPr="0061048D">
        <w:rPr>
          <w:rFonts w:ascii="Arial" w:hAnsi="Arial" w:cs="Arial"/>
          <w:sz w:val="24"/>
          <w:szCs w:val="24"/>
        </w:rPr>
        <w:t>Why redundancies are being considered</w:t>
      </w:r>
    </w:p>
    <w:p w:rsidR="00FA3565" w:rsidRPr="0061048D" w:rsidRDefault="00FA3565" w:rsidP="00FA3565">
      <w:pPr>
        <w:pStyle w:val="ListParagraph"/>
        <w:numPr>
          <w:ilvl w:val="0"/>
          <w:numId w:val="14"/>
        </w:numPr>
        <w:rPr>
          <w:rFonts w:ascii="Arial" w:hAnsi="Arial" w:cs="Arial"/>
          <w:sz w:val="24"/>
          <w:szCs w:val="24"/>
        </w:rPr>
      </w:pPr>
      <w:r w:rsidRPr="0061048D">
        <w:rPr>
          <w:rFonts w:ascii="Arial" w:hAnsi="Arial" w:cs="Arial"/>
          <w:sz w:val="24"/>
          <w:szCs w:val="24"/>
        </w:rPr>
        <w:t>How many redundancies are being proposed</w:t>
      </w:r>
    </w:p>
    <w:p w:rsidR="00FA3565" w:rsidRPr="0061048D" w:rsidRDefault="00FA3565" w:rsidP="00FA3565">
      <w:pPr>
        <w:pStyle w:val="ListParagraph"/>
        <w:numPr>
          <w:ilvl w:val="0"/>
          <w:numId w:val="14"/>
        </w:numPr>
        <w:rPr>
          <w:rFonts w:ascii="Arial" w:hAnsi="Arial" w:cs="Arial"/>
          <w:sz w:val="24"/>
          <w:szCs w:val="24"/>
        </w:rPr>
      </w:pPr>
      <w:r w:rsidRPr="0061048D">
        <w:rPr>
          <w:rFonts w:ascii="Arial" w:hAnsi="Arial" w:cs="Arial"/>
          <w:sz w:val="24"/>
          <w:szCs w:val="24"/>
        </w:rPr>
        <w:t>The next steps and how all employees are to be consulted (acas, no date).</w:t>
      </w:r>
    </w:p>
    <w:p w:rsidR="00FA3565" w:rsidRPr="0061048D" w:rsidRDefault="00FA3565" w:rsidP="00FA3565">
      <w:pPr>
        <w:pStyle w:val="ListParagraph"/>
        <w:numPr>
          <w:ilvl w:val="0"/>
          <w:numId w:val="15"/>
        </w:numPr>
        <w:rPr>
          <w:rFonts w:ascii="Arial" w:hAnsi="Arial" w:cs="Arial"/>
          <w:sz w:val="24"/>
          <w:szCs w:val="24"/>
        </w:rPr>
      </w:pPr>
      <w:r w:rsidRPr="0061048D">
        <w:rPr>
          <w:rFonts w:ascii="Arial" w:hAnsi="Arial" w:cs="Arial"/>
          <w:sz w:val="24"/>
          <w:szCs w:val="24"/>
        </w:rPr>
        <w:lastRenderedPageBreak/>
        <w:t xml:space="preserve">During the consultation period all employees will be able to ask questions or make suggestions as to how redundancies can be avoided. All questions or comments will be answered fairly by management in conjunction with a HR representative. </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Should BBL have capacity to offer employees under threat of redundancy alternative employment within the business, this option, as stated by Lewis and Sargeant (2019, p. 400) should be given to those affected.</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BBL should look to seek voluntary redundancies before making any compulsory redundancies (CIPD, 2021).</w:t>
      </w:r>
    </w:p>
    <w:p w:rsidR="00FA3565" w:rsidRPr="0061048D"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 xml:space="preserve">Selection pools for </w:t>
      </w:r>
      <w:r w:rsidRPr="0061048D">
        <w:rPr>
          <w:rFonts w:ascii="Arial" w:hAnsi="Arial" w:cs="Arial"/>
          <w:sz w:val="24"/>
          <w:szCs w:val="24"/>
          <w:u w:val="single"/>
        </w:rPr>
        <w:t>all</w:t>
      </w:r>
      <w:r w:rsidRPr="0061048D">
        <w:rPr>
          <w:rFonts w:ascii="Arial" w:hAnsi="Arial" w:cs="Arial"/>
          <w:sz w:val="24"/>
          <w:szCs w:val="24"/>
        </w:rPr>
        <w:t xml:space="preserve"> potentially affected employees would need to be put in place, as well as a fair and transparent selection criteria. The criteria ‘’should be as 'objective' and 'measurable' as possible’’ (acas, no date).</w:t>
      </w:r>
    </w:p>
    <w:p w:rsidR="00FA3565" w:rsidRDefault="00FA3565" w:rsidP="00FA3565">
      <w:pPr>
        <w:pStyle w:val="ListParagraph"/>
        <w:numPr>
          <w:ilvl w:val="0"/>
          <w:numId w:val="12"/>
        </w:numPr>
        <w:rPr>
          <w:rFonts w:ascii="Arial" w:hAnsi="Arial" w:cs="Arial"/>
          <w:sz w:val="24"/>
          <w:szCs w:val="24"/>
        </w:rPr>
      </w:pPr>
      <w:r w:rsidRPr="0061048D">
        <w:rPr>
          <w:rFonts w:ascii="Arial" w:hAnsi="Arial" w:cs="Arial"/>
          <w:sz w:val="24"/>
          <w:szCs w:val="24"/>
        </w:rPr>
        <w:t>Appeals – employees selected to be made redundant would be able to appeal against the decision, with BBL needing to consider any comments made. BBL would need to decide whether to continue with those redundancies by giving ‘’the statutory minimum notice or the contractual notice, whichever is the greater’’ (CIPD, 2021).</w:t>
      </w:r>
    </w:p>
    <w:p w:rsidR="0061048D" w:rsidRPr="0061048D" w:rsidRDefault="0061048D" w:rsidP="0061048D">
      <w:pPr>
        <w:pStyle w:val="ListParagraph"/>
        <w:rPr>
          <w:rFonts w:ascii="Arial" w:hAnsi="Arial" w:cs="Arial"/>
          <w:sz w:val="24"/>
          <w:szCs w:val="24"/>
        </w:rPr>
      </w:pPr>
    </w:p>
    <w:p w:rsidR="002A296E" w:rsidRPr="0061048D" w:rsidRDefault="002A296E" w:rsidP="00BF02C1">
      <w:pPr>
        <w:ind w:left="426"/>
        <w:rPr>
          <w:rFonts w:ascii="Arial" w:hAnsi="Arial" w:cs="Arial"/>
          <w:b/>
          <w:sz w:val="24"/>
          <w:szCs w:val="24"/>
          <w:u w:val="single"/>
        </w:rPr>
      </w:pPr>
      <w:r w:rsidRPr="0061048D">
        <w:rPr>
          <w:rFonts w:ascii="Arial" w:hAnsi="Arial" w:cs="Arial"/>
          <w:sz w:val="24"/>
          <w:szCs w:val="24"/>
        </w:rPr>
        <w:t xml:space="preserve">6. </w:t>
      </w:r>
      <w:r w:rsidRPr="0061048D">
        <w:rPr>
          <w:rFonts w:ascii="Arial" w:hAnsi="Arial" w:cs="Arial"/>
          <w:b/>
          <w:sz w:val="24"/>
          <w:szCs w:val="24"/>
          <w:u w:val="single"/>
        </w:rPr>
        <w:t>Change to T&amp;C’s</w:t>
      </w:r>
    </w:p>
    <w:p w:rsidR="002A296E" w:rsidRPr="0061048D" w:rsidRDefault="00BF02C1" w:rsidP="00C93355">
      <w:pPr>
        <w:spacing w:after="0"/>
        <w:ind w:left="426" w:hanging="142"/>
        <w:rPr>
          <w:rFonts w:ascii="Arial" w:hAnsi="Arial" w:cs="Arial"/>
          <w:sz w:val="24"/>
          <w:szCs w:val="24"/>
        </w:rPr>
      </w:pPr>
      <w:r w:rsidRPr="0061048D">
        <w:rPr>
          <w:rFonts w:ascii="Arial" w:hAnsi="Arial" w:cs="Arial"/>
          <w:sz w:val="24"/>
          <w:szCs w:val="24"/>
        </w:rPr>
        <w:t xml:space="preserve">  </w:t>
      </w:r>
      <w:r w:rsidR="002A296E" w:rsidRPr="0061048D">
        <w:rPr>
          <w:rFonts w:ascii="Arial" w:hAnsi="Arial" w:cs="Arial"/>
          <w:sz w:val="24"/>
          <w:szCs w:val="24"/>
        </w:rPr>
        <w:t>In relation to the question on making changes to the terms and conditions my advice is as follows:</w:t>
      </w:r>
    </w:p>
    <w:p w:rsidR="002A296E" w:rsidRPr="0061048D" w:rsidRDefault="002A296E" w:rsidP="002A296E">
      <w:pPr>
        <w:pStyle w:val="ListParagraph"/>
        <w:numPr>
          <w:ilvl w:val="0"/>
          <w:numId w:val="18"/>
        </w:numPr>
        <w:spacing w:after="0"/>
        <w:rPr>
          <w:rFonts w:ascii="Arial" w:hAnsi="Arial" w:cs="Arial"/>
          <w:sz w:val="24"/>
          <w:szCs w:val="24"/>
        </w:rPr>
      </w:pPr>
      <w:r w:rsidRPr="0061048D">
        <w:rPr>
          <w:rFonts w:ascii="Arial" w:hAnsi="Arial" w:cs="Arial"/>
          <w:sz w:val="24"/>
          <w:szCs w:val="24"/>
        </w:rPr>
        <w:t xml:space="preserve">Should BBL look to make changes to employee T&amp;C’s, all affected employees and their representatives would need to be informed (acas, 2021). </w:t>
      </w:r>
    </w:p>
    <w:p w:rsidR="002A296E" w:rsidRPr="0061048D" w:rsidRDefault="002A296E" w:rsidP="002A296E">
      <w:pPr>
        <w:pStyle w:val="ListParagraph"/>
        <w:numPr>
          <w:ilvl w:val="0"/>
          <w:numId w:val="18"/>
        </w:numPr>
        <w:spacing w:after="0"/>
        <w:rPr>
          <w:rFonts w:ascii="Arial" w:hAnsi="Arial" w:cs="Arial"/>
          <w:sz w:val="24"/>
          <w:szCs w:val="24"/>
        </w:rPr>
      </w:pPr>
      <w:r w:rsidRPr="0061048D">
        <w:rPr>
          <w:rFonts w:ascii="Arial" w:hAnsi="Arial" w:cs="Arial"/>
          <w:sz w:val="24"/>
          <w:szCs w:val="24"/>
        </w:rPr>
        <w:lastRenderedPageBreak/>
        <w:t xml:space="preserve">During consultation BBL would need to ‘’explain the proposed changes’’, discuss why they are to be made, what could happen if they aren’t made and give employees the chance to voice their opinions (CIPD, 2021). </w:t>
      </w:r>
    </w:p>
    <w:p w:rsidR="002A296E" w:rsidRPr="0061048D" w:rsidRDefault="002A296E" w:rsidP="002A296E">
      <w:pPr>
        <w:pStyle w:val="ListParagraph"/>
        <w:numPr>
          <w:ilvl w:val="0"/>
          <w:numId w:val="18"/>
        </w:numPr>
        <w:spacing w:after="0"/>
        <w:rPr>
          <w:rFonts w:ascii="Arial" w:hAnsi="Arial" w:cs="Arial"/>
          <w:sz w:val="24"/>
          <w:szCs w:val="24"/>
        </w:rPr>
      </w:pPr>
      <w:r w:rsidRPr="0061048D">
        <w:rPr>
          <w:rFonts w:ascii="Arial" w:hAnsi="Arial" w:cs="Arial"/>
          <w:sz w:val="24"/>
          <w:szCs w:val="24"/>
        </w:rPr>
        <w:t>Many risks would need to be considered when making changes, including:</w:t>
      </w:r>
    </w:p>
    <w:p w:rsidR="002A296E" w:rsidRPr="0061048D" w:rsidRDefault="002A296E" w:rsidP="002A296E">
      <w:pPr>
        <w:pStyle w:val="ListParagraph"/>
        <w:numPr>
          <w:ilvl w:val="0"/>
          <w:numId w:val="19"/>
        </w:numPr>
        <w:spacing w:after="0"/>
        <w:rPr>
          <w:rFonts w:ascii="Arial" w:hAnsi="Arial" w:cs="Arial"/>
          <w:sz w:val="24"/>
          <w:szCs w:val="24"/>
        </w:rPr>
      </w:pPr>
      <w:r w:rsidRPr="0061048D">
        <w:rPr>
          <w:rFonts w:ascii="Arial" w:hAnsi="Arial" w:cs="Arial"/>
          <w:sz w:val="24"/>
          <w:szCs w:val="24"/>
        </w:rPr>
        <w:t>‘’damaging working relations’’</w:t>
      </w:r>
    </w:p>
    <w:p w:rsidR="002A296E" w:rsidRPr="0061048D" w:rsidRDefault="002A296E" w:rsidP="002A296E">
      <w:pPr>
        <w:pStyle w:val="ListParagraph"/>
        <w:numPr>
          <w:ilvl w:val="0"/>
          <w:numId w:val="19"/>
        </w:numPr>
        <w:spacing w:after="0"/>
        <w:rPr>
          <w:rFonts w:ascii="Arial" w:hAnsi="Arial" w:cs="Arial"/>
          <w:sz w:val="24"/>
          <w:szCs w:val="24"/>
        </w:rPr>
      </w:pPr>
      <w:r w:rsidRPr="0061048D">
        <w:rPr>
          <w:rFonts w:ascii="Arial" w:hAnsi="Arial" w:cs="Arial"/>
          <w:sz w:val="24"/>
          <w:szCs w:val="24"/>
        </w:rPr>
        <w:t>accusations of constructive dismissals due to changes pushing staff out</w:t>
      </w:r>
    </w:p>
    <w:p w:rsidR="002A296E" w:rsidRPr="0061048D" w:rsidRDefault="002A296E" w:rsidP="002A296E">
      <w:pPr>
        <w:pStyle w:val="ListParagraph"/>
        <w:numPr>
          <w:ilvl w:val="0"/>
          <w:numId w:val="19"/>
        </w:numPr>
        <w:spacing w:after="0"/>
        <w:rPr>
          <w:rFonts w:ascii="Arial" w:hAnsi="Arial" w:cs="Arial"/>
          <w:sz w:val="24"/>
          <w:szCs w:val="24"/>
        </w:rPr>
      </w:pPr>
      <w:r w:rsidRPr="0061048D">
        <w:rPr>
          <w:rFonts w:ascii="Arial" w:hAnsi="Arial" w:cs="Arial"/>
          <w:sz w:val="24"/>
          <w:szCs w:val="24"/>
        </w:rPr>
        <w:t>increased absences</w:t>
      </w:r>
    </w:p>
    <w:p w:rsidR="002A296E" w:rsidRPr="0061048D" w:rsidRDefault="002A296E" w:rsidP="002A296E">
      <w:pPr>
        <w:pStyle w:val="ListParagraph"/>
        <w:numPr>
          <w:ilvl w:val="0"/>
          <w:numId w:val="19"/>
        </w:numPr>
        <w:spacing w:after="0"/>
        <w:rPr>
          <w:rFonts w:ascii="Arial" w:hAnsi="Arial" w:cs="Arial"/>
          <w:sz w:val="24"/>
          <w:szCs w:val="24"/>
        </w:rPr>
      </w:pPr>
      <w:r w:rsidRPr="0061048D">
        <w:rPr>
          <w:rFonts w:ascii="Arial" w:hAnsi="Arial" w:cs="Arial"/>
          <w:sz w:val="24"/>
          <w:szCs w:val="24"/>
        </w:rPr>
        <w:t>‘’decrease in commitment and performance</w:t>
      </w:r>
      <w:r w:rsidR="00CE66BA" w:rsidRPr="0061048D">
        <w:rPr>
          <w:rFonts w:ascii="Arial" w:hAnsi="Arial" w:cs="Arial"/>
          <w:sz w:val="24"/>
          <w:szCs w:val="24"/>
        </w:rPr>
        <w:t>’’</w:t>
      </w:r>
    </w:p>
    <w:p w:rsidR="002A296E" w:rsidRPr="0061048D" w:rsidRDefault="002A296E" w:rsidP="002A296E">
      <w:pPr>
        <w:pStyle w:val="ListParagraph"/>
        <w:numPr>
          <w:ilvl w:val="0"/>
          <w:numId w:val="19"/>
        </w:numPr>
        <w:spacing w:after="0"/>
        <w:rPr>
          <w:rFonts w:ascii="Arial" w:hAnsi="Arial" w:cs="Arial"/>
          <w:sz w:val="24"/>
          <w:szCs w:val="24"/>
        </w:rPr>
      </w:pPr>
      <w:r w:rsidRPr="0061048D">
        <w:rPr>
          <w:rFonts w:ascii="Arial" w:hAnsi="Arial" w:cs="Arial"/>
          <w:sz w:val="24"/>
          <w:szCs w:val="24"/>
        </w:rPr>
        <w:t>key staff leaving</w:t>
      </w:r>
    </w:p>
    <w:p w:rsidR="002A296E" w:rsidRPr="0061048D" w:rsidRDefault="002A296E" w:rsidP="002A296E">
      <w:pPr>
        <w:pStyle w:val="ListParagraph"/>
        <w:numPr>
          <w:ilvl w:val="0"/>
          <w:numId w:val="19"/>
        </w:numPr>
        <w:spacing w:after="0"/>
        <w:rPr>
          <w:rFonts w:ascii="Arial" w:hAnsi="Arial" w:cs="Arial"/>
          <w:sz w:val="24"/>
          <w:szCs w:val="24"/>
        </w:rPr>
      </w:pPr>
      <w:proofErr w:type="gramStart"/>
      <w:r w:rsidRPr="0061048D">
        <w:rPr>
          <w:rFonts w:ascii="Arial" w:hAnsi="Arial" w:cs="Arial"/>
          <w:sz w:val="24"/>
          <w:szCs w:val="24"/>
        </w:rPr>
        <w:t>reputational</w:t>
      </w:r>
      <w:proofErr w:type="gramEnd"/>
      <w:r w:rsidRPr="0061048D">
        <w:rPr>
          <w:rFonts w:ascii="Arial" w:hAnsi="Arial" w:cs="Arial"/>
          <w:sz w:val="24"/>
          <w:szCs w:val="24"/>
        </w:rPr>
        <w:t xml:space="preserve"> damage to the business (acas, 2021).</w:t>
      </w:r>
    </w:p>
    <w:p w:rsidR="002A296E" w:rsidRPr="0061048D" w:rsidRDefault="002A296E" w:rsidP="002A296E">
      <w:pPr>
        <w:pStyle w:val="ListParagraph"/>
        <w:numPr>
          <w:ilvl w:val="0"/>
          <w:numId w:val="20"/>
        </w:numPr>
        <w:spacing w:after="0"/>
        <w:rPr>
          <w:rFonts w:ascii="Arial" w:hAnsi="Arial" w:cs="Arial"/>
          <w:sz w:val="24"/>
          <w:szCs w:val="24"/>
        </w:rPr>
      </w:pPr>
      <w:r w:rsidRPr="0061048D">
        <w:rPr>
          <w:rFonts w:ascii="Arial" w:hAnsi="Arial" w:cs="Arial"/>
          <w:sz w:val="24"/>
          <w:szCs w:val="24"/>
        </w:rPr>
        <w:t>Ideally, employees would need to consent to any changes (in writing would be best) – they cannot be forced to do so, as stated by Maddocks (2018).</w:t>
      </w:r>
    </w:p>
    <w:p w:rsidR="002A296E" w:rsidRPr="0061048D" w:rsidRDefault="002A296E" w:rsidP="002A296E">
      <w:pPr>
        <w:pStyle w:val="ListParagraph"/>
        <w:numPr>
          <w:ilvl w:val="0"/>
          <w:numId w:val="20"/>
        </w:numPr>
        <w:spacing w:after="0"/>
        <w:rPr>
          <w:rFonts w:ascii="Arial" w:hAnsi="Arial" w:cs="Arial"/>
          <w:sz w:val="24"/>
          <w:szCs w:val="24"/>
        </w:rPr>
      </w:pPr>
      <w:r w:rsidRPr="0061048D">
        <w:rPr>
          <w:rFonts w:ascii="Arial" w:hAnsi="Arial" w:cs="Arial"/>
          <w:sz w:val="24"/>
          <w:szCs w:val="24"/>
        </w:rPr>
        <w:t xml:space="preserve">Requesting that employees relocate when required is possible, however it is difficult to enforce when a mobility clause isn’t already included in the contract (CIPD, 2021). Failure to consult and give enough notice could result in a constructive unfair dismissal claim, as was the case of ‘United Bank Ltd v Akhtar’ (1989). </w:t>
      </w:r>
    </w:p>
    <w:p w:rsidR="002A296E" w:rsidRPr="0061048D" w:rsidRDefault="002A296E" w:rsidP="002A296E">
      <w:pPr>
        <w:pStyle w:val="ListParagraph"/>
        <w:numPr>
          <w:ilvl w:val="0"/>
          <w:numId w:val="20"/>
        </w:numPr>
        <w:spacing w:after="0"/>
        <w:rPr>
          <w:rFonts w:ascii="Arial" w:hAnsi="Arial" w:cs="Arial"/>
          <w:sz w:val="24"/>
          <w:szCs w:val="24"/>
        </w:rPr>
      </w:pPr>
      <w:r w:rsidRPr="0061048D">
        <w:rPr>
          <w:rFonts w:ascii="Arial" w:hAnsi="Arial" w:cs="Arial"/>
          <w:sz w:val="24"/>
          <w:szCs w:val="24"/>
        </w:rPr>
        <w:t xml:space="preserve">Inclusion of a mobility clause in the contract could increase claims of ‘’indirect sex discrimination’’, as ‘’a greater proportion of women than men were secondary wage-earners’’ resulting in them being unable to relocate (CIPD, 2021). </w:t>
      </w:r>
    </w:p>
    <w:p w:rsidR="002A296E" w:rsidRPr="0061048D" w:rsidRDefault="002A296E" w:rsidP="002A296E">
      <w:pPr>
        <w:pStyle w:val="ListParagraph"/>
        <w:numPr>
          <w:ilvl w:val="0"/>
          <w:numId w:val="20"/>
        </w:numPr>
        <w:spacing w:after="0"/>
        <w:rPr>
          <w:rFonts w:ascii="Arial" w:hAnsi="Arial" w:cs="Arial"/>
          <w:sz w:val="24"/>
          <w:szCs w:val="24"/>
        </w:rPr>
      </w:pPr>
      <w:r w:rsidRPr="0061048D">
        <w:rPr>
          <w:rFonts w:ascii="Arial" w:hAnsi="Arial" w:cs="Arial"/>
          <w:sz w:val="24"/>
          <w:szCs w:val="24"/>
        </w:rPr>
        <w:t xml:space="preserve">Asking employees to move work location would need to be reasonable – i.e. consideration of distance between one location and another would need to be considered (GOV.UK, no date). </w:t>
      </w:r>
    </w:p>
    <w:p w:rsidR="002A296E" w:rsidRPr="0061048D" w:rsidRDefault="002A296E" w:rsidP="002A296E">
      <w:pPr>
        <w:pStyle w:val="ListParagraph"/>
        <w:numPr>
          <w:ilvl w:val="0"/>
          <w:numId w:val="20"/>
        </w:numPr>
        <w:spacing w:after="0"/>
        <w:rPr>
          <w:rFonts w:ascii="Arial" w:hAnsi="Arial" w:cs="Arial"/>
          <w:i/>
          <w:sz w:val="24"/>
          <w:szCs w:val="24"/>
        </w:rPr>
      </w:pPr>
      <w:r w:rsidRPr="0061048D">
        <w:rPr>
          <w:rFonts w:ascii="Arial" w:hAnsi="Arial" w:cs="Arial"/>
          <w:sz w:val="24"/>
          <w:szCs w:val="24"/>
        </w:rPr>
        <w:lastRenderedPageBreak/>
        <w:t>As stated in the article (</w:t>
      </w:r>
      <w:r w:rsidRPr="0061048D">
        <w:rPr>
          <w:rFonts w:ascii="Arial" w:hAnsi="Arial" w:cs="Arial"/>
          <w:i/>
          <w:sz w:val="24"/>
          <w:szCs w:val="24"/>
          <w:shd w:val="clear" w:color="auto" w:fill="FFFFFF"/>
        </w:rPr>
        <w:t xml:space="preserve">Drafting contracts of employment and restrictive covenants, </w:t>
      </w:r>
      <w:r w:rsidRPr="0061048D">
        <w:rPr>
          <w:rFonts w:ascii="Arial" w:hAnsi="Arial" w:cs="Arial"/>
          <w:sz w:val="24"/>
          <w:szCs w:val="24"/>
          <w:shd w:val="clear" w:color="auto" w:fill="FFFFFF"/>
        </w:rPr>
        <w:t xml:space="preserve">2002, pp. 32-36), BBL would need to think seriously and ‘’give careful thought to what degree of mobility will be required’’, whilst making sure that what is included in the clause is easily understandable. </w:t>
      </w:r>
    </w:p>
    <w:p w:rsidR="00FA3565" w:rsidRPr="0061048D" w:rsidRDefault="00FA3565" w:rsidP="00FA3565">
      <w:pPr>
        <w:rPr>
          <w:rFonts w:ascii="Arial" w:hAnsi="Arial" w:cs="Arial"/>
          <w:sz w:val="24"/>
          <w:szCs w:val="24"/>
        </w:rPr>
      </w:pPr>
    </w:p>
    <w:p w:rsidR="002A296E" w:rsidRPr="0061048D" w:rsidRDefault="002A296E" w:rsidP="00C93355">
      <w:pPr>
        <w:spacing w:after="0"/>
        <w:ind w:left="426"/>
        <w:rPr>
          <w:rFonts w:ascii="Arial" w:hAnsi="Arial" w:cs="Arial"/>
          <w:sz w:val="24"/>
          <w:szCs w:val="24"/>
        </w:rPr>
      </w:pPr>
      <w:r w:rsidRPr="0061048D">
        <w:rPr>
          <w:rFonts w:ascii="Arial" w:hAnsi="Arial" w:cs="Arial"/>
          <w:sz w:val="24"/>
          <w:szCs w:val="24"/>
        </w:rPr>
        <w:t xml:space="preserve">7. </w:t>
      </w:r>
      <w:r w:rsidRPr="0061048D">
        <w:rPr>
          <w:rFonts w:ascii="Arial" w:hAnsi="Arial" w:cs="Arial"/>
          <w:b/>
          <w:sz w:val="24"/>
          <w:szCs w:val="24"/>
          <w:u w:val="single"/>
        </w:rPr>
        <w:t>Clause – ‘’right to make changes’’</w:t>
      </w:r>
    </w:p>
    <w:p w:rsidR="002A296E" w:rsidRPr="0061048D" w:rsidRDefault="002A296E" w:rsidP="00C93355">
      <w:pPr>
        <w:spacing w:after="0"/>
        <w:ind w:left="426"/>
        <w:rPr>
          <w:rFonts w:ascii="Arial" w:hAnsi="Arial" w:cs="Arial"/>
          <w:sz w:val="24"/>
          <w:szCs w:val="24"/>
        </w:rPr>
      </w:pPr>
      <w:r w:rsidRPr="0061048D">
        <w:rPr>
          <w:rFonts w:ascii="Arial" w:hAnsi="Arial" w:cs="Arial"/>
          <w:sz w:val="24"/>
          <w:szCs w:val="24"/>
        </w:rPr>
        <w:t>Following your question on whether the inclusion of a ‘right to make changes’ clause already included in contracts helps Management, this would be my advice:</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There would be a question as to whether the current clause is classed as a ‘flexibility clause’, which ‘’may allow (BBL) to change certain terms and conditions in some circumstances’’ (acas, 2021). </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‘Flexibility clauses’ should only be used when making ‘’reasonable changes’’ – for example, it ‘’may be unreasonable to expect someone to move at short notice to another work location’’ (acas, 2021).</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BBL need to keep in mind advice given by Springer (2016) that ‘’contracts of employment are binding agreements and cannot be varied without the consent of both parties’’.</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BBL would still need to consult with all employees affected and IWU before implementing any changes (acas, 2021). </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As was the case of ‘Morgan v Network Europe Group Ltd’ (2011), making any changes to T&amp;C’s of employment </w:t>
      </w:r>
      <w:r w:rsidRPr="0061048D">
        <w:rPr>
          <w:rFonts w:ascii="Arial" w:hAnsi="Arial" w:cs="Arial"/>
          <w:sz w:val="24"/>
          <w:szCs w:val="24"/>
          <w:u w:val="single"/>
        </w:rPr>
        <w:t>must</w:t>
      </w:r>
      <w:r w:rsidRPr="0061048D">
        <w:rPr>
          <w:rFonts w:ascii="Arial" w:hAnsi="Arial" w:cs="Arial"/>
          <w:sz w:val="24"/>
          <w:szCs w:val="24"/>
        </w:rPr>
        <w:t xml:space="preserve"> be communicated clearly with employees. If there is no proof that the employee has seen, accepted and signed the contract BBL could be held liable in cases such as unfair dismissal.</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lastRenderedPageBreak/>
        <w:t xml:space="preserve">Implementing a ‘flexibility clause’ to enforce changes in the T&amp;C’s of employees without going through the consultation stage or without giving enough notice ‘’could lead to claims of breach of contract or constructive dismissal’’ (acas, 2021). </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It may be possible to ‘sweeten’ the deal, according to Springer (2016) by offering something else to employees in return – bonus payments etc. </w:t>
      </w:r>
    </w:p>
    <w:p w:rsidR="00B21309" w:rsidRPr="0061048D" w:rsidRDefault="00B21309"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It’s imperative that BBL read the T&amp;C’s of employees TUPE’d over from Illuminate, as pointed out by Robertson (no date), as their T&amp;C’s would be protected (to some degree). </w:t>
      </w:r>
    </w:p>
    <w:p w:rsidR="0000511D" w:rsidRPr="0061048D" w:rsidRDefault="0000511D" w:rsidP="0000511D">
      <w:pPr>
        <w:pStyle w:val="ListParagraph"/>
        <w:numPr>
          <w:ilvl w:val="0"/>
          <w:numId w:val="21"/>
        </w:numPr>
        <w:spacing w:after="0"/>
        <w:rPr>
          <w:rFonts w:ascii="Arial" w:hAnsi="Arial" w:cs="Arial"/>
          <w:sz w:val="24"/>
          <w:szCs w:val="24"/>
        </w:rPr>
      </w:pPr>
      <w:r w:rsidRPr="0061048D">
        <w:rPr>
          <w:rFonts w:ascii="Arial" w:hAnsi="Arial" w:cs="Arial"/>
          <w:sz w:val="24"/>
          <w:szCs w:val="24"/>
        </w:rPr>
        <w:t>Being cautious when changing the T&amp;C’s of contracts is imperative – as Robertson (no date) mentions, ‘flexibility clauses’ ‘’are unlikely to be effective except for minor changes.’’</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As a </w:t>
      </w:r>
      <w:r w:rsidRPr="0061048D">
        <w:rPr>
          <w:rFonts w:ascii="Arial" w:hAnsi="Arial" w:cs="Arial"/>
          <w:sz w:val="24"/>
          <w:szCs w:val="24"/>
          <w:u w:val="single"/>
        </w:rPr>
        <w:t>last resort</w:t>
      </w:r>
      <w:r w:rsidRPr="0061048D">
        <w:rPr>
          <w:rFonts w:ascii="Arial" w:hAnsi="Arial" w:cs="Arial"/>
          <w:sz w:val="24"/>
          <w:szCs w:val="24"/>
        </w:rPr>
        <w:t xml:space="preserve">, and only in exceptional circumstances where BBL and its employees are unable to come to an agreement, there is a possibility of terminating employee contracts and then re-hiring on the T&amp;C’s that BBL wish to employ them on (known as ‘fire and rehire’) (CIPD, 2021). </w:t>
      </w:r>
    </w:p>
    <w:p w:rsidR="002A296E" w:rsidRPr="0061048D" w:rsidRDefault="002A296E" w:rsidP="002A296E">
      <w:pPr>
        <w:pStyle w:val="ListParagraph"/>
        <w:numPr>
          <w:ilvl w:val="0"/>
          <w:numId w:val="21"/>
        </w:numPr>
        <w:spacing w:after="0"/>
        <w:rPr>
          <w:rFonts w:ascii="Arial" w:hAnsi="Arial" w:cs="Arial"/>
          <w:sz w:val="24"/>
          <w:szCs w:val="24"/>
        </w:rPr>
      </w:pPr>
      <w:r w:rsidRPr="0061048D">
        <w:rPr>
          <w:rFonts w:ascii="Arial" w:hAnsi="Arial" w:cs="Arial"/>
          <w:sz w:val="24"/>
          <w:szCs w:val="24"/>
        </w:rPr>
        <w:t xml:space="preserve">BBL would need to be mindful that to go down the route of ‘fire and rehire’, this could cause serious reputational damage to the company, the negative effect it may have on its employees as well as the risk that employees could make unfair dismissal claims. </w:t>
      </w:r>
    </w:p>
    <w:p w:rsidR="002A296E" w:rsidRDefault="002A296E" w:rsidP="00FA3565">
      <w:pPr>
        <w:rPr>
          <w:rFonts w:ascii="Arial" w:hAnsi="Arial" w:cs="Arial"/>
          <w:sz w:val="24"/>
          <w:szCs w:val="24"/>
        </w:rPr>
      </w:pPr>
    </w:p>
    <w:p w:rsidR="00C93355" w:rsidRDefault="00C93355" w:rsidP="00FA3565">
      <w:pPr>
        <w:rPr>
          <w:rFonts w:ascii="Arial" w:hAnsi="Arial" w:cs="Arial"/>
          <w:sz w:val="24"/>
          <w:szCs w:val="24"/>
        </w:rPr>
      </w:pPr>
    </w:p>
    <w:p w:rsidR="00C93355" w:rsidRDefault="00C93355" w:rsidP="00FA3565">
      <w:pPr>
        <w:rPr>
          <w:rFonts w:ascii="Arial" w:hAnsi="Arial" w:cs="Arial"/>
          <w:sz w:val="24"/>
          <w:szCs w:val="24"/>
        </w:rPr>
      </w:pPr>
    </w:p>
    <w:p w:rsidR="00C93355" w:rsidRPr="0061048D" w:rsidRDefault="00C93355" w:rsidP="00FA3565">
      <w:pPr>
        <w:rPr>
          <w:rFonts w:ascii="Arial" w:hAnsi="Arial" w:cs="Arial"/>
          <w:sz w:val="24"/>
          <w:szCs w:val="24"/>
        </w:rPr>
      </w:pPr>
    </w:p>
    <w:p w:rsidR="00F466E8" w:rsidRPr="0061048D" w:rsidRDefault="00F466E8" w:rsidP="00C93355">
      <w:pPr>
        <w:spacing w:after="0"/>
        <w:ind w:left="426"/>
        <w:rPr>
          <w:rFonts w:ascii="Arial" w:hAnsi="Arial" w:cs="Arial"/>
          <w:sz w:val="24"/>
          <w:szCs w:val="24"/>
        </w:rPr>
      </w:pPr>
      <w:r w:rsidRPr="0061048D">
        <w:rPr>
          <w:rFonts w:ascii="Arial" w:hAnsi="Arial" w:cs="Arial"/>
          <w:sz w:val="24"/>
          <w:szCs w:val="24"/>
        </w:rPr>
        <w:lastRenderedPageBreak/>
        <w:t xml:space="preserve">8. </w:t>
      </w:r>
      <w:r w:rsidRPr="0061048D">
        <w:rPr>
          <w:rFonts w:ascii="Arial" w:hAnsi="Arial" w:cs="Arial"/>
          <w:b/>
          <w:sz w:val="24"/>
          <w:szCs w:val="24"/>
          <w:u w:val="single"/>
        </w:rPr>
        <w:t>Advantages and Disadvantages</w:t>
      </w:r>
    </w:p>
    <w:p w:rsidR="007768D9" w:rsidRPr="0061048D" w:rsidRDefault="00F466E8" w:rsidP="00C93355">
      <w:pPr>
        <w:spacing w:after="0"/>
        <w:ind w:left="426"/>
        <w:rPr>
          <w:rFonts w:ascii="Arial" w:hAnsi="Arial" w:cs="Arial"/>
          <w:sz w:val="24"/>
          <w:szCs w:val="24"/>
        </w:rPr>
      </w:pPr>
      <w:r w:rsidRPr="0061048D">
        <w:rPr>
          <w:rFonts w:ascii="Arial" w:hAnsi="Arial" w:cs="Arial"/>
          <w:sz w:val="24"/>
          <w:szCs w:val="24"/>
        </w:rPr>
        <w:t>In reference to the two previous questions, here is my advice on the advantages and disadvantages for both changing T&amp;C’s and the clause currently in the contracts of employment:</w:t>
      </w:r>
    </w:p>
    <w:p w:rsidR="00F466E8" w:rsidRPr="0061048D" w:rsidRDefault="00F466E8" w:rsidP="00C93355">
      <w:pPr>
        <w:spacing w:after="0"/>
        <w:ind w:left="426"/>
        <w:rPr>
          <w:rFonts w:ascii="Arial" w:hAnsi="Arial" w:cs="Arial"/>
          <w:b/>
          <w:sz w:val="24"/>
          <w:szCs w:val="24"/>
          <w:u w:val="single"/>
        </w:rPr>
      </w:pPr>
      <w:r w:rsidRPr="0061048D">
        <w:rPr>
          <w:rFonts w:ascii="Arial" w:hAnsi="Arial" w:cs="Arial"/>
          <w:sz w:val="24"/>
          <w:szCs w:val="24"/>
        </w:rPr>
        <w:t xml:space="preserve">8.1 </w:t>
      </w:r>
      <w:r w:rsidRPr="0061048D">
        <w:rPr>
          <w:rFonts w:ascii="Arial" w:hAnsi="Arial" w:cs="Arial"/>
          <w:b/>
          <w:sz w:val="24"/>
          <w:szCs w:val="24"/>
          <w:u w:val="single"/>
        </w:rPr>
        <w:t>Advantages for change</w:t>
      </w:r>
      <w:r w:rsidR="00CE66BA" w:rsidRPr="0061048D">
        <w:rPr>
          <w:rFonts w:ascii="Arial" w:hAnsi="Arial" w:cs="Arial"/>
          <w:b/>
          <w:sz w:val="24"/>
          <w:szCs w:val="24"/>
          <w:u w:val="single"/>
        </w:rPr>
        <w:t xml:space="preserve"> to T&amp;C’s</w:t>
      </w:r>
    </w:p>
    <w:p w:rsidR="00F466E8" w:rsidRPr="0061048D" w:rsidRDefault="00F466E8" w:rsidP="00F466E8">
      <w:pPr>
        <w:pStyle w:val="ListParagraph"/>
        <w:numPr>
          <w:ilvl w:val="0"/>
          <w:numId w:val="22"/>
        </w:numPr>
        <w:spacing w:after="0"/>
        <w:rPr>
          <w:rFonts w:ascii="Arial" w:hAnsi="Arial" w:cs="Arial"/>
          <w:sz w:val="24"/>
          <w:szCs w:val="24"/>
        </w:rPr>
      </w:pPr>
      <w:r w:rsidRPr="0061048D">
        <w:rPr>
          <w:rFonts w:ascii="Arial" w:hAnsi="Arial" w:cs="Arial"/>
          <w:sz w:val="24"/>
          <w:szCs w:val="24"/>
        </w:rPr>
        <w:t xml:space="preserve">If BBL are looking at changing how the organisation is run (such as changing the business location), then an advantage of including a ‘mobility clause’ would be to provide the employees with protection against unwanted redundancies (CIPD, 2021). </w:t>
      </w:r>
    </w:p>
    <w:p w:rsidR="00F466E8" w:rsidRPr="00C93355" w:rsidRDefault="00F466E8" w:rsidP="00F466E8">
      <w:pPr>
        <w:pStyle w:val="ListParagraph"/>
        <w:numPr>
          <w:ilvl w:val="0"/>
          <w:numId w:val="22"/>
        </w:numPr>
        <w:spacing w:after="0"/>
        <w:rPr>
          <w:rFonts w:ascii="Arial" w:hAnsi="Arial" w:cs="Arial"/>
          <w:sz w:val="24"/>
          <w:szCs w:val="24"/>
        </w:rPr>
      </w:pPr>
      <w:r w:rsidRPr="0061048D">
        <w:rPr>
          <w:rFonts w:ascii="Arial" w:hAnsi="Arial" w:cs="Arial"/>
          <w:sz w:val="24"/>
          <w:szCs w:val="24"/>
        </w:rPr>
        <w:t>To move with the times, evolve and move to where the customer need is (CIPD, 2021).</w:t>
      </w:r>
    </w:p>
    <w:p w:rsidR="00F466E8" w:rsidRPr="00C93355" w:rsidRDefault="00F466E8" w:rsidP="00C93355">
      <w:pPr>
        <w:spacing w:after="0"/>
        <w:ind w:firstLine="426"/>
        <w:rPr>
          <w:rFonts w:ascii="Arial" w:hAnsi="Arial" w:cs="Arial"/>
          <w:b/>
          <w:sz w:val="24"/>
          <w:szCs w:val="24"/>
          <w:u w:val="single"/>
        </w:rPr>
      </w:pPr>
      <w:r w:rsidRPr="0061048D">
        <w:rPr>
          <w:rFonts w:ascii="Arial" w:hAnsi="Arial" w:cs="Arial"/>
          <w:sz w:val="24"/>
          <w:szCs w:val="24"/>
        </w:rPr>
        <w:t xml:space="preserve">8.2 </w:t>
      </w:r>
      <w:r w:rsidRPr="0061048D">
        <w:rPr>
          <w:rFonts w:ascii="Arial" w:hAnsi="Arial" w:cs="Arial"/>
          <w:b/>
          <w:sz w:val="24"/>
          <w:szCs w:val="24"/>
          <w:u w:val="single"/>
        </w:rPr>
        <w:t>Disadvantages for change</w:t>
      </w:r>
      <w:r w:rsidR="00CE66BA" w:rsidRPr="0061048D">
        <w:rPr>
          <w:rFonts w:ascii="Arial" w:hAnsi="Arial" w:cs="Arial"/>
          <w:b/>
          <w:sz w:val="24"/>
          <w:szCs w:val="24"/>
          <w:u w:val="single"/>
        </w:rPr>
        <w:t xml:space="preserve"> to T&amp;C’s</w:t>
      </w:r>
    </w:p>
    <w:p w:rsidR="00F466E8" w:rsidRPr="0061048D" w:rsidRDefault="00F466E8" w:rsidP="00F466E8">
      <w:pPr>
        <w:pStyle w:val="ListParagraph"/>
        <w:numPr>
          <w:ilvl w:val="0"/>
          <w:numId w:val="23"/>
        </w:numPr>
        <w:spacing w:after="0"/>
        <w:rPr>
          <w:rFonts w:ascii="Arial" w:hAnsi="Arial" w:cs="Arial"/>
          <w:b/>
          <w:sz w:val="24"/>
          <w:szCs w:val="24"/>
          <w:u w:val="single"/>
        </w:rPr>
      </w:pPr>
      <w:r w:rsidRPr="0061048D">
        <w:rPr>
          <w:rFonts w:ascii="Arial" w:hAnsi="Arial" w:cs="Arial"/>
          <w:sz w:val="24"/>
          <w:szCs w:val="24"/>
        </w:rPr>
        <w:t>Could cause significant damage to the business brand, meaning that retention of valued staff would be hit as well as potentially affecting recruitment (CIPD, 2021).</w:t>
      </w:r>
    </w:p>
    <w:p w:rsidR="00F466E8" w:rsidRPr="0061048D" w:rsidRDefault="00F466E8" w:rsidP="00F466E8">
      <w:pPr>
        <w:pStyle w:val="ListParagraph"/>
        <w:numPr>
          <w:ilvl w:val="0"/>
          <w:numId w:val="23"/>
        </w:numPr>
        <w:spacing w:after="0"/>
        <w:rPr>
          <w:rFonts w:ascii="Arial" w:hAnsi="Arial" w:cs="Arial"/>
          <w:b/>
          <w:sz w:val="24"/>
          <w:szCs w:val="24"/>
          <w:u w:val="single"/>
        </w:rPr>
      </w:pPr>
      <w:r w:rsidRPr="0061048D">
        <w:rPr>
          <w:rFonts w:ascii="Arial" w:hAnsi="Arial" w:cs="Arial"/>
          <w:sz w:val="24"/>
          <w:szCs w:val="24"/>
        </w:rPr>
        <w:t>A potentially high risk of legal action taking place (unfair dismissals, constructive dismissals) (CIPD, 2021).</w:t>
      </w:r>
    </w:p>
    <w:p w:rsidR="00F466E8" w:rsidRPr="00C93355" w:rsidRDefault="00F466E8" w:rsidP="00F466E8">
      <w:pPr>
        <w:pStyle w:val="ListParagraph"/>
        <w:numPr>
          <w:ilvl w:val="0"/>
          <w:numId w:val="23"/>
        </w:numPr>
        <w:spacing w:after="0"/>
        <w:rPr>
          <w:rFonts w:ascii="Arial" w:hAnsi="Arial" w:cs="Arial"/>
          <w:b/>
          <w:sz w:val="24"/>
          <w:szCs w:val="24"/>
          <w:u w:val="single"/>
        </w:rPr>
      </w:pPr>
      <w:r w:rsidRPr="0061048D">
        <w:rPr>
          <w:rFonts w:ascii="Arial" w:hAnsi="Arial" w:cs="Arial"/>
          <w:sz w:val="24"/>
          <w:szCs w:val="24"/>
        </w:rPr>
        <w:t xml:space="preserve">Employees opposing to changes to their T&amp;C’s might resign if they think that there’s been a breach of contract and make a claim for constructive dismissal (Personnel Today, no date). </w:t>
      </w:r>
    </w:p>
    <w:p w:rsidR="00F466E8" w:rsidRPr="0061048D" w:rsidRDefault="00F466E8" w:rsidP="00C93355">
      <w:pPr>
        <w:spacing w:after="0"/>
        <w:ind w:firstLine="426"/>
        <w:rPr>
          <w:rFonts w:ascii="Arial" w:hAnsi="Arial" w:cs="Arial"/>
          <w:b/>
          <w:sz w:val="24"/>
          <w:szCs w:val="24"/>
          <w:u w:val="single"/>
        </w:rPr>
      </w:pPr>
      <w:r w:rsidRPr="0061048D">
        <w:rPr>
          <w:rFonts w:ascii="Arial" w:hAnsi="Arial" w:cs="Arial"/>
          <w:sz w:val="24"/>
          <w:szCs w:val="24"/>
        </w:rPr>
        <w:t xml:space="preserve">8.3 </w:t>
      </w:r>
      <w:r w:rsidRPr="0061048D">
        <w:rPr>
          <w:rFonts w:ascii="Arial" w:hAnsi="Arial" w:cs="Arial"/>
          <w:b/>
          <w:sz w:val="24"/>
          <w:szCs w:val="24"/>
          <w:u w:val="single"/>
        </w:rPr>
        <w:t>Advantages</w:t>
      </w:r>
      <w:r w:rsidRPr="0061048D">
        <w:rPr>
          <w:rFonts w:ascii="Arial" w:hAnsi="Arial" w:cs="Arial"/>
          <w:sz w:val="24"/>
          <w:szCs w:val="24"/>
          <w:u w:val="single"/>
        </w:rPr>
        <w:t xml:space="preserve"> </w:t>
      </w:r>
      <w:r w:rsidRPr="0061048D">
        <w:rPr>
          <w:rFonts w:ascii="Arial" w:hAnsi="Arial" w:cs="Arial"/>
          <w:b/>
          <w:sz w:val="24"/>
          <w:szCs w:val="24"/>
          <w:u w:val="single"/>
        </w:rPr>
        <w:t>– clause</w:t>
      </w:r>
    </w:p>
    <w:p w:rsidR="0061048D" w:rsidRPr="00C93355" w:rsidRDefault="00F466E8" w:rsidP="00F466E8">
      <w:pPr>
        <w:pStyle w:val="ListParagraph"/>
        <w:numPr>
          <w:ilvl w:val="0"/>
          <w:numId w:val="24"/>
        </w:numPr>
        <w:spacing w:after="0"/>
        <w:rPr>
          <w:rFonts w:ascii="Arial" w:hAnsi="Arial" w:cs="Arial"/>
          <w:sz w:val="24"/>
          <w:szCs w:val="24"/>
        </w:rPr>
      </w:pPr>
      <w:r w:rsidRPr="0061048D">
        <w:rPr>
          <w:rFonts w:ascii="Arial" w:hAnsi="Arial" w:cs="Arial"/>
          <w:sz w:val="24"/>
          <w:szCs w:val="24"/>
        </w:rPr>
        <w:t xml:space="preserve">By carrying out a thorough consultation process, BBL would be in a much stronger position to implement change. As was the case in ‘Bateman and others v Asda Stores Ltd.’ (2010), should employees make claims of constructive dismissal the consultation and ‘buying in’ of trust from the </w:t>
      </w:r>
      <w:r w:rsidRPr="0061048D">
        <w:rPr>
          <w:rFonts w:ascii="Arial" w:hAnsi="Arial" w:cs="Arial"/>
          <w:sz w:val="24"/>
          <w:szCs w:val="24"/>
        </w:rPr>
        <w:lastRenderedPageBreak/>
        <w:t xml:space="preserve">majority of employees should appease a tribunal, as reported by Fanning (2010). </w:t>
      </w:r>
    </w:p>
    <w:p w:rsidR="00F466E8" w:rsidRPr="0061048D" w:rsidRDefault="00F466E8" w:rsidP="00C93355">
      <w:pPr>
        <w:spacing w:after="0"/>
        <w:ind w:firstLine="426"/>
        <w:rPr>
          <w:rFonts w:ascii="Arial" w:hAnsi="Arial" w:cs="Arial"/>
          <w:sz w:val="24"/>
          <w:szCs w:val="24"/>
        </w:rPr>
      </w:pPr>
      <w:r w:rsidRPr="0061048D">
        <w:rPr>
          <w:rFonts w:ascii="Arial" w:hAnsi="Arial" w:cs="Arial"/>
          <w:sz w:val="24"/>
          <w:szCs w:val="24"/>
        </w:rPr>
        <w:t xml:space="preserve">8.4 </w:t>
      </w:r>
      <w:r w:rsidRPr="0061048D">
        <w:rPr>
          <w:rFonts w:ascii="Arial" w:hAnsi="Arial" w:cs="Arial"/>
          <w:b/>
          <w:sz w:val="24"/>
          <w:szCs w:val="24"/>
          <w:u w:val="single"/>
        </w:rPr>
        <w:t>Disadvantages - clause</w:t>
      </w:r>
      <w:r w:rsidRPr="0061048D">
        <w:rPr>
          <w:rFonts w:ascii="Arial" w:hAnsi="Arial" w:cs="Arial"/>
          <w:sz w:val="24"/>
          <w:szCs w:val="24"/>
        </w:rPr>
        <w:t xml:space="preserve"> </w:t>
      </w:r>
    </w:p>
    <w:p w:rsidR="00F466E8" w:rsidRPr="0061048D" w:rsidRDefault="00F466E8" w:rsidP="00F466E8">
      <w:pPr>
        <w:pStyle w:val="ListParagraph"/>
        <w:numPr>
          <w:ilvl w:val="0"/>
          <w:numId w:val="24"/>
        </w:numPr>
        <w:spacing w:after="0"/>
        <w:rPr>
          <w:rFonts w:ascii="Arial" w:hAnsi="Arial" w:cs="Arial"/>
          <w:sz w:val="24"/>
          <w:szCs w:val="24"/>
        </w:rPr>
      </w:pPr>
      <w:r w:rsidRPr="0061048D">
        <w:rPr>
          <w:rFonts w:ascii="Arial" w:hAnsi="Arial" w:cs="Arial"/>
          <w:sz w:val="24"/>
          <w:szCs w:val="24"/>
        </w:rPr>
        <w:t>Changing T&amp;C’s can be incredibly risky, even if there is a ‘flexibility clause’ in the contract, and BBL should approach the change with caution – as Robertson (no date) mentions, ‘’such clauses tend to be interpreted restrictively by the courts’’.</w:t>
      </w:r>
    </w:p>
    <w:p w:rsidR="00F466E8" w:rsidRPr="0061048D" w:rsidRDefault="00F466E8" w:rsidP="00F466E8">
      <w:pPr>
        <w:pStyle w:val="ListParagraph"/>
        <w:numPr>
          <w:ilvl w:val="0"/>
          <w:numId w:val="24"/>
        </w:numPr>
        <w:spacing w:after="0"/>
        <w:rPr>
          <w:rFonts w:ascii="Arial" w:hAnsi="Arial" w:cs="Arial"/>
          <w:sz w:val="24"/>
          <w:szCs w:val="24"/>
        </w:rPr>
      </w:pPr>
      <w:r w:rsidRPr="0061048D">
        <w:rPr>
          <w:rFonts w:ascii="Arial" w:hAnsi="Arial" w:cs="Arial"/>
          <w:sz w:val="24"/>
          <w:szCs w:val="24"/>
        </w:rPr>
        <w:t xml:space="preserve">Should BBL be looking to go down the ‘fire and rehire’ route in order to implement contractual changes, it’s important to focus on ‘what we can’t do’ as much as ‘what we can’ as demonstrated in the case of ‘USDAW and others v Tesco Stores Ltd.’ (2022). As reported by McCulloch (2022), the union took on Tesco for not consulting with them properly, not providing valid reasons to go down this route and by not following fair procedure. This was despite acas having warned Tesco that doing so was an ‘’extreme step’’ which could ‘’seriously damage working relations’’. </w:t>
      </w:r>
    </w:p>
    <w:p w:rsidR="00FA3565" w:rsidRPr="0061048D" w:rsidRDefault="00FA3565" w:rsidP="00FA3565">
      <w:pPr>
        <w:contextualSpacing/>
        <w:rPr>
          <w:rFonts w:ascii="Arial" w:hAnsi="Arial" w:cs="Arial"/>
          <w:sz w:val="24"/>
          <w:szCs w:val="24"/>
        </w:rPr>
      </w:pPr>
    </w:p>
    <w:p w:rsidR="00505633" w:rsidRPr="0061048D" w:rsidRDefault="00C93355" w:rsidP="006848E5">
      <w:pPr>
        <w:pStyle w:val="ListParagraph"/>
        <w:ind w:left="760"/>
        <w:rPr>
          <w:rFonts w:ascii="Arial" w:hAnsi="Arial" w:cs="Arial"/>
          <w:b/>
          <w:sz w:val="24"/>
          <w:szCs w:val="24"/>
          <w:u w:val="single"/>
        </w:rPr>
      </w:pPr>
      <w:r>
        <w:rPr>
          <w:rFonts w:ascii="Arial" w:hAnsi="Arial" w:cs="Arial"/>
          <w:b/>
          <w:sz w:val="24"/>
          <w:szCs w:val="24"/>
          <w:u w:val="single"/>
        </w:rPr>
        <w:t>Conclusion</w:t>
      </w:r>
    </w:p>
    <w:p w:rsidR="00E72DED" w:rsidRDefault="00E72DED" w:rsidP="007768D9">
      <w:pPr>
        <w:pStyle w:val="ListParagraph"/>
        <w:ind w:left="709"/>
        <w:rPr>
          <w:rFonts w:ascii="Arial" w:hAnsi="Arial" w:cs="Arial"/>
          <w:sz w:val="24"/>
          <w:szCs w:val="24"/>
        </w:rPr>
      </w:pPr>
      <w:r w:rsidRPr="0061048D">
        <w:rPr>
          <w:rFonts w:ascii="Arial" w:hAnsi="Arial" w:cs="Arial"/>
          <w:sz w:val="24"/>
          <w:szCs w:val="24"/>
        </w:rPr>
        <w:t>I hope that the advice provided in my response will help Management at BBL come to a clear</w:t>
      </w:r>
      <w:r w:rsidR="00BD6418" w:rsidRPr="0061048D">
        <w:rPr>
          <w:rFonts w:ascii="Arial" w:hAnsi="Arial" w:cs="Arial"/>
          <w:sz w:val="24"/>
          <w:szCs w:val="24"/>
        </w:rPr>
        <w:t>, legal</w:t>
      </w:r>
      <w:r w:rsidRPr="0061048D">
        <w:rPr>
          <w:rFonts w:ascii="Arial" w:hAnsi="Arial" w:cs="Arial"/>
          <w:sz w:val="24"/>
          <w:szCs w:val="24"/>
        </w:rPr>
        <w:t xml:space="preserve"> and fair decision that will be beneficial not only to the business but to its employees.  </w:t>
      </w:r>
    </w:p>
    <w:p w:rsidR="00E40C96" w:rsidRDefault="00E40C96" w:rsidP="007768D9">
      <w:pPr>
        <w:pStyle w:val="ListParagraph"/>
        <w:ind w:left="709"/>
        <w:rPr>
          <w:rFonts w:ascii="Arial" w:hAnsi="Arial" w:cs="Arial"/>
          <w:sz w:val="24"/>
          <w:szCs w:val="24"/>
        </w:rPr>
      </w:pPr>
    </w:p>
    <w:p w:rsidR="00E40C96" w:rsidRDefault="00E40C96" w:rsidP="007768D9">
      <w:pPr>
        <w:pStyle w:val="ListParagraph"/>
        <w:ind w:left="709"/>
        <w:rPr>
          <w:rFonts w:ascii="Arial" w:hAnsi="Arial" w:cs="Arial"/>
          <w:sz w:val="24"/>
          <w:szCs w:val="24"/>
        </w:rPr>
      </w:pPr>
    </w:p>
    <w:p w:rsidR="00E40C96" w:rsidRDefault="00E40C96" w:rsidP="007768D9">
      <w:pPr>
        <w:pStyle w:val="ListParagraph"/>
        <w:ind w:left="709"/>
        <w:rPr>
          <w:rFonts w:ascii="Arial" w:hAnsi="Arial" w:cs="Arial"/>
          <w:sz w:val="24"/>
          <w:szCs w:val="24"/>
        </w:rPr>
      </w:pPr>
    </w:p>
    <w:p w:rsidR="00E40C96" w:rsidRDefault="00E40C96" w:rsidP="007768D9">
      <w:pPr>
        <w:pStyle w:val="ListParagraph"/>
        <w:ind w:left="709"/>
        <w:rPr>
          <w:rFonts w:ascii="Arial" w:hAnsi="Arial" w:cs="Arial"/>
          <w:sz w:val="24"/>
          <w:szCs w:val="24"/>
        </w:rPr>
      </w:pPr>
    </w:p>
    <w:p w:rsidR="00E40C96" w:rsidRDefault="00E40C96" w:rsidP="007768D9">
      <w:pPr>
        <w:pStyle w:val="ListParagraph"/>
        <w:ind w:left="709"/>
        <w:rPr>
          <w:rFonts w:ascii="Arial" w:hAnsi="Arial" w:cs="Arial"/>
          <w:sz w:val="24"/>
          <w:szCs w:val="24"/>
        </w:rPr>
      </w:pPr>
    </w:p>
    <w:p w:rsidR="00E40C96" w:rsidRPr="00E40C96" w:rsidRDefault="00E40C96" w:rsidP="00E40C96">
      <w:pPr>
        <w:spacing w:after="0" w:line="259" w:lineRule="auto"/>
        <w:rPr>
          <w:rFonts w:ascii="Arial" w:hAnsi="Arial" w:cs="Arial"/>
          <w:b/>
          <w:sz w:val="24"/>
          <w:szCs w:val="24"/>
        </w:rPr>
      </w:pPr>
      <w:r w:rsidRPr="00E40C96">
        <w:rPr>
          <w:rFonts w:ascii="Arial" w:hAnsi="Arial" w:cs="Arial"/>
          <w:b/>
          <w:sz w:val="24"/>
          <w:szCs w:val="24"/>
        </w:rPr>
        <w:lastRenderedPageBreak/>
        <w:t>REFERENCE LIST</w:t>
      </w:r>
    </w:p>
    <w:p w:rsidR="00E40C96" w:rsidRPr="00E40C96" w:rsidRDefault="00E40C96" w:rsidP="00E40C96">
      <w:pPr>
        <w:spacing w:after="0" w:line="259" w:lineRule="auto"/>
        <w:rPr>
          <w:rFonts w:ascii="Arial" w:hAnsi="Arial" w:cs="Arial"/>
          <w:b/>
          <w:sz w:val="24"/>
          <w:szCs w:val="24"/>
        </w:rPr>
      </w:pPr>
    </w:p>
    <w:p w:rsidR="00E40C96" w:rsidRPr="00E40C96" w:rsidRDefault="00E40C96" w:rsidP="00E40C96">
      <w:pPr>
        <w:numPr>
          <w:ilvl w:val="0"/>
          <w:numId w:val="25"/>
        </w:numPr>
        <w:spacing w:after="0" w:line="259" w:lineRule="auto"/>
        <w:contextualSpacing/>
        <w:rPr>
          <w:rFonts w:ascii="Arial" w:hAnsi="Arial" w:cs="Arial"/>
          <w:sz w:val="24"/>
          <w:szCs w:val="24"/>
        </w:rPr>
      </w:pPr>
      <w:proofErr w:type="spellStart"/>
      <w:proofErr w:type="gramStart"/>
      <w:r w:rsidRPr="00E40C96">
        <w:rPr>
          <w:rFonts w:ascii="Arial" w:hAnsi="Arial" w:cs="Arial"/>
          <w:sz w:val="24"/>
          <w:szCs w:val="24"/>
        </w:rPr>
        <w:t>acas</w:t>
      </w:r>
      <w:proofErr w:type="spellEnd"/>
      <w:proofErr w:type="gramEnd"/>
      <w:r w:rsidRPr="00E40C96">
        <w:rPr>
          <w:rFonts w:ascii="Arial" w:hAnsi="Arial" w:cs="Arial"/>
          <w:sz w:val="24"/>
          <w:szCs w:val="24"/>
        </w:rPr>
        <w:t xml:space="preserve"> (no date) </w:t>
      </w:r>
      <w:r w:rsidRPr="00E40C96">
        <w:rPr>
          <w:rFonts w:ascii="Arial" w:hAnsi="Arial" w:cs="Arial"/>
          <w:i/>
          <w:sz w:val="24"/>
          <w:szCs w:val="24"/>
        </w:rPr>
        <w:t xml:space="preserve">Employee Rights During a TUPE Transfer. </w:t>
      </w:r>
      <w:r w:rsidRPr="00E40C96">
        <w:rPr>
          <w:rFonts w:ascii="Arial" w:hAnsi="Arial" w:cs="Arial"/>
          <w:sz w:val="24"/>
          <w:szCs w:val="24"/>
        </w:rPr>
        <w:t xml:space="preserve">Available at: </w:t>
      </w:r>
      <w:r w:rsidRPr="00E40C96">
        <w:rPr>
          <w:rFonts w:ascii="Arial" w:hAnsi="Arial" w:cs="Arial"/>
          <w:i/>
          <w:sz w:val="24"/>
          <w:szCs w:val="24"/>
        </w:rPr>
        <w:t xml:space="preserve"> </w:t>
      </w:r>
      <w:hyperlink r:id="rId8" w:history="1">
        <w:r w:rsidRPr="00E40C96">
          <w:rPr>
            <w:rFonts w:ascii="Arial" w:hAnsi="Arial" w:cs="Arial"/>
            <w:color w:val="0000FF"/>
            <w:sz w:val="24"/>
            <w:szCs w:val="24"/>
            <w:u w:val="single"/>
          </w:rPr>
          <w:t>https://www.acas.org.uk/employee-rights-during-a-tupe-transfer/when-tupe-regulations-apply</w:t>
        </w:r>
      </w:hyperlink>
      <w:r w:rsidRPr="00E40C96">
        <w:rPr>
          <w:rFonts w:ascii="Arial" w:hAnsi="Arial" w:cs="Arial"/>
          <w:sz w:val="24"/>
          <w:szCs w:val="24"/>
        </w:rPr>
        <w:t xml:space="preserve"> (Accessed: 6 February 2022).</w:t>
      </w:r>
    </w:p>
    <w:p w:rsidR="00E40C96" w:rsidRPr="00E40C96" w:rsidRDefault="00E40C96" w:rsidP="00E40C96">
      <w:pPr>
        <w:spacing w:after="0" w:line="259" w:lineRule="auto"/>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proofErr w:type="spellStart"/>
      <w:proofErr w:type="gramStart"/>
      <w:r w:rsidRPr="00E40C96">
        <w:rPr>
          <w:rFonts w:ascii="Arial" w:hAnsi="Arial" w:cs="Arial"/>
          <w:sz w:val="24"/>
          <w:szCs w:val="24"/>
        </w:rPr>
        <w:t>acas</w:t>
      </w:r>
      <w:proofErr w:type="spellEnd"/>
      <w:proofErr w:type="gramEnd"/>
      <w:r w:rsidRPr="00E40C96">
        <w:rPr>
          <w:rFonts w:ascii="Arial" w:hAnsi="Arial" w:cs="Arial"/>
          <w:sz w:val="24"/>
          <w:szCs w:val="24"/>
        </w:rPr>
        <w:t xml:space="preserve"> (no date) </w:t>
      </w:r>
      <w:r w:rsidRPr="00E40C96">
        <w:rPr>
          <w:rFonts w:ascii="Arial" w:hAnsi="Arial" w:cs="Arial"/>
          <w:i/>
          <w:sz w:val="24"/>
          <w:szCs w:val="24"/>
        </w:rPr>
        <w:t xml:space="preserve">Handling a TUPE transfer: step by step. </w:t>
      </w:r>
      <w:r w:rsidRPr="00E40C96">
        <w:rPr>
          <w:rFonts w:ascii="Arial" w:hAnsi="Arial" w:cs="Arial"/>
          <w:sz w:val="24"/>
          <w:szCs w:val="24"/>
        </w:rPr>
        <w:t xml:space="preserve">Available at: </w:t>
      </w:r>
      <w:hyperlink r:id="rId9" w:history="1">
        <w:r w:rsidRPr="00E40C96">
          <w:rPr>
            <w:rFonts w:ascii="Arial" w:hAnsi="Arial" w:cs="Arial"/>
            <w:color w:val="0000FF"/>
            <w:sz w:val="24"/>
            <w:szCs w:val="24"/>
            <w:u w:val="single"/>
          </w:rPr>
          <w:t>https://www.acas.org.uk/handling-a-tupe-transfer-step-by-step</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proofErr w:type="spellStart"/>
      <w:proofErr w:type="gramStart"/>
      <w:r w:rsidRPr="00E40C96">
        <w:rPr>
          <w:rFonts w:ascii="Arial" w:hAnsi="Arial" w:cs="Arial"/>
          <w:sz w:val="24"/>
          <w:szCs w:val="24"/>
        </w:rPr>
        <w:t>acas</w:t>
      </w:r>
      <w:proofErr w:type="spellEnd"/>
      <w:proofErr w:type="gramEnd"/>
      <w:r w:rsidRPr="00E40C96">
        <w:rPr>
          <w:rFonts w:ascii="Arial" w:hAnsi="Arial" w:cs="Arial"/>
          <w:sz w:val="24"/>
          <w:szCs w:val="24"/>
        </w:rPr>
        <w:t xml:space="preserve"> (2021) </w:t>
      </w:r>
      <w:r w:rsidRPr="00E40C96">
        <w:rPr>
          <w:rFonts w:ascii="Arial" w:hAnsi="Arial" w:cs="Arial"/>
          <w:i/>
          <w:sz w:val="24"/>
          <w:szCs w:val="24"/>
        </w:rPr>
        <w:t xml:space="preserve">Making changes to employment contracts – employer responsibilities. </w:t>
      </w:r>
      <w:r w:rsidRPr="00E40C96">
        <w:rPr>
          <w:rFonts w:ascii="Arial" w:hAnsi="Arial" w:cs="Arial"/>
          <w:sz w:val="24"/>
          <w:szCs w:val="24"/>
        </w:rPr>
        <w:t xml:space="preserve">Available at: </w:t>
      </w:r>
      <w:hyperlink r:id="rId10" w:history="1">
        <w:r w:rsidRPr="00E40C96">
          <w:rPr>
            <w:rFonts w:ascii="Arial" w:hAnsi="Arial" w:cs="Arial"/>
            <w:color w:val="0000FF"/>
            <w:sz w:val="24"/>
            <w:szCs w:val="24"/>
            <w:u w:val="single"/>
          </w:rPr>
          <w:t>https://www.acas.org.uk/changing-an-employment-contract/employer-responsibilities/proposing-employment-contract-changes</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proofErr w:type="spellStart"/>
      <w:proofErr w:type="gramStart"/>
      <w:r w:rsidRPr="00E40C96">
        <w:rPr>
          <w:rFonts w:ascii="Arial" w:hAnsi="Arial" w:cs="Arial"/>
          <w:sz w:val="24"/>
          <w:szCs w:val="24"/>
        </w:rPr>
        <w:t>acas</w:t>
      </w:r>
      <w:proofErr w:type="spellEnd"/>
      <w:proofErr w:type="gramEnd"/>
      <w:r w:rsidRPr="00E40C96">
        <w:rPr>
          <w:rFonts w:ascii="Arial" w:hAnsi="Arial" w:cs="Arial"/>
          <w:sz w:val="24"/>
          <w:szCs w:val="24"/>
        </w:rPr>
        <w:t xml:space="preserve"> (no date) </w:t>
      </w:r>
      <w:r w:rsidRPr="00E40C96">
        <w:rPr>
          <w:rFonts w:ascii="Arial" w:hAnsi="Arial" w:cs="Arial"/>
          <w:i/>
          <w:sz w:val="24"/>
          <w:szCs w:val="24"/>
        </w:rPr>
        <w:t xml:space="preserve">Managing redundancies in a TUPE transfer. </w:t>
      </w:r>
      <w:r w:rsidRPr="00E40C96">
        <w:rPr>
          <w:rFonts w:ascii="Arial" w:hAnsi="Arial" w:cs="Arial"/>
          <w:sz w:val="24"/>
          <w:szCs w:val="24"/>
        </w:rPr>
        <w:t xml:space="preserve">Available at: </w:t>
      </w:r>
      <w:hyperlink r:id="rId11" w:history="1">
        <w:r w:rsidRPr="00E40C96">
          <w:rPr>
            <w:rFonts w:ascii="Arial" w:hAnsi="Arial" w:cs="Arial"/>
            <w:color w:val="0000FF"/>
            <w:sz w:val="24"/>
            <w:szCs w:val="24"/>
            <w:u w:val="single"/>
          </w:rPr>
          <w:t>https://www.acas.org.uk/managing-redundancies-in-a-tupe-transfer</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‘Bateman and others v Asda Stores Ltd.’ (2010) United Kingdom Employment Appeal Tribunal, case 0221_09_1102. </w:t>
      </w:r>
      <w:proofErr w:type="spellStart"/>
      <w:r w:rsidRPr="00E40C96">
        <w:rPr>
          <w:rFonts w:ascii="Arial" w:hAnsi="Arial" w:cs="Arial"/>
          <w:i/>
          <w:sz w:val="24"/>
          <w:szCs w:val="24"/>
        </w:rPr>
        <w:t>XpertHR</w:t>
      </w:r>
      <w:proofErr w:type="spellEnd"/>
      <w:r w:rsidRPr="00E40C96">
        <w:rPr>
          <w:rFonts w:ascii="Arial" w:hAnsi="Arial" w:cs="Arial"/>
          <w:i/>
          <w:sz w:val="24"/>
          <w:szCs w:val="24"/>
        </w:rPr>
        <w:t xml:space="preserve">. </w:t>
      </w:r>
      <w:r w:rsidRPr="00E40C96">
        <w:rPr>
          <w:rFonts w:ascii="Arial" w:hAnsi="Arial" w:cs="Arial"/>
          <w:sz w:val="24"/>
          <w:szCs w:val="24"/>
        </w:rPr>
        <w:t xml:space="preserve">Available at: </w:t>
      </w:r>
      <w:hyperlink r:id="rId12" w:history="1">
        <w:r w:rsidRPr="00E40C96">
          <w:rPr>
            <w:rFonts w:ascii="Arial" w:hAnsi="Arial" w:cs="Arial"/>
            <w:color w:val="0000FF"/>
            <w:sz w:val="24"/>
            <w:szCs w:val="24"/>
            <w:u w:val="single"/>
          </w:rPr>
          <w:t>http://www.bailii.org/uk/cases/UKEAT/2010/0221_09_1102.html</w:t>
        </w:r>
      </w:hyperlink>
      <w:r w:rsidRPr="00E40C96">
        <w:rPr>
          <w:rFonts w:ascii="Arial" w:hAnsi="Arial" w:cs="Arial"/>
          <w:sz w:val="24"/>
          <w:szCs w:val="24"/>
        </w:rPr>
        <w:t xml:space="preserve"> (Accessed: 9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‘Cable Realisations v GMB Northern’ (2010) United Kingdom Employment Appeal Tribunal, IRLR 42. </w:t>
      </w:r>
      <w:proofErr w:type="spellStart"/>
      <w:r w:rsidRPr="00E40C96">
        <w:rPr>
          <w:rFonts w:ascii="Arial" w:hAnsi="Arial" w:cs="Arial"/>
          <w:i/>
          <w:sz w:val="24"/>
          <w:szCs w:val="24"/>
        </w:rPr>
        <w:t>Casemine</w:t>
      </w:r>
      <w:proofErr w:type="spellEnd"/>
      <w:r w:rsidRPr="00E40C96">
        <w:rPr>
          <w:rFonts w:ascii="Arial" w:hAnsi="Arial" w:cs="Arial"/>
          <w:i/>
          <w:sz w:val="24"/>
          <w:szCs w:val="24"/>
        </w:rPr>
        <w:t xml:space="preserve">. </w:t>
      </w:r>
      <w:r w:rsidRPr="00E40C96">
        <w:rPr>
          <w:rFonts w:ascii="Arial" w:hAnsi="Arial" w:cs="Arial"/>
          <w:sz w:val="24"/>
          <w:szCs w:val="24"/>
        </w:rPr>
        <w:t xml:space="preserve">Available at: </w:t>
      </w:r>
      <w:hyperlink r:id="rId13" w:history="1">
        <w:r w:rsidRPr="00E40C96">
          <w:rPr>
            <w:rFonts w:ascii="Arial" w:hAnsi="Arial" w:cs="Arial"/>
            <w:color w:val="0000FF"/>
            <w:sz w:val="24"/>
            <w:szCs w:val="24"/>
            <w:u w:val="single"/>
          </w:rPr>
          <w:t>https://www.casemine.com/judgement/uk/5a8ff75160d03e7f57eab3b0</w:t>
        </w:r>
      </w:hyperlink>
      <w:r w:rsidRPr="00E40C96">
        <w:rPr>
          <w:rFonts w:ascii="Arial" w:hAnsi="Arial" w:cs="Arial"/>
          <w:sz w:val="24"/>
          <w:szCs w:val="24"/>
        </w:rPr>
        <w:t xml:space="preserve"> (Accessed: 5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w:t>
      </w:r>
      <w:proofErr w:type="spellStart"/>
      <w:r w:rsidRPr="00E40C96">
        <w:rPr>
          <w:rFonts w:ascii="Arial" w:hAnsi="Arial" w:cs="Arial"/>
          <w:sz w:val="24"/>
          <w:szCs w:val="24"/>
        </w:rPr>
        <w:t>Ceva</w:t>
      </w:r>
      <w:proofErr w:type="spellEnd"/>
      <w:r w:rsidRPr="00E40C96">
        <w:rPr>
          <w:rFonts w:ascii="Arial" w:hAnsi="Arial" w:cs="Arial"/>
          <w:sz w:val="24"/>
          <w:szCs w:val="24"/>
        </w:rPr>
        <w:t xml:space="preserve"> Freight (UK) Ltd v </w:t>
      </w:r>
      <w:proofErr w:type="spellStart"/>
      <w:r w:rsidRPr="00E40C96">
        <w:rPr>
          <w:rFonts w:ascii="Arial" w:hAnsi="Arial" w:cs="Arial"/>
          <w:sz w:val="24"/>
          <w:szCs w:val="24"/>
        </w:rPr>
        <w:t>Seawell</w:t>
      </w:r>
      <w:proofErr w:type="spellEnd"/>
      <w:r w:rsidRPr="00E40C96">
        <w:rPr>
          <w:rFonts w:ascii="Arial" w:hAnsi="Arial" w:cs="Arial"/>
          <w:sz w:val="24"/>
          <w:szCs w:val="24"/>
        </w:rPr>
        <w:t xml:space="preserve"> Ltd’ (2013) Scottish Court of Session, CSIH_59. </w:t>
      </w:r>
      <w:r w:rsidRPr="00E40C96">
        <w:rPr>
          <w:rFonts w:ascii="Arial" w:hAnsi="Arial" w:cs="Arial"/>
          <w:i/>
          <w:sz w:val="24"/>
          <w:szCs w:val="24"/>
        </w:rPr>
        <w:t xml:space="preserve">CIPD. </w:t>
      </w:r>
      <w:r w:rsidRPr="00E40C96">
        <w:rPr>
          <w:rFonts w:ascii="Arial" w:hAnsi="Arial" w:cs="Arial"/>
          <w:sz w:val="24"/>
          <w:szCs w:val="24"/>
        </w:rPr>
        <w:t xml:space="preserve">Available at: </w:t>
      </w:r>
      <w:hyperlink r:id="rId14" w:history="1">
        <w:r w:rsidRPr="00E40C96">
          <w:rPr>
            <w:rFonts w:ascii="Arial" w:hAnsi="Arial" w:cs="Arial"/>
            <w:color w:val="0000FF"/>
            <w:sz w:val="24"/>
            <w:szCs w:val="24"/>
            <w:u w:val="single"/>
          </w:rPr>
          <w:t>http://www.bailii.org/scot/cases/ScotCS/2013/59.html</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CIPD (2022) </w:t>
      </w:r>
      <w:r w:rsidRPr="00E40C96">
        <w:rPr>
          <w:rFonts w:ascii="Arial" w:hAnsi="Arial" w:cs="Arial"/>
          <w:i/>
          <w:sz w:val="24"/>
          <w:szCs w:val="24"/>
        </w:rPr>
        <w:t xml:space="preserve">A Guide to TUPE Transfers. </w:t>
      </w:r>
      <w:r w:rsidRPr="00E40C96">
        <w:rPr>
          <w:rFonts w:ascii="Arial" w:hAnsi="Arial" w:cs="Arial"/>
          <w:sz w:val="24"/>
          <w:szCs w:val="24"/>
        </w:rPr>
        <w:t xml:space="preserve">Available at: </w:t>
      </w:r>
      <w:hyperlink r:id="rId15" w:history="1">
        <w:r w:rsidRPr="00E40C96">
          <w:rPr>
            <w:rFonts w:ascii="Arial" w:hAnsi="Arial" w:cs="Arial"/>
            <w:color w:val="0000FF"/>
            <w:sz w:val="24"/>
            <w:szCs w:val="24"/>
            <w:u w:val="single"/>
          </w:rPr>
          <w:t>https://www.cipd.co.uk/Images/8208-a-guide-to-tupe-transfers-web_tcm18-44310.pdf</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CIPD (2021) </w:t>
      </w:r>
      <w:r w:rsidRPr="00E40C96">
        <w:rPr>
          <w:rFonts w:ascii="Arial" w:hAnsi="Arial" w:cs="Arial"/>
          <w:i/>
          <w:sz w:val="24"/>
          <w:szCs w:val="24"/>
        </w:rPr>
        <w:t xml:space="preserve">‘Fire and rehire’ – guidance for employers. </w:t>
      </w:r>
      <w:r w:rsidRPr="00E40C96">
        <w:rPr>
          <w:rFonts w:ascii="Arial" w:hAnsi="Arial" w:cs="Arial"/>
          <w:sz w:val="24"/>
          <w:szCs w:val="24"/>
        </w:rPr>
        <w:t xml:space="preserve">Available at: </w:t>
      </w:r>
      <w:hyperlink r:id="rId16" w:history="1">
        <w:r w:rsidRPr="00E40C96">
          <w:rPr>
            <w:rFonts w:ascii="Arial" w:hAnsi="Arial" w:cs="Arial"/>
            <w:color w:val="0000FF"/>
            <w:sz w:val="24"/>
            <w:szCs w:val="24"/>
            <w:u w:val="single"/>
          </w:rPr>
          <w:t>https://www.cipd.co.uk/knowledge/fundamentals/emp-law/terms-conditions/fire-rehire-employer-guidance</w:t>
        </w:r>
      </w:hyperlink>
      <w:r w:rsidRPr="00E40C96">
        <w:rPr>
          <w:rFonts w:ascii="Arial" w:hAnsi="Arial" w:cs="Arial"/>
          <w:sz w:val="24"/>
          <w:szCs w:val="24"/>
        </w:rPr>
        <w:t xml:space="preserve"> (Accessed: 8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CIPD (2021) </w:t>
      </w:r>
      <w:r w:rsidRPr="00E40C96">
        <w:rPr>
          <w:rFonts w:ascii="Arial" w:hAnsi="Arial" w:cs="Arial"/>
          <w:i/>
          <w:sz w:val="24"/>
          <w:szCs w:val="24"/>
        </w:rPr>
        <w:t xml:space="preserve">Redundancy: an introduction. </w:t>
      </w:r>
      <w:r w:rsidRPr="00E40C96">
        <w:rPr>
          <w:rFonts w:ascii="Arial" w:hAnsi="Arial" w:cs="Arial"/>
          <w:sz w:val="24"/>
          <w:szCs w:val="24"/>
        </w:rPr>
        <w:t xml:space="preserve">Available at: </w:t>
      </w:r>
      <w:hyperlink r:id="rId17" w:history="1">
        <w:r w:rsidRPr="00E40C96">
          <w:rPr>
            <w:rFonts w:ascii="Arial" w:hAnsi="Arial" w:cs="Arial"/>
            <w:color w:val="0000FF"/>
            <w:sz w:val="24"/>
            <w:szCs w:val="24"/>
            <w:u w:val="single"/>
          </w:rPr>
          <w:t>https://www.cipd.co.uk/knowledge/fundamentals/emp-law/redundancy/factsheet</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lastRenderedPageBreak/>
        <w:t xml:space="preserve">CIPD (2021) </w:t>
      </w:r>
      <w:r w:rsidRPr="00E40C96">
        <w:rPr>
          <w:rFonts w:ascii="Arial" w:hAnsi="Arial" w:cs="Arial"/>
          <w:i/>
          <w:sz w:val="24"/>
          <w:szCs w:val="24"/>
        </w:rPr>
        <w:t xml:space="preserve">Terms and conditions of employment Q&amp;A’s. </w:t>
      </w:r>
      <w:r w:rsidRPr="00E40C96">
        <w:rPr>
          <w:rFonts w:ascii="Arial" w:hAnsi="Arial" w:cs="Arial"/>
          <w:sz w:val="24"/>
          <w:szCs w:val="24"/>
        </w:rPr>
        <w:t xml:space="preserve">Available at: </w:t>
      </w:r>
      <w:hyperlink r:id="rId18" w:history="1">
        <w:r w:rsidRPr="00E40C96">
          <w:rPr>
            <w:rFonts w:ascii="Arial" w:hAnsi="Arial" w:cs="Arial"/>
            <w:color w:val="0000FF"/>
            <w:sz w:val="24"/>
            <w:szCs w:val="24"/>
            <w:u w:val="single"/>
          </w:rPr>
          <w:t>https://www.cipd.co.uk/knowledge/fundamentals/emp-law/terms-conditions/questions</w:t>
        </w:r>
      </w:hyperlink>
      <w:r w:rsidRPr="00E40C96">
        <w:rPr>
          <w:rFonts w:ascii="Arial" w:hAnsi="Arial" w:cs="Arial"/>
          <w:sz w:val="24"/>
          <w:szCs w:val="24"/>
        </w:rPr>
        <w:t xml:space="preserve"> (Accessed: 7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CIPD (2021) </w:t>
      </w:r>
      <w:r w:rsidRPr="00E40C96">
        <w:rPr>
          <w:rFonts w:ascii="Arial" w:hAnsi="Arial" w:cs="Arial"/>
          <w:i/>
          <w:sz w:val="24"/>
          <w:szCs w:val="24"/>
        </w:rPr>
        <w:t xml:space="preserve">Transfer of Undertakings (TUPE) Q&amp;A’s. </w:t>
      </w:r>
      <w:r w:rsidRPr="00E40C96">
        <w:rPr>
          <w:rFonts w:ascii="Arial" w:hAnsi="Arial" w:cs="Arial"/>
          <w:sz w:val="24"/>
          <w:szCs w:val="24"/>
        </w:rPr>
        <w:t xml:space="preserve">Available at: </w:t>
      </w:r>
      <w:hyperlink r:id="rId19" w:history="1">
        <w:r w:rsidRPr="00E40C96">
          <w:rPr>
            <w:rFonts w:ascii="Arial" w:hAnsi="Arial" w:cs="Arial"/>
            <w:color w:val="0000FF"/>
            <w:sz w:val="24"/>
            <w:szCs w:val="24"/>
            <w:u w:val="single"/>
          </w:rPr>
          <w:t>https://www.cipd.co.uk/knowledge/fundamentals/emp-law/tupe/questions</w:t>
        </w:r>
      </w:hyperlink>
      <w:r w:rsidRPr="00E40C96">
        <w:rPr>
          <w:rFonts w:ascii="Arial" w:hAnsi="Arial" w:cs="Arial"/>
          <w:sz w:val="24"/>
          <w:szCs w:val="24"/>
        </w:rPr>
        <w:t xml:space="preserve"> (Accessed: 4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shd w:val="clear" w:color="auto" w:fill="FFFFFF"/>
        </w:rPr>
      </w:pPr>
      <w:r w:rsidRPr="00E40C96">
        <w:rPr>
          <w:rFonts w:ascii="Arial" w:hAnsi="Arial" w:cs="Arial"/>
          <w:sz w:val="24"/>
          <w:szCs w:val="24"/>
          <w:shd w:val="clear" w:color="auto" w:fill="FFFFFF"/>
        </w:rPr>
        <w:t>‘Drafting contracts of employment and restrictive covenants’ (2002) </w:t>
      </w:r>
      <w:r w:rsidRPr="00E40C96">
        <w:rPr>
          <w:rFonts w:ascii="Arial" w:hAnsi="Arial" w:cs="Arial"/>
          <w:i/>
          <w:iCs/>
          <w:sz w:val="24"/>
          <w:szCs w:val="24"/>
          <w:shd w:val="clear" w:color="auto" w:fill="FFFFFF"/>
        </w:rPr>
        <w:t>Human Resource Management International Digest</w:t>
      </w:r>
      <w:r w:rsidRPr="00E40C96">
        <w:rPr>
          <w:rFonts w:ascii="Arial" w:hAnsi="Arial" w:cs="Arial"/>
          <w:sz w:val="24"/>
          <w:szCs w:val="24"/>
          <w:shd w:val="clear" w:color="auto" w:fill="FFFFFF"/>
        </w:rPr>
        <w:t xml:space="preserve">, 10(1), pp. 32-36. Available at: </w:t>
      </w:r>
      <w:hyperlink r:id="rId20" w:history="1">
        <w:r w:rsidRPr="00E40C96">
          <w:rPr>
            <w:rFonts w:ascii="Arial" w:hAnsi="Arial" w:cs="Arial"/>
            <w:color w:val="0000FF"/>
            <w:sz w:val="24"/>
            <w:szCs w:val="24"/>
            <w:u w:val="single"/>
            <w:shd w:val="clear" w:color="auto" w:fill="FFFFFF"/>
          </w:rPr>
          <w:t>https://www.proquest.com/docview/214893381?accountid=130472&amp;parentSessionId=0oYa8E7bD%2Fkc7gwAjglhWqIYRVvRLG3NaBkq0I%2B%2Bga8%3D&amp;pq-origsite=primo</w:t>
        </w:r>
      </w:hyperlink>
      <w:r w:rsidRPr="00E40C96">
        <w:rPr>
          <w:rFonts w:ascii="Arial" w:hAnsi="Arial" w:cs="Arial"/>
          <w:sz w:val="24"/>
          <w:szCs w:val="24"/>
          <w:shd w:val="clear" w:color="auto" w:fill="FFFFFF"/>
        </w:rPr>
        <w:t xml:space="preserve"> (Accessed: 8 February 2022). </w:t>
      </w:r>
    </w:p>
    <w:p w:rsidR="00E40C96" w:rsidRPr="00E40C96" w:rsidRDefault="00E40C96" w:rsidP="00E40C96">
      <w:pPr>
        <w:spacing w:line="259" w:lineRule="auto"/>
        <w:ind w:left="720"/>
        <w:contextualSpacing/>
        <w:rPr>
          <w:rFonts w:ascii="Arial" w:hAnsi="Arial" w:cs="Arial"/>
          <w:sz w:val="24"/>
          <w:szCs w:val="24"/>
          <w:shd w:val="clear" w:color="auto" w:fill="FFFFFF"/>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Fanning, S. (2010) </w:t>
      </w:r>
      <w:r w:rsidRPr="00E40C96">
        <w:rPr>
          <w:rFonts w:ascii="Arial" w:hAnsi="Arial" w:cs="Arial"/>
          <w:i/>
          <w:sz w:val="24"/>
          <w:szCs w:val="24"/>
        </w:rPr>
        <w:t xml:space="preserve">Case of the week: Changes to terms and conditions. </w:t>
      </w:r>
      <w:r w:rsidRPr="00E40C96">
        <w:rPr>
          <w:rFonts w:ascii="Arial" w:hAnsi="Arial" w:cs="Arial"/>
          <w:sz w:val="24"/>
          <w:szCs w:val="24"/>
        </w:rPr>
        <w:t xml:space="preserve">Available at: </w:t>
      </w:r>
      <w:hyperlink r:id="rId21" w:history="1">
        <w:r w:rsidRPr="00E40C96">
          <w:rPr>
            <w:rFonts w:ascii="Arial" w:hAnsi="Arial" w:cs="Arial"/>
            <w:color w:val="0000FF"/>
            <w:sz w:val="24"/>
            <w:szCs w:val="24"/>
            <w:u w:val="single"/>
          </w:rPr>
          <w:t>https://www.xperthr.co.uk/law-reports/case-of-the-week-changes-to-terms-and-conditions/101737/</w:t>
        </w:r>
      </w:hyperlink>
      <w:r w:rsidRPr="00E40C96">
        <w:rPr>
          <w:rFonts w:ascii="Arial" w:hAnsi="Arial" w:cs="Arial"/>
          <w:sz w:val="24"/>
          <w:szCs w:val="24"/>
        </w:rPr>
        <w:t xml:space="preserve"> (Accessed: 9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Faulkner, D. and O’Neill, L. (no date) </w:t>
      </w:r>
      <w:r w:rsidRPr="00E40C96">
        <w:rPr>
          <w:rFonts w:ascii="Arial" w:hAnsi="Arial" w:cs="Arial"/>
          <w:i/>
          <w:sz w:val="24"/>
          <w:szCs w:val="24"/>
        </w:rPr>
        <w:t xml:space="preserve">How to comply with the law on dismissal of employees in relation to TUPE transfers. </w:t>
      </w:r>
      <w:r w:rsidRPr="00E40C96">
        <w:rPr>
          <w:rFonts w:ascii="Arial" w:hAnsi="Arial" w:cs="Arial"/>
          <w:sz w:val="24"/>
          <w:szCs w:val="24"/>
        </w:rPr>
        <w:t xml:space="preserve">Available at: </w:t>
      </w:r>
      <w:hyperlink r:id="rId22" w:history="1">
        <w:r w:rsidRPr="00E40C96">
          <w:rPr>
            <w:rFonts w:ascii="Arial" w:hAnsi="Arial" w:cs="Arial"/>
            <w:color w:val="0000FF"/>
            <w:sz w:val="24"/>
            <w:szCs w:val="24"/>
            <w:u w:val="single"/>
          </w:rPr>
          <w:t>https://www.xperthr.co.uk/how-to/how-to-comply-with-the-law-on-dismissal-of-employees-in-relation-to-tupe-transfers/116382/?keywords=redundancies+following+TUPE&amp;searchrank=4</w:t>
        </w:r>
      </w:hyperlink>
      <w:r w:rsidRPr="00E40C96">
        <w:rPr>
          <w:rFonts w:ascii="Arial" w:hAnsi="Arial" w:cs="Arial"/>
          <w:sz w:val="24"/>
          <w:szCs w:val="24"/>
        </w:rPr>
        <w:t xml:space="preserve"> (Accessed: 5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‘Gabriel v Peninsula Business Services Ltd &amp; Anor’ (2012) United Kingdom Employment Appeal Tribunal, case 0190_11_2302. </w:t>
      </w:r>
      <w:r w:rsidRPr="00E40C96">
        <w:rPr>
          <w:rFonts w:ascii="Arial" w:hAnsi="Arial" w:cs="Arial"/>
          <w:i/>
          <w:sz w:val="24"/>
          <w:szCs w:val="24"/>
        </w:rPr>
        <w:t xml:space="preserve">CIPD. </w:t>
      </w:r>
      <w:r w:rsidRPr="00E40C96">
        <w:rPr>
          <w:rFonts w:ascii="Arial" w:hAnsi="Arial" w:cs="Arial"/>
          <w:sz w:val="24"/>
          <w:szCs w:val="24"/>
        </w:rPr>
        <w:t xml:space="preserve">Available at:  </w:t>
      </w:r>
      <w:hyperlink r:id="rId23" w:history="1">
        <w:r w:rsidRPr="00E40C96">
          <w:rPr>
            <w:rFonts w:ascii="Arial" w:hAnsi="Arial" w:cs="Arial"/>
            <w:color w:val="0000FF"/>
            <w:sz w:val="24"/>
            <w:szCs w:val="24"/>
            <w:u w:val="single"/>
          </w:rPr>
          <w:t>http://www.bailii.org/uk/cases/UKEAT/2012/0190_11_2302.html</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GOV.UK (no date) </w:t>
      </w:r>
      <w:r w:rsidRPr="00E40C96">
        <w:rPr>
          <w:rFonts w:ascii="Arial" w:hAnsi="Arial" w:cs="Arial"/>
          <w:i/>
          <w:sz w:val="24"/>
          <w:szCs w:val="24"/>
        </w:rPr>
        <w:t xml:space="preserve">Employer relocation: your rights. </w:t>
      </w:r>
      <w:r w:rsidRPr="00E40C96">
        <w:rPr>
          <w:rFonts w:ascii="Arial" w:hAnsi="Arial" w:cs="Arial"/>
          <w:sz w:val="24"/>
          <w:szCs w:val="24"/>
        </w:rPr>
        <w:t xml:space="preserve">Available at: </w:t>
      </w:r>
      <w:hyperlink r:id="rId24" w:history="1">
        <w:r w:rsidRPr="00E40C96">
          <w:rPr>
            <w:rFonts w:ascii="Arial" w:hAnsi="Arial" w:cs="Arial"/>
            <w:color w:val="0000FF"/>
            <w:sz w:val="24"/>
            <w:szCs w:val="24"/>
            <w:u w:val="single"/>
          </w:rPr>
          <w:t>https://www.gov.uk/employer-relocation-your-rights</w:t>
        </w:r>
      </w:hyperlink>
      <w:r w:rsidRPr="00E40C96">
        <w:rPr>
          <w:rFonts w:ascii="Arial" w:hAnsi="Arial" w:cs="Arial"/>
          <w:sz w:val="24"/>
          <w:szCs w:val="24"/>
        </w:rPr>
        <w:t xml:space="preserve"> (Accessed: 8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Green, J. (no date) </w:t>
      </w:r>
      <w:r w:rsidRPr="00E40C96">
        <w:rPr>
          <w:rFonts w:ascii="Arial" w:hAnsi="Arial" w:cs="Arial"/>
          <w:i/>
          <w:sz w:val="24"/>
          <w:szCs w:val="24"/>
        </w:rPr>
        <w:t xml:space="preserve">How to deal with the provision of employee benefits following a TUPE transfer. </w:t>
      </w:r>
      <w:r w:rsidRPr="00E40C96">
        <w:rPr>
          <w:rFonts w:ascii="Arial" w:hAnsi="Arial" w:cs="Arial"/>
          <w:sz w:val="24"/>
          <w:szCs w:val="24"/>
        </w:rPr>
        <w:t xml:space="preserve">Available at: </w:t>
      </w:r>
      <w:hyperlink r:id="rId25" w:history="1">
        <w:r w:rsidRPr="00E40C96">
          <w:rPr>
            <w:rFonts w:ascii="Arial" w:hAnsi="Arial" w:cs="Arial"/>
            <w:color w:val="0000FF"/>
            <w:sz w:val="24"/>
            <w:szCs w:val="24"/>
            <w:u w:val="single"/>
          </w:rPr>
          <w:t>https://www.xperthr.co.uk/how-to/how-to-deal-with-the-provision-of-employee-benefits-following-a-tupe-transfer/151945/?keywords=legal+obligations+of+transferee&amp;searchrank=1</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i/>
          <w:sz w:val="24"/>
          <w:szCs w:val="24"/>
        </w:rPr>
      </w:pPr>
      <w:r w:rsidRPr="00E40C96">
        <w:rPr>
          <w:rFonts w:ascii="Arial" w:hAnsi="Arial" w:cs="Arial"/>
          <w:sz w:val="24"/>
          <w:szCs w:val="24"/>
        </w:rPr>
        <w:t xml:space="preserve">Lewis, D.B. and </w:t>
      </w:r>
      <w:proofErr w:type="spellStart"/>
      <w:r w:rsidRPr="00E40C96">
        <w:rPr>
          <w:rFonts w:ascii="Arial" w:hAnsi="Arial" w:cs="Arial"/>
          <w:sz w:val="24"/>
          <w:szCs w:val="24"/>
        </w:rPr>
        <w:t>Sargeant</w:t>
      </w:r>
      <w:proofErr w:type="spellEnd"/>
      <w:r w:rsidRPr="00E40C96">
        <w:rPr>
          <w:rFonts w:ascii="Arial" w:hAnsi="Arial" w:cs="Arial"/>
          <w:sz w:val="24"/>
          <w:szCs w:val="24"/>
        </w:rPr>
        <w:t xml:space="preserve">, M. (2019) </w:t>
      </w:r>
      <w:r w:rsidRPr="00E40C96">
        <w:rPr>
          <w:rFonts w:ascii="Arial" w:hAnsi="Arial" w:cs="Arial"/>
          <w:i/>
          <w:sz w:val="24"/>
          <w:szCs w:val="24"/>
        </w:rPr>
        <w:t xml:space="preserve">Employment Law: The Essentials. </w:t>
      </w:r>
      <w:r w:rsidRPr="00E40C96">
        <w:rPr>
          <w:rFonts w:ascii="Arial" w:hAnsi="Arial" w:cs="Arial"/>
          <w:sz w:val="24"/>
          <w:szCs w:val="24"/>
        </w:rPr>
        <w:t>15</w:t>
      </w:r>
      <w:r w:rsidRPr="00E40C96">
        <w:rPr>
          <w:rFonts w:ascii="Arial" w:hAnsi="Arial" w:cs="Arial"/>
          <w:sz w:val="24"/>
          <w:szCs w:val="24"/>
          <w:vertAlign w:val="superscript"/>
        </w:rPr>
        <w:t>th</w:t>
      </w:r>
      <w:r w:rsidRPr="00E40C96">
        <w:rPr>
          <w:rFonts w:ascii="Arial" w:hAnsi="Arial" w:cs="Arial"/>
          <w:sz w:val="24"/>
          <w:szCs w:val="24"/>
        </w:rPr>
        <w:t xml:space="preserve"> </w:t>
      </w:r>
      <w:proofErr w:type="spellStart"/>
      <w:r w:rsidRPr="00E40C96">
        <w:rPr>
          <w:rFonts w:ascii="Arial" w:hAnsi="Arial" w:cs="Arial"/>
          <w:sz w:val="24"/>
          <w:szCs w:val="24"/>
        </w:rPr>
        <w:t>edn</w:t>
      </w:r>
      <w:proofErr w:type="spellEnd"/>
      <w:r w:rsidRPr="00E40C96">
        <w:rPr>
          <w:rFonts w:ascii="Arial" w:hAnsi="Arial" w:cs="Arial"/>
          <w:sz w:val="24"/>
          <w:szCs w:val="24"/>
        </w:rPr>
        <w:t xml:space="preserve">. London: </w:t>
      </w:r>
      <w:proofErr w:type="spellStart"/>
      <w:r w:rsidRPr="00E40C96">
        <w:rPr>
          <w:rFonts w:ascii="Arial" w:hAnsi="Arial" w:cs="Arial"/>
          <w:sz w:val="24"/>
          <w:szCs w:val="24"/>
        </w:rPr>
        <w:t>Kogan</w:t>
      </w:r>
      <w:proofErr w:type="spellEnd"/>
      <w:r w:rsidRPr="00E40C96">
        <w:rPr>
          <w:rFonts w:ascii="Arial" w:hAnsi="Arial" w:cs="Arial"/>
          <w:sz w:val="24"/>
          <w:szCs w:val="24"/>
        </w:rPr>
        <w:t xml:space="preserve"> Page, Limited. </w:t>
      </w:r>
      <w:r w:rsidRPr="00E40C96">
        <w:rPr>
          <w:rFonts w:ascii="Arial" w:hAnsi="Arial" w:cs="Arial"/>
          <w:i/>
          <w:sz w:val="24"/>
          <w:szCs w:val="24"/>
        </w:rPr>
        <w:t xml:space="preserve"> </w:t>
      </w:r>
    </w:p>
    <w:p w:rsidR="00E40C96" w:rsidRPr="00E40C96" w:rsidRDefault="00E40C96" w:rsidP="00E40C96">
      <w:pPr>
        <w:spacing w:line="259" w:lineRule="auto"/>
        <w:ind w:left="720"/>
        <w:contextualSpacing/>
        <w:rPr>
          <w:rFonts w:ascii="Arial" w:hAnsi="Arial" w:cs="Arial"/>
          <w:i/>
          <w:sz w:val="24"/>
          <w:szCs w:val="24"/>
        </w:rPr>
      </w:pPr>
    </w:p>
    <w:p w:rsidR="00E40C96" w:rsidRPr="00E40C96" w:rsidRDefault="00E40C96" w:rsidP="00E40C96">
      <w:pPr>
        <w:spacing w:line="259" w:lineRule="auto"/>
        <w:ind w:left="720"/>
        <w:contextualSpacing/>
        <w:rPr>
          <w:rFonts w:ascii="Arial" w:hAnsi="Arial" w:cs="Arial"/>
          <w:i/>
          <w:sz w:val="24"/>
          <w:szCs w:val="24"/>
        </w:rPr>
      </w:pPr>
    </w:p>
    <w:p w:rsidR="00E40C96" w:rsidRPr="00E40C96" w:rsidRDefault="00E40C96" w:rsidP="00E40C96">
      <w:pPr>
        <w:spacing w:line="259" w:lineRule="auto"/>
        <w:ind w:left="720"/>
        <w:contextualSpacing/>
        <w:rPr>
          <w:rFonts w:ascii="Arial" w:hAnsi="Arial" w:cs="Arial"/>
          <w:i/>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proofErr w:type="spellStart"/>
      <w:r w:rsidRPr="00E40C96">
        <w:rPr>
          <w:rFonts w:ascii="Arial" w:hAnsi="Arial" w:cs="Arial"/>
          <w:sz w:val="24"/>
          <w:szCs w:val="24"/>
        </w:rPr>
        <w:lastRenderedPageBreak/>
        <w:t>Maddocks</w:t>
      </w:r>
      <w:proofErr w:type="spellEnd"/>
      <w:r w:rsidRPr="00E40C96">
        <w:rPr>
          <w:rFonts w:ascii="Arial" w:hAnsi="Arial" w:cs="Arial"/>
          <w:sz w:val="24"/>
          <w:szCs w:val="24"/>
        </w:rPr>
        <w:t xml:space="preserve">, R. (2018) </w:t>
      </w:r>
      <w:r w:rsidRPr="00E40C96">
        <w:rPr>
          <w:rFonts w:ascii="Arial" w:hAnsi="Arial" w:cs="Arial"/>
          <w:i/>
          <w:sz w:val="24"/>
          <w:szCs w:val="24"/>
        </w:rPr>
        <w:t xml:space="preserve">Time to spring clean your employment contracts. </w:t>
      </w:r>
      <w:r w:rsidRPr="00E40C96">
        <w:rPr>
          <w:rFonts w:ascii="Arial" w:hAnsi="Arial" w:cs="Arial"/>
          <w:sz w:val="24"/>
          <w:szCs w:val="24"/>
        </w:rPr>
        <w:t xml:space="preserve">Available at: </w:t>
      </w:r>
      <w:hyperlink r:id="rId26" w:anchor="_ga=2.140064634.891201900.1644350250-773380624.1607093626&amp;_gac=1.249761458.1640862302.EAIaIQobChMIyZGqsrCL9QIVBertCh3A0wKhEAAYAiAAEgJJF_D_BwE" w:history="1">
        <w:r w:rsidRPr="00E40C96">
          <w:rPr>
            <w:rFonts w:ascii="Arial" w:hAnsi="Arial" w:cs="Arial"/>
            <w:color w:val="0000FF"/>
            <w:sz w:val="24"/>
            <w:szCs w:val="24"/>
            <w:u w:val="single"/>
          </w:rPr>
          <w:t>https://www.peoplemanagement.co.uk/experts/legal/spring-clean-employment-contracts#_ga=2.140064634.891201900.1644350250-773380624.1607093626&amp;_gac=1.249761458.1640862302.EAIaIQobChMIyZGqsrCL9QIVBertCh3A0wKhEAAYAiAAEgJJF_D_BwE</w:t>
        </w:r>
      </w:hyperlink>
      <w:r w:rsidRPr="00E40C96">
        <w:rPr>
          <w:rFonts w:ascii="Arial" w:hAnsi="Arial" w:cs="Arial"/>
          <w:sz w:val="24"/>
          <w:szCs w:val="24"/>
        </w:rPr>
        <w:t xml:space="preserve"> (Accessed: 7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McCulloch, A. (2022) </w:t>
      </w:r>
      <w:r w:rsidRPr="00E40C96">
        <w:rPr>
          <w:rFonts w:ascii="Arial" w:hAnsi="Arial" w:cs="Arial"/>
          <w:i/>
          <w:sz w:val="24"/>
          <w:szCs w:val="24"/>
        </w:rPr>
        <w:t xml:space="preserve">Union defeats Tesco at High Court in fire and rehire case. </w:t>
      </w:r>
      <w:r w:rsidRPr="00E40C96">
        <w:rPr>
          <w:rFonts w:ascii="Arial" w:hAnsi="Arial" w:cs="Arial"/>
          <w:sz w:val="24"/>
          <w:szCs w:val="24"/>
        </w:rPr>
        <w:t xml:space="preserve">Available at: </w:t>
      </w:r>
      <w:hyperlink r:id="rId27" w:history="1">
        <w:r w:rsidRPr="00E40C96">
          <w:rPr>
            <w:rFonts w:ascii="Arial" w:hAnsi="Arial" w:cs="Arial"/>
            <w:color w:val="0000FF"/>
            <w:sz w:val="24"/>
            <w:szCs w:val="24"/>
            <w:u w:val="single"/>
          </w:rPr>
          <w:t>https://www.personneltoday.com/hr/union-defeats-tesco-at-high-court-in-fire-and-rehire-case/</w:t>
        </w:r>
      </w:hyperlink>
      <w:r w:rsidRPr="00E40C96">
        <w:rPr>
          <w:rFonts w:ascii="Arial" w:hAnsi="Arial" w:cs="Arial"/>
          <w:sz w:val="24"/>
          <w:szCs w:val="24"/>
        </w:rPr>
        <w:t xml:space="preserve"> (Accessed: 14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‘Morgan v Network Europe Group Ltd’ (2011) United Kingdom Employment Appeal Tribunal, case 0159_10_1401. </w:t>
      </w:r>
      <w:r w:rsidRPr="00E40C96">
        <w:rPr>
          <w:rFonts w:ascii="Arial" w:hAnsi="Arial" w:cs="Arial"/>
          <w:i/>
          <w:sz w:val="24"/>
          <w:szCs w:val="24"/>
        </w:rPr>
        <w:t xml:space="preserve">Personnel Today. </w:t>
      </w:r>
      <w:r w:rsidRPr="00E40C96">
        <w:rPr>
          <w:rFonts w:ascii="Arial" w:hAnsi="Arial" w:cs="Arial"/>
          <w:sz w:val="24"/>
          <w:szCs w:val="24"/>
        </w:rPr>
        <w:t xml:space="preserve">Available at: </w:t>
      </w:r>
      <w:hyperlink r:id="rId28" w:history="1">
        <w:r w:rsidRPr="00E40C96">
          <w:rPr>
            <w:rFonts w:ascii="Arial" w:hAnsi="Arial" w:cs="Arial"/>
            <w:color w:val="0000FF"/>
            <w:sz w:val="24"/>
            <w:szCs w:val="24"/>
            <w:u w:val="single"/>
          </w:rPr>
          <w:t>http://www.bailii.org/uk/cases/UKEAT/2011/0159_10_1401.html</w:t>
        </w:r>
      </w:hyperlink>
      <w:r w:rsidRPr="00E40C96">
        <w:rPr>
          <w:rFonts w:ascii="Arial" w:hAnsi="Arial" w:cs="Arial"/>
          <w:sz w:val="24"/>
          <w:szCs w:val="24"/>
        </w:rPr>
        <w:t xml:space="preserve"> (</w:t>
      </w:r>
      <w:proofErr w:type="spellStart"/>
      <w:r w:rsidRPr="00E40C96">
        <w:rPr>
          <w:rFonts w:ascii="Arial" w:hAnsi="Arial" w:cs="Arial"/>
          <w:sz w:val="24"/>
          <w:szCs w:val="24"/>
        </w:rPr>
        <w:t>Accesed</w:t>
      </w:r>
      <w:proofErr w:type="spellEnd"/>
      <w:r w:rsidRPr="00E40C96">
        <w:rPr>
          <w:rFonts w:ascii="Arial" w:hAnsi="Arial" w:cs="Arial"/>
          <w:sz w:val="24"/>
          <w:szCs w:val="24"/>
        </w:rPr>
        <w:t xml:space="preserve">: 8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w:t>
      </w:r>
      <w:proofErr w:type="spellStart"/>
      <w:r w:rsidRPr="00E40C96">
        <w:rPr>
          <w:rFonts w:ascii="Arial" w:hAnsi="Arial" w:cs="Arial"/>
          <w:sz w:val="24"/>
          <w:szCs w:val="24"/>
        </w:rPr>
        <w:t>Mugford</w:t>
      </w:r>
      <w:proofErr w:type="spellEnd"/>
      <w:r w:rsidRPr="00E40C96">
        <w:rPr>
          <w:rFonts w:ascii="Arial" w:hAnsi="Arial" w:cs="Arial"/>
          <w:sz w:val="24"/>
          <w:szCs w:val="24"/>
        </w:rPr>
        <w:t xml:space="preserve"> v Midland Bank Plc.’ (1997) United Kingdom Employment Appeal Tribunal, case 760_96_2301. </w:t>
      </w:r>
      <w:r w:rsidRPr="00E40C96">
        <w:rPr>
          <w:rFonts w:ascii="Arial" w:hAnsi="Arial" w:cs="Arial"/>
          <w:i/>
          <w:sz w:val="24"/>
          <w:szCs w:val="24"/>
        </w:rPr>
        <w:t xml:space="preserve">BAILII. </w:t>
      </w:r>
      <w:r w:rsidRPr="00E40C96">
        <w:rPr>
          <w:rFonts w:ascii="Arial" w:hAnsi="Arial" w:cs="Arial"/>
          <w:sz w:val="24"/>
          <w:szCs w:val="24"/>
        </w:rPr>
        <w:t xml:space="preserve">Available at: </w:t>
      </w:r>
      <w:hyperlink r:id="rId29" w:history="1">
        <w:r w:rsidRPr="00E40C96">
          <w:rPr>
            <w:rFonts w:ascii="Arial" w:hAnsi="Arial" w:cs="Arial"/>
            <w:color w:val="0000FF"/>
            <w:sz w:val="24"/>
            <w:szCs w:val="24"/>
            <w:u w:val="single"/>
          </w:rPr>
          <w:t>http://www.bailii.org/uk/cases/UKEAT/1997/760_96_2301.html</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‘New ISG Ltd v Vernon &amp; </w:t>
      </w:r>
      <w:proofErr w:type="spellStart"/>
      <w:r w:rsidRPr="00E40C96">
        <w:rPr>
          <w:rFonts w:ascii="Arial" w:hAnsi="Arial" w:cs="Arial"/>
          <w:sz w:val="24"/>
          <w:szCs w:val="24"/>
        </w:rPr>
        <w:t>Ors</w:t>
      </w:r>
      <w:proofErr w:type="spellEnd"/>
      <w:r w:rsidRPr="00E40C96">
        <w:rPr>
          <w:rFonts w:ascii="Arial" w:hAnsi="Arial" w:cs="Arial"/>
          <w:sz w:val="24"/>
          <w:szCs w:val="24"/>
        </w:rPr>
        <w:t xml:space="preserve">’ (2007) England and Wales High Court (Chancery Division), case 2665. </w:t>
      </w:r>
      <w:r w:rsidRPr="00E40C96">
        <w:rPr>
          <w:rFonts w:ascii="Arial" w:hAnsi="Arial" w:cs="Arial"/>
          <w:i/>
          <w:sz w:val="24"/>
          <w:szCs w:val="24"/>
        </w:rPr>
        <w:t xml:space="preserve">BAILII. </w:t>
      </w:r>
      <w:r w:rsidRPr="00E40C96">
        <w:rPr>
          <w:rFonts w:ascii="Arial" w:hAnsi="Arial" w:cs="Arial"/>
          <w:sz w:val="24"/>
          <w:szCs w:val="24"/>
        </w:rPr>
        <w:t xml:space="preserve">Available at: </w:t>
      </w:r>
      <w:hyperlink r:id="rId30" w:history="1">
        <w:r w:rsidRPr="00E40C96">
          <w:rPr>
            <w:rFonts w:ascii="Arial" w:hAnsi="Arial" w:cs="Arial"/>
            <w:color w:val="0000FF"/>
            <w:sz w:val="24"/>
            <w:szCs w:val="24"/>
            <w:u w:val="single"/>
          </w:rPr>
          <w:t>http://www.bailii.org/ew/cases/EWHC/Ch/2007/2665.html</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Personnel Today (no date) </w:t>
      </w:r>
      <w:r w:rsidRPr="00E40C96">
        <w:rPr>
          <w:rFonts w:ascii="Arial" w:hAnsi="Arial" w:cs="Arial"/>
          <w:i/>
          <w:sz w:val="24"/>
          <w:szCs w:val="24"/>
        </w:rPr>
        <w:t xml:space="preserve">Constructive Dismissal. </w:t>
      </w:r>
      <w:r w:rsidRPr="00E40C96">
        <w:rPr>
          <w:rFonts w:ascii="Arial" w:hAnsi="Arial" w:cs="Arial"/>
          <w:sz w:val="24"/>
          <w:szCs w:val="24"/>
        </w:rPr>
        <w:t xml:space="preserve">Available at: </w:t>
      </w:r>
      <w:hyperlink r:id="rId31" w:history="1">
        <w:r w:rsidRPr="00E40C96">
          <w:rPr>
            <w:rFonts w:ascii="Arial" w:hAnsi="Arial" w:cs="Arial"/>
            <w:color w:val="0000FF"/>
            <w:sz w:val="24"/>
            <w:szCs w:val="24"/>
            <w:u w:val="single"/>
          </w:rPr>
          <w:t>https://www.personneltoday.com/employment-law/constructive-dismissal/</w:t>
        </w:r>
      </w:hyperlink>
      <w:r w:rsidRPr="00E40C96">
        <w:rPr>
          <w:rFonts w:ascii="Arial" w:hAnsi="Arial" w:cs="Arial"/>
          <w:sz w:val="24"/>
          <w:szCs w:val="24"/>
        </w:rPr>
        <w:t xml:space="preserve"> (Accessed: 9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Robertson, N. (no date) </w:t>
      </w:r>
      <w:r w:rsidRPr="00E40C96">
        <w:rPr>
          <w:rFonts w:ascii="Arial" w:hAnsi="Arial" w:cs="Arial"/>
          <w:i/>
          <w:sz w:val="24"/>
          <w:szCs w:val="24"/>
        </w:rPr>
        <w:t xml:space="preserve">How to change the terms of existing employment contracts. </w:t>
      </w:r>
      <w:r w:rsidRPr="00E40C96">
        <w:rPr>
          <w:rFonts w:ascii="Arial" w:hAnsi="Arial" w:cs="Arial"/>
          <w:sz w:val="24"/>
          <w:szCs w:val="24"/>
        </w:rPr>
        <w:t xml:space="preserve">Available at: </w:t>
      </w:r>
      <w:hyperlink r:id="rId32" w:history="1">
        <w:r w:rsidRPr="00E40C96">
          <w:rPr>
            <w:rFonts w:ascii="Arial" w:hAnsi="Arial" w:cs="Arial"/>
            <w:color w:val="0000FF"/>
            <w:sz w:val="24"/>
            <w:szCs w:val="24"/>
            <w:u w:val="single"/>
          </w:rPr>
          <w:t>https://www.xperthr.co.uk/how-to/how-to-change-the-terms-of-existing-employment-contracts/26865/?keywords=advantages+of+flexibility+clause&amp;searchrank=4</w:t>
        </w:r>
      </w:hyperlink>
      <w:r w:rsidRPr="00E40C96">
        <w:rPr>
          <w:rFonts w:ascii="Arial" w:hAnsi="Arial" w:cs="Arial"/>
          <w:sz w:val="24"/>
          <w:szCs w:val="24"/>
        </w:rPr>
        <w:t xml:space="preserve"> (Accessed: 9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Springer, C. (2016) </w:t>
      </w:r>
      <w:r w:rsidRPr="00E40C96">
        <w:rPr>
          <w:rFonts w:ascii="Arial" w:hAnsi="Arial" w:cs="Arial"/>
          <w:i/>
          <w:sz w:val="24"/>
          <w:szCs w:val="24"/>
        </w:rPr>
        <w:t xml:space="preserve">Varying contracts of employment: what are the risks for employers? </w:t>
      </w:r>
      <w:r w:rsidRPr="00E40C96">
        <w:rPr>
          <w:rFonts w:ascii="Arial" w:hAnsi="Arial" w:cs="Arial"/>
          <w:sz w:val="24"/>
          <w:szCs w:val="24"/>
        </w:rPr>
        <w:t xml:space="preserve">Available at: </w:t>
      </w:r>
      <w:hyperlink r:id="rId33" w:history="1">
        <w:r w:rsidRPr="00E40C96">
          <w:rPr>
            <w:rFonts w:ascii="Arial" w:hAnsi="Arial" w:cs="Arial"/>
            <w:color w:val="0000FF"/>
            <w:sz w:val="24"/>
            <w:szCs w:val="24"/>
            <w:u w:val="single"/>
          </w:rPr>
          <w:t>https://www.personneltoday.com/hr/variation-of-contract-of-employment-risks-for-employers/</w:t>
        </w:r>
      </w:hyperlink>
      <w:r w:rsidRPr="00E40C96">
        <w:rPr>
          <w:rFonts w:ascii="Arial" w:hAnsi="Arial" w:cs="Arial"/>
          <w:sz w:val="24"/>
          <w:szCs w:val="24"/>
        </w:rPr>
        <w:t xml:space="preserve"> (Accessed: 8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‘United Bank Ltd v Akhtar’ (1989) United Kingdom Employment Appeal Tribunal, case 230_88_1210. </w:t>
      </w:r>
      <w:r w:rsidRPr="00E40C96">
        <w:rPr>
          <w:rFonts w:ascii="Arial" w:hAnsi="Arial" w:cs="Arial"/>
          <w:i/>
          <w:sz w:val="24"/>
          <w:szCs w:val="24"/>
        </w:rPr>
        <w:t xml:space="preserve">CIPD. </w:t>
      </w:r>
      <w:r w:rsidRPr="00E40C96">
        <w:rPr>
          <w:rFonts w:ascii="Arial" w:hAnsi="Arial" w:cs="Arial"/>
          <w:sz w:val="24"/>
          <w:szCs w:val="24"/>
        </w:rPr>
        <w:t xml:space="preserve">Available at:  </w:t>
      </w:r>
      <w:hyperlink r:id="rId34" w:history="1">
        <w:r w:rsidRPr="00E40C96">
          <w:rPr>
            <w:rFonts w:ascii="Arial" w:hAnsi="Arial" w:cs="Arial"/>
            <w:color w:val="0000FF"/>
            <w:sz w:val="24"/>
            <w:szCs w:val="24"/>
            <w:u w:val="single"/>
          </w:rPr>
          <w:t>http://www.bailii.org/uk/cases/UKEAT/1989/230_88_1210.html</w:t>
        </w:r>
      </w:hyperlink>
      <w:r w:rsidRPr="00E40C96">
        <w:rPr>
          <w:rFonts w:ascii="Arial" w:hAnsi="Arial" w:cs="Arial"/>
          <w:sz w:val="24"/>
          <w:szCs w:val="24"/>
        </w:rPr>
        <w:t xml:space="preserve"> (Accessed: 7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lastRenderedPageBreak/>
        <w:t xml:space="preserve">‘USDAW and others v Tesco Stores Ltd.’ (2022) England and Wales High Court, case 201. </w:t>
      </w:r>
      <w:r w:rsidRPr="00E40C96">
        <w:rPr>
          <w:rFonts w:ascii="Arial" w:hAnsi="Arial" w:cs="Arial"/>
          <w:i/>
          <w:sz w:val="24"/>
          <w:szCs w:val="24"/>
        </w:rPr>
        <w:t xml:space="preserve">Personnel Today. </w:t>
      </w:r>
      <w:r w:rsidRPr="00E40C96">
        <w:rPr>
          <w:rFonts w:ascii="Arial" w:hAnsi="Arial" w:cs="Arial"/>
          <w:sz w:val="24"/>
          <w:szCs w:val="24"/>
        </w:rPr>
        <w:t xml:space="preserve">Available at: </w:t>
      </w:r>
      <w:hyperlink r:id="rId35" w:history="1">
        <w:r w:rsidRPr="00E40C96">
          <w:rPr>
            <w:rFonts w:ascii="Arial" w:hAnsi="Arial" w:cs="Arial"/>
            <w:color w:val="0000FF"/>
            <w:sz w:val="24"/>
            <w:szCs w:val="24"/>
            <w:u w:val="single"/>
          </w:rPr>
          <w:t>http://www.bailii.org/ew/cases/EWHC/QB/2022/201.html</w:t>
        </w:r>
      </w:hyperlink>
      <w:r w:rsidRPr="00E40C96">
        <w:rPr>
          <w:rFonts w:ascii="Arial" w:hAnsi="Arial" w:cs="Arial"/>
          <w:sz w:val="24"/>
          <w:szCs w:val="24"/>
        </w:rPr>
        <w:t xml:space="preserve"> (Accessed: 14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White, C. (no date) </w:t>
      </w:r>
      <w:r w:rsidRPr="00E40C96">
        <w:rPr>
          <w:rFonts w:ascii="Arial" w:hAnsi="Arial" w:cs="Arial"/>
          <w:i/>
          <w:sz w:val="24"/>
          <w:szCs w:val="24"/>
        </w:rPr>
        <w:t xml:space="preserve">How to deal with the situation where the transferee disputes that TUPE applies. </w:t>
      </w:r>
      <w:r w:rsidRPr="00E40C96">
        <w:rPr>
          <w:rFonts w:ascii="Arial" w:hAnsi="Arial" w:cs="Arial"/>
          <w:sz w:val="24"/>
          <w:szCs w:val="24"/>
        </w:rPr>
        <w:t xml:space="preserve">Available at: </w:t>
      </w:r>
      <w:hyperlink r:id="rId36" w:anchor="understanding-whether-or-not-tupe-applies" w:history="1">
        <w:r w:rsidRPr="00E40C96">
          <w:rPr>
            <w:rFonts w:ascii="Arial" w:hAnsi="Arial" w:cs="Arial"/>
            <w:color w:val="0000FF"/>
            <w:sz w:val="24"/>
            <w:szCs w:val="24"/>
            <w:u w:val="single"/>
          </w:rPr>
          <w:t>https://www.xperthr.co.uk/how-to/how-to-deal-with-the-situation-where-the-transferee-disputes-that-tupe-applies/116535/?keywords=when+tupe+is+not+relevant&amp;searchrank=6#understanding-whether-or-not-tupe-applies</w:t>
        </w:r>
      </w:hyperlink>
      <w:r w:rsidRPr="00E40C96">
        <w:rPr>
          <w:rFonts w:ascii="Arial" w:hAnsi="Arial" w:cs="Arial"/>
          <w:sz w:val="24"/>
          <w:szCs w:val="24"/>
        </w:rPr>
        <w:t xml:space="preserve"> (Accessed: 6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r w:rsidRPr="00E40C96">
        <w:rPr>
          <w:rFonts w:ascii="Arial" w:hAnsi="Arial" w:cs="Arial"/>
          <w:sz w:val="24"/>
          <w:szCs w:val="24"/>
        </w:rPr>
        <w:t xml:space="preserve">‘Williams and others v </w:t>
      </w:r>
      <w:proofErr w:type="spellStart"/>
      <w:r w:rsidRPr="00E40C96">
        <w:rPr>
          <w:rFonts w:ascii="Arial" w:hAnsi="Arial" w:cs="Arial"/>
          <w:sz w:val="24"/>
          <w:szCs w:val="24"/>
        </w:rPr>
        <w:t>Compair</w:t>
      </w:r>
      <w:proofErr w:type="spellEnd"/>
      <w:r w:rsidRPr="00E40C96">
        <w:rPr>
          <w:rFonts w:ascii="Arial" w:hAnsi="Arial" w:cs="Arial"/>
          <w:sz w:val="24"/>
          <w:szCs w:val="24"/>
        </w:rPr>
        <w:t xml:space="preserve"> </w:t>
      </w:r>
      <w:proofErr w:type="spellStart"/>
      <w:r w:rsidRPr="00E40C96">
        <w:rPr>
          <w:rFonts w:ascii="Arial" w:hAnsi="Arial" w:cs="Arial"/>
          <w:sz w:val="24"/>
          <w:szCs w:val="24"/>
        </w:rPr>
        <w:t>Maxam</w:t>
      </w:r>
      <w:proofErr w:type="spellEnd"/>
      <w:r w:rsidRPr="00E40C96">
        <w:rPr>
          <w:rFonts w:ascii="Arial" w:hAnsi="Arial" w:cs="Arial"/>
          <w:sz w:val="24"/>
          <w:szCs w:val="24"/>
        </w:rPr>
        <w:t xml:space="preserve"> Ltd’ (1982) United Kingdom Employment Appeal Tribunal, case 372_81_2201. </w:t>
      </w:r>
      <w:proofErr w:type="spellStart"/>
      <w:r w:rsidRPr="00E40C96">
        <w:rPr>
          <w:rFonts w:ascii="Arial" w:hAnsi="Arial" w:cs="Arial"/>
          <w:i/>
          <w:sz w:val="24"/>
          <w:szCs w:val="24"/>
        </w:rPr>
        <w:t>XpertHR</w:t>
      </w:r>
      <w:proofErr w:type="spellEnd"/>
      <w:r w:rsidRPr="00E40C96">
        <w:rPr>
          <w:rFonts w:ascii="Arial" w:hAnsi="Arial" w:cs="Arial"/>
          <w:i/>
          <w:sz w:val="24"/>
          <w:szCs w:val="24"/>
        </w:rPr>
        <w:t xml:space="preserve">. </w:t>
      </w:r>
      <w:r w:rsidRPr="00E40C96">
        <w:rPr>
          <w:rFonts w:ascii="Arial" w:hAnsi="Arial" w:cs="Arial"/>
          <w:sz w:val="24"/>
          <w:szCs w:val="24"/>
        </w:rPr>
        <w:t xml:space="preserve">Available at: </w:t>
      </w:r>
      <w:hyperlink r:id="rId37" w:history="1">
        <w:r w:rsidRPr="00E40C96">
          <w:rPr>
            <w:rFonts w:ascii="Arial" w:hAnsi="Arial" w:cs="Arial"/>
            <w:color w:val="0000FF"/>
            <w:sz w:val="24"/>
            <w:szCs w:val="24"/>
            <w:u w:val="single"/>
          </w:rPr>
          <w:t>http://www.bailii.org/uk/cases/UKEAT/1982/372_81_2201.html</w:t>
        </w:r>
      </w:hyperlink>
      <w:r w:rsidRPr="00E40C96">
        <w:rPr>
          <w:rFonts w:ascii="Arial" w:hAnsi="Arial" w:cs="Arial"/>
          <w:sz w:val="24"/>
          <w:szCs w:val="24"/>
        </w:rPr>
        <w:t xml:space="preserve"> (Accessed: 6 February 2022). </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numPr>
          <w:ilvl w:val="0"/>
          <w:numId w:val="25"/>
        </w:numPr>
        <w:spacing w:line="259" w:lineRule="auto"/>
        <w:contextualSpacing/>
        <w:rPr>
          <w:rFonts w:ascii="Arial" w:hAnsi="Arial" w:cs="Arial"/>
          <w:sz w:val="24"/>
          <w:szCs w:val="24"/>
        </w:rPr>
      </w:pPr>
      <w:proofErr w:type="spellStart"/>
      <w:r w:rsidRPr="00E40C96">
        <w:rPr>
          <w:rFonts w:ascii="Arial" w:hAnsi="Arial" w:cs="Arial"/>
          <w:sz w:val="24"/>
          <w:szCs w:val="24"/>
        </w:rPr>
        <w:t>Wooller</w:t>
      </w:r>
      <w:proofErr w:type="spellEnd"/>
      <w:r w:rsidRPr="00E40C96">
        <w:rPr>
          <w:rFonts w:ascii="Arial" w:hAnsi="Arial" w:cs="Arial"/>
          <w:sz w:val="24"/>
          <w:szCs w:val="24"/>
        </w:rPr>
        <w:t xml:space="preserve">, K. (no date) </w:t>
      </w:r>
      <w:r w:rsidRPr="00E40C96">
        <w:rPr>
          <w:rFonts w:ascii="Arial" w:hAnsi="Arial" w:cs="Arial"/>
          <w:i/>
          <w:sz w:val="24"/>
          <w:szCs w:val="24"/>
        </w:rPr>
        <w:t xml:space="preserve">Informing and consulting prior to TUPE transfers. </w:t>
      </w:r>
      <w:r w:rsidRPr="00E40C96">
        <w:rPr>
          <w:rFonts w:ascii="Arial" w:hAnsi="Arial" w:cs="Arial"/>
          <w:sz w:val="24"/>
          <w:szCs w:val="24"/>
        </w:rPr>
        <w:t xml:space="preserve">Available at: </w:t>
      </w:r>
      <w:hyperlink r:id="rId38" w:history="1">
        <w:r w:rsidRPr="00E40C96">
          <w:rPr>
            <w:rFonts w:ascii="Arial" w:hAnsi="Arial" w:cs="Arial"/>
            <w:color w:val="0000FF"/>
            <w:sz w:val="24"/>
            <w:szCs w:val="24"/>
            <w:u w:val="single"/>
          </w:rPr>
          <w:t>https://www.xperthr.co.uk/employment-law-manual/informing-and-consulting-prior-to-tupe-transfers/20409/?keywords=legal+obligations+of+transferor&amp;searchrank=1</w:t>
        </w:r>
      </w:hyperlink>
      <w:r w:rsidRPr="00E40C96">
        <w:rPr>
          <w:rFonts w:ascii="Arial" w:hAnsi="Arial" w:cs="Arial"/>
          <w:sz w:val="24"/>
          <w:szCs w:val="24"/>
        </w:rPr>
        <w:t xml:space="preserve"> (Accessed: 5 February 2022).</w:t>
      </w: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i/>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shd w:val="clear" w:color="auto" w:fill="FFFFFF"/>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spacing w:line="259" w:lineRule="auto"/>
        <w:ind w:left="720"/>
        <w:contextualSpacing/>
        <w:rPr>
          <w:rFonts w:ascii="Arial" w:hAnsi="Arial" w:cs="Arial"/>
          <w:sz w:val="24"/>
          <w:szCs w:val="24"/>
        </w:rPr>
      </w:pPr>
    </w:p>
    <w:p w:rsidR="00E40C96" w:rsidRPr="00E40C96" w:rsidRDefault="00E40C96" w:rsidP="00E40C96">
      <w:pPr>
        <w:rPr>
          <w:rFonts w:ascii="Arial" w:hAnsi="Arial" w:cs="Arial"/>
          <w:sz w:val="24"/>
          <w:szCs w:val="24"/>
        </w:rPr>
      </w:pPr>
      <w:bookmarkStart w:id="0" w:name="_GoBack"/>
      <w:bookmarkEnd w:id="0"/>
    </w:p>
    <w:sectPr w:rsidR="00E40C96" w:rsidRPr="00E40C9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71FE" w:rsidRDefault="001871FE" w:rsidP="001871FE">
      <w:pPr>
        <w:spacing w:after="0" w:line="240" w:lineRule="auto"/>
      </w:pPr>
      <w:r>
        <w:separator/>
      </w:r>
    </w:p>
  </w:endnote>
  <w:endnote w:type="continuationSeparator" w:id="0">
    <w:p w:rsidR="001871FE" w:rsidRDefault="001871FE" w:rsidP="00187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1962991"/>
      <w:docPartObj>
        <w:docPartGallery w:val="Page Numbers (Bottom of Page)"/>
        <w:docPartUnique/>
      </w:docPartObj>
    </w:sdtPr>
    <w:sdtEndPr/>
    <w:sdtContent>
      <w:p w:rsidR="001871FE" w:rsidRDefault="001871FE">
        <w:pPr>
          <w:pStyle w:val="Footer"/>
          <w:jc w:val="center"/>
        </w:pPr>
        <w:r>
          <w:t>[</w:t>
        </w:r>
        <w:r>
          <w:fldChar w:fldCharType="begin"/>
        </w:r>
        <w:r>
          <w:instrText xml:space="preserve"> PAGE   \* MERGEFORMAT </w:instrText>
        </w:r>
        <w:r>
          <w:fldChar w:fldCharType="separate"/>
        </w:r>
        <w:r w:rsidR="000213EA">
          <w:rPr>
            <w:noProof/>
          </w:rPr>
          <w:t>19</w:t>
        </w:r>
        <w:r>
          <w:rPr>
            <w:noProof/>
          </w:rPr>
          <w:fldChar w:fldCharType="end"/>
        </w:r>
        <w:r>
          <w:t>]</w:t>
        </w:r>
      </w:p>
    </w:sdtContent>
  </w:sdt>
  <w:p w:rsidR="001871FE" w:rsidRDefault="00187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71FE" w:rsidRDefault="001871FE" w:rsidP="001871FE">
      <w:pPr>
        <w:spacing w:after="0" w:line="240" w:lineRule="auto"/>
      </w:pPr>
      <w:r>
        <w:separator/>
      </w:r>
    </w:p>
  </w:footnote>
  <w:footnote w:type="continuationSeparator" w:id="0">
    <w:p w:rsidR="001871FE" w:rsidRDefault="001871FE" w:rsidP="00187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0DBC" w:rsidRDefault="00A80DBC">
    <w:pPr>
      <w:pStyle w:val="Header"/>
    </w:pPr>
  </w:p>
  <w:p w:rsidR="00A80DBC" w:rsidRDefault="00A80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C3E2F"/>
    <w:multiLevelType w:val="multilevel"/>
    <w:tmpl w:val="3E74724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440" w:hanging="108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800" w:hanging="144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2160" w:hanging="180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1" w15:restartNumberingAfterBreak="0">
    <w:nsid w:val="05C929CD"/>
    <w:multiLevelType w:val="hybridMultilevel"/>
    <w:tmpl w:val="B5088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92EB4"/>
    <w:multiLevelType w:val="hybridMultilevel"/>
    <w:tmpl w:val="D418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C42636"/>
    <w:multiLevelType w:val="hybridMultilevel"/>
    <w:tmpl w:val="C59C7BAE"/>
    <w:lvl w:ilvl="0" w:tplc="ED5EEE5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9026F"/>
    <w:multiLevelType w:val="hybridMultilevel"/>
    <w:tmpl w:val="D7E02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D00226"/>
    <w:multiLevelType w:val="hybridMultilevel"/>
    <w:tmpl w:val="CD1C5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95DEC"/>
    <w:multiLevelType w:val="hybridMultilevel"/>
    <w:tmpl w:val="E9923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5D0508"/>
    <w:multiLevelType w:val="hybridMultilevel"/>
    <w:tmpl w:val="8C5E59DA"/>
    <w:lvl w:ilvl="0" w:tplc="7F5C8E6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4683D5D"/>
    <w:multiLevelType w:val="hybridMultilevel"/>
    <w:tmpl w:val="911C4882"/>
    <w:lvl w:ilvl="0" w:tplc="583666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6D54C68"/>
    <w:multiLevelType w:val="hybridMultilevel"/>
    <w:tmpl w:val="DB8E9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883D8A"/>
    <w:multiLevelType w:val="hybridMultilevel"/>
    <w:tmpl w:val="282C6F1A"/>
    <w:lvl w:ilvl="0" w:tplc="C39CE59E">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7E00E7"/>
    <w:multiLevelType w:val="hybridMultilevel"/>
    <w:tmpl w:val="F9CCB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BA6B5B"/>
    <w:multiLevelType w:val="hybridMultilevel"/>
    <w:tmpl w:val="95C2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581888"/>
    <w:multiLevelType w:val="hybridMultilevel"/>
    <w:tmpl w:val="B51EE3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4CAE6EDC"/>
    <w:multiLevelType w:val="hybridMultilevel"/>
    <w:tmpl w:val="DC8ECFA6"/>
    <w:lvl w:ilvl="0" w:tplc="552046D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16827"/>
    <w:multiLevelType w:val="hybridMultilevel"/>
    <w:tmpl w:val="BA64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342A9E"/>
    <w:multiLevelType w:val="hybridMultilevel"/>
    <w:tmpl w:val="78667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2432B"/>
    <w:multiLevelType w:val="hybridMultilevel"/>
    <w:tmpl w:val="9A0AF924"/>
    <w:lvl w:ilvl="0" w:tplc="EDAED09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3DA6D34"/>
    <w:multiLevelType w:val="hybridMultilevel"/>
    <w:tmpl w:val="63308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C33BCD"/>
    <w:multiLevelType w:val="hybridMultilevel"/>
    <w:tmpl w:val="F2E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EE2EAC"/>
    <w:multiLevelType w:val="hybridMultilevel"/>
    <w:tmpl w:val="80B8B336"/>
    <w:lvl w:ilvl="0" w:tplc="F18C3D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3901A0D"/>
    <w:multiLevelType w:val="hybridMultilevel"/>
    <w:tmpl w:val="5E30CFA6"/>
    <w:lvl w:ilvl="0" w:tplc="09463D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6CC3894"/>
    <w:multiLevelType w:val="hybridMultilevel"/>
    <w:tmpl w:val="0594479A"/>
    <w:lvl w:ilvl="0" w:tplc="6AA0DE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98B1991"/>
    <w:multiLevelType w:val="hybridMultilevel"/>
    <w:tmpl w:val="070A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A8390B"/>
    <w:multiLevelType w:val="hybridMultilevel"/>
    <w:tmpl w:val="27FA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3"/>
  </w:num>
  <w:num w:numId="4">
    <w:abstractNumId w:val="14"/>
  </w:num>
  <w:num w:numId="5">
    <w:abstractNumId w:val="12"/>
  </w:num>
  <w:num w:numId="6">
    <w:abstractNumId w:val="7"/>
  </w:num>
  <w:num w:numId="7">
    <w:abstractNumId w:val="13"/>
  </w:num>
  <w:num w:numId="8">
    <w:abstractNumId w:val="24"/>
  </w:num>
  <w:num w:numId="9">
    <w:abstractNumId w:val="22"/>
  </w:num>
  <w:num w:numId="10">
    <w:abstractNumId w:val="8"/>
  </w:num>
  <w:num w:numId="11">
    <w:abstractNumId w:val="6"/>
  </w:num>
  <w:num w:numId="12">
    <w:abstractNumId w:val="15"/>
  </w:num>
  <w:num w:numId="13">
    <w:abstractNumId w:val="20"/>
  </w:num>
  <w:num w:numId="14">
    <w:abstractNumId w:val="21"/>
  </w:num>
  <w:num w:numId="15">
    <w:abstractNumId w:val="2"/>
  </w:num>
  <w:num w:numId="16">
    <w:abstractNumId w:val="9"/>
  </w:num>
  <w:num w:numId="17">
    <w:abstractNumId w:val="1"/>
  </w:num>
  <w:num w:numId="18">
    <w:abstractNumId w:val="23"/>
  </w:num>
  <w:num w:numId="19">
    <w:abstractNumId w:val="17"/>
  </w:num>
  <w:num w:numId="20">
    <w:abstractNumId w:val="16"/>
  </w:num>
  <w:num w:numId="21">
    <w:abstractNumId w:val="4"/>
  </w:num>
  <w:num w:numId="22">
    <w:abstractNumId w:val="19"/>
  </w:num>
  <w:num w:numId="23">
    <w:abstractNumId w:val="18"/>
  </w:num>
  <w:num w:numId="24">
    <w:abstractNumId w:val="5"/>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9D1"/>
    <w:rsid w:val="0000511D"/>
    <w:rsid w:val="000213EA"/>
    <w:rsid w:val="0002262F"/>
    <w:rsid w:val="00111EEA"/>
    <w:rsid w:val="001871FE"/>
    <w:rsid w:val="001A1773"/>
    <w:rsid w:val="001D1AFC"/>
    <w:rsid w:val="002812A4"/>
    <w:rsid w:val="002A296E"/>
    <w:rsid w:val="00390580"/>
    <w:rsid w:val="00450AE2"/>
    <w:rsid w:val="00492F07"/>
    <w:rsid w:val="004A07C6"/>
    <w:rsid w:val="004F0A28"/>
    <w:rsid w:val="00505633"/>
    <w:rsid w:val="005C5EC0"/>
    <w:rsid w:val="005D1051"/>
    <w:rsid w:val="0061048D"/>
    <w:rsid w:val="006848E5"/>
    <w:rsid w:val="007768D9"/>
    <w:rsid w:val="00856C3F"/>
    <w:rsid w:val="008E2D95"/>
    <w:rsid w:val="00A80DBC"/>
    <w:rsid w:val="00B21309"/>
    <w:rsid w:val="00B30E0C"/>
    <w:rsid w:val="00B74DBC"/>
    <w:rsid w:val="00BD6418"/>
    <w:rsid w:val="00BF02C1"/>
    <w:rsid w:val="00C93355"/>
    <w:rsid w:val="00CD39D1"/>
    <w:rsid w:val="00CE66BA"/>
    <w:rsid w:val="00D35CCD"/>
    <w:rsid w:val="00DF03D0"/>
    <w:rsid w:val="00DF3E38"/>
    <w:rsid w:val="00E40C96"/>
    <w:rsid w:val="00E72DED"/>
    <w:rsid w:val="00ED737F"/>
    <w:rsid w:val="00F466E8"/>
    <w:rsid w:val="00FA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85727"/>
  <w15:chartTrackingRefBased/>
  <w15:docId w15:val="{8D4B602E-7724-456E-B32B-627F8193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1773"/>
    <w:pPr>
      <w:ind w:left="720"/>
      <w:contextualSpacing/>
    </w:pPr>
  </w:style>
  <w:style w:type="paragraph" w:styleId="Header">
    <w:name w:val="header"/>
    <w:basedOn w:val="Normal"/>
    <w:link w:val="HeaderChar"/>
    <w:uiPriority w:val="99"/>
    <w:unhideWhenUsed/>
    <w:rsid w:val="00187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1FE"/>
  </w:style>
  <w:style w:type="paragraph" w:styleId="Footer">
    <w:name w:val="footer"/>
    <w:basedOn w:val="Normal"/>
    <w:link w:val="FooterChar"/>
    <w:uiPriority w:val="99"/>
    <w:unhideWhenUsed/>
    <w:rsid w:val="00187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ee-rights-during-a-tupe-transfer/when-tupe-regulations-apply" TargetMode="External"/><Relationship Id="rId13" Type="http://schemas.openxmlformats.org/officeDocument/2006/relationships/hyperlink" Target="https://www.casemine.com/judgement/uk/5a8ff75160d03e7f57eab3b0" TargetMode="External"/><Relationship Id="rId18" Type="http://schemas.openxmlformats.org/officeDocument/2006/relationships/hyperlink" Target="https://www.cipd.co.uk/knowledge/fundamentals/emp-law/terms-conditions/questions" TargetMode="External"/><Relationship Id="rId26" Type="http://schemas.openxmlformats.org/officeDocument/2006/relationships/hyperlink" Target="https://www.peoplemanagement.co.uk/experts/legal/spring-clean-employment-contracts"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xperthr.co.uk/law-reports/case-of-the-week-changes-to-terms-and-conditions/101737/" TargetMode="External"/><Relationship Id="rId34" Type="http://schemas.openxmlformats.org/officeDocument/2006/relationships/hyperlink" Target="http://www.bailii.org/uk/cases/UKEAT/1989/230_88_1210.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ailii.org/uk/cases/UKEAT/2010/0221_09_1102.html" TargetMode="External"/><Relationship Id="rId17" Type="http://schemas.openxmlformats.org/officeDocument/2006/relationships/hyperlink" Target="https://www.cipd.co.uk/knowledge/fundamentals/emp-law/redundancy/factsheet" TargetMode="External"/><Relationship Id="rId25" Type="http://schemas.openxmlformats.org/officeDocument/2006/relationships/hyperlink" Target="https://www.xperthr.co.uk/how-to/how-to-deal-with-the-provision-of-employee-benefits-following-a-tupe-transfer/151945/?keywords=legal+obligations+of+transferee&amp;searchrank=1" TargetMode="External"/><Relationship Id="rId33" Type="http://schemas.openxmlformats.org/officeDocument/2006/relationships/hyperlink" Target="https://www.personneltoday.com/hr/variation-of-contract-of-employment-risks-for-employers/" TargetMode="External"/><Relationship Id="rId38" Type="http://schemas.openxmlformats.org/officeDocument/2006/relationships/hyperlink" Target="https://www.xperthr.co.uk/employment-law-manual/informing-and-consulting-prior-to-tupe-transfers/20409/?keywords=legal+obligations+of+transferor&amp;searchrank=1" TargetMode="External"/><Relationship Id="rId2" Type="http://schemas.openxmlformats.org/officeDocument/2006/relationships/numbering" Target="numbering.xml"/><Relationship Id="rId16" Type="http://schemas.openxmlformats.org/officeDocument/2006/relationships/hyperlink" Target="https://www.cipd.co.uk/knowledge/fundamentals/emp-law/terms-conditions/fire-rehire-employer-guidance" TargetMode="External"/><Relationship Id="rId20" Type="http://schemas.openxmlformats.org/officeDocument/2006/relationships/hyperlink" Target="https://www.proquest.com/docview/214893381?accountid=130472&amp;parentSessionId=0oYa8E7bD%2Fkc7gwAjglhWqIYRVvRLG3NaBkq0I%2B%2Bga8%3D&amp;pq-origsite=primo" TargetMode="External"/><Relationship Id="rId29" Type="http://schemas.openxmlformats.org/officeDocument/2006/relationships/hyperlink" Target="http://www.bailii.org/uk/cases/UKEAT/1997/760_96_2301.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managing-redundancies-in-a-tupe-transfer" TargetMode="External"/><Relationship Id="rId24" Type="http://schemas.openxmlformats.org/officeDocument/2006/relationships/hyperlink" Target="https://www.gov.uk/employer-relocation-your-rights" TargetMode="External"/><Relationship Id="rId32" Type="http://schemas.openxmlformats.org/officeDocument/2006/relationships/hyperlink" Target="https://www.xperthr.co.uk/how-to/how-to-change-the-terms-of-existing-employment-contracts/26865/?keywords=advantages+of+flexibility+clause&amp;searchrank=4" TargetMode="External"/><Relationship Id="rId37" Type="http://schemas.openxmlformats.org/officeDocument/2006/relationships/hyperlink" Target="http://www.bailii.org/uk/cases/UKEAT/1982/372_81_2201.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Images/8208-a-guide-to-tupe-transfers-web_tcm18-44310.pdf" TargetMode="External"/><Relationship Id="rId23" Type="http://schemas.openxmlformats.org/officeDocument/2006/relationships/hyperlink" Target="http://www.bailii.org/uk/cases/UKEAT/2012/0190_11_2302.html" TargetMode="External"/><Relationship Id="rId28" Type="http://schemas.openxmlformats.org/officeDocument/2006/relationships/hyperlink" Target="http://www.bailii.org/uk/cases/UKEAT/2011/0159_10_1401.html" TargetMode="External"/><Relationship Id="rId36" Type="http://schemas.openxmlformats.org/officeDocument/2006/relationships/hyperlink" Target="https://www.xperthr.co.uk/how-to/how-to-deal-with-the-situation-where-the-transferee-disputes-that-tupe-applies/116535/?keywords=when+tupe+is+not+relevant&amp;searchrank=6" TargetMode="External"/><Relationship Id="rId10" Type="http://schemas.openxmlformats.org/officeDocument/2006/relationships/hyperlink" Target="https://www.acas.org.uk/changing-an-employment-contract/employer-responsibilities/proposing-employment-contract-changes" TargetMode="External"/><Relationship Id="rId19" Type="http://schemas.openxmlformats.org/officeDocument/2006/relationships/hyperlink" Target="https://www.cipd.co.uk/knowledge/fundamentals/emp-law/tupe/questions" TargetMode="External"/><Relationship Id="rId31" Type="http://schemas.openxmlformats.org/officeDocument/2006/relationships/hyperlink" Target="https://www.personneltoday.com/employment-law/constructive-dismissal/" TargetMode="External"/><Relationship Id="rId4" Type="http://schemas.openxmlformats.org/officeDocument/2006/relationships/settings" Target="settings.xml"/><Relationship Id="rId9" Type="http://schemas.openxmlformats.org/officeDocument/2006/relationships/hyperlink" Target="https://www.acas.org.uk/handling-a-tupe-transfer-step-by-step" TargetMode="External"/><Relationship Id="rId14" Type="http://schemas.openxmlformats.org/officeDocument/2006/relationships/hyperlink" Target="http://www.bailii.org/scot/cases/ScotCS/2013/59.html" TargetMode="External"/><Relationship Id="rId22" Type="http://schemas.openxmlformats.org/officeDocument/2006/relationships/hyperlink" Target="https://www.xperthr.co.uk/how-to/how-to-comply-with-the-law-on-dismissal-of-employees-in-relation-to-tupe-transfers/116382/?keywords=redundancies+following+TUPE&amp;searchrank=4" TargetMode="External"/><Relationship Id="rId27" Type="http://schemas.openxmlformats.org/officeDocument/2006/relationships/hyperlink" Target="https://www.personneltoday.com/hr/union-defeats-tesco-at-high-court-in-fire-and-rehire-case/" TargetMode="External"/><Relationship Id="rId30" Type="http://schemas.openxmlformats.org/officeDocument/2006/relationships/hyperlink" Target="http://www.bailii.org/ew/cases/EWHC/Ch/2007/2665.html" TargetMode="External"/><Relationship Id="rId35" Type="http://schemas.openxmlformats.org/officeDocument/2006/relationships/hyperlink" Target="http://www.bailii.org/ew/cases/EWHC/QB/2022/20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CF081B-F6FE-4E0B-83AE-00E9DBAC1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19</Pages>
  <Words>4470</Words>
  <Characters>25483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31</cp:revision>
  <dcterms:created xsi:type="dcterms:W3CDTF">2022-02-06T11:36:00Z</dcterms:created>
  <dcterms:modified xsi:type="dcterms:W3CDTF">2022-02-21T15:21:00Z</dcterms:modified>
</cp:coreProperties>
</file>