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A4944" w14:textId="77777777" w:rsidR="001E295D" w:rsidRPr="00CB00E5" w:rsidRDefault="001E295D" w:rsidP="00CB00E5">
      <w:pPr>
        <w:spacing w:line="360" w:lineRule="auto"/>
        <w:jc w:val="both"/>
        <w:rPr>
          <w:rFonts w:ascii="Arial" w:hAnsi="Arial" w:cs="Arial"/>
          <w:u w:val="single"/>
        </w:rPr>
      </w:pPr>
      <w:r w:rsidRPr="00CB00E5">
        <w:rPr>
          <w:rFonts w:ascii="Arial" w:hAnsi="Arial" w:cs="Arial"/>
          <w:b/>
          <w:bCs/>
          <w:u w:val="single"/>
        </w:rPr>
        <w:t>Applying Analysis in Assessment to Inform Interventions</w:t>
      </w:r>
    </w:p>
    <w:p w14:paraId="2C599B9B" w14:textId="33B81CA6" w:rsidR="001E295D" w:rsidRPr="00CB00E5" w:rsidRDefault="001E295D" w:rsidP="00CB00E5">
      <w:pPr>
        <w:spacing w:line="360" w:lineRule="auto"/>
        <w:jc w:val="both"/>
        <w:rPr>
          <w:rFonts w:ascii="Arial" w:hAnsi="Arial" w:cs="Arial"/>
        </w:rPr>
      </w:pPr>
      <w:r w:rsidRPr="00CB00E5">
        <w:rPr>
          <w:rFonts w:ascii="Arial" w:hAnsi="Arial" w:cs="Arial"/>
        </w:rPr>
        <w:t xml:space="preserve">Using Kolb’s reflective model, I begin with </w:t>
      </w:r>
      <w:r w:rsidR="00461D01" w:rsidRPr="00CB00E5">
        <w:rPr>
          <w:rFonts w:ascii="Arial" w:hAnsi="Arial" w:cs="Arial"/>
        </w:rPr>
        <w:t>substantial evidence</w:t>
      </w:r>
      <w:r w:rsidRPr="00CB00E5">
        <w:rPr>
          <w:rFonts w:ascii="Arial" w:hAnsi="Arial" w:cs="Arial"/>
        </w:rPr>
        <w:t xml:space="preserve"> completing Section 47 enquiries and </w:t>
      </w:r>
      <w:r w:rsidR="00461D01" w:rsidRPr="00CB00E5">
        <w:rPr>
          <w:rFonts w:ascii="Arial" w:hAnsi="Arial" w:cs="Arial"/>
        </w:rPr>
        <w:t xml:space="preserve">care and wellbeing assessments </w:t>
      </w:r>
      <w:r w:rsidRPr="00CB00E5">
        <w:rPr>
          <w:rFonts w:ascii="Arial" w:hAnsi="Arial" w:cs="Arial"/>
        </w:rPr>
        <w:t>where disguised compliance was evident. Families appeared cooperative</w:t>
      </w:r>
      <w:r w:rsidR="00461D01" w:rsidRPr="00CB00E5">
        <w:rPr>
          <w:rFonts w:ascii="Arial" w:hAnsi="Arial" w:cs="Arial"/>
        </w:rPr>
        <w:t xml:space="preserve"> </w:t>
      </w:r>
      <w:r w:rsidRPr="00CB00E5">
        <w:rPr>
          <w:rFonts w:ascii="Arial" w:hAnsi="Arial" w:cs="Arial"/>
        </w:rPr>
        <w:t>agreeing to plans and attending meetings</w:t>
      </w:r>
      <w:r w:rsidR="00461D01" w:rsidRPr="00CB00E5">
        <w:rPr>
          <w:rFonts w:ascii="Arial" w:hAnsi="Arial" w:cs="Arial"/>
        </w:rPr>
        <w:t xml:space="preserve"> </w:t>
      </w:r>
      <w:r w:rsidRPr="00CB00E5">
        <w:rPr>
          <w:rFonts w:ascii="Arial" w:hAnsi="Arial" w:cs="Arial"/>
        </w:rPr>
        <w:t>yet failed to implement changes, leaving risks unresolved.</w:t>
      </w:r>
    </w:p>
    <w:p w14:paraId="04B3645A" w14:textId="308A9627" w:rsidR="001E295D" w:rsidRPr="00CB00E5" w:rsidRDefault="001E295D" w:rsidP="00CB00E5">
      <w:pPr>
        <w:spacing w:line="360" w:lineRule="auto"/>
        <w:jc w:val="both"/>
        <w:rPr>
          <w:rFonts w:ascii="Arial" w:hAnsi="Arial" w:cs="Arial"/>
        </w:rPr>
      </w:pPr>
      <w:r w:rsidRPr="00CB00E5">
        <w:rPr>
          <w:rFonts w:ascii="Arial" w:hAnsi="Arial" w:cs="Arial"/>
        </w:rPr>
        <w:t>I recognised that while I identified risks, my analysis sometimes relied too heavily on verbal assurances rather than evidence of</w:t>
      </w:r>
      <w:r w:rsidR="00461D01" w:rsidRPr="00CB00E5">
        <w:rPr>
          <w:rFonts w:ascii="Arial" w:hAnsi="Arial" w:cs="Arial"/>
        </w:rPr>
        <w:t xml:space="preserve"> the need for</w:t>
      </w:r>
      <w:r w:rsidRPr="00CB00E5">
        <w:rPr>
          <w:rFonts w:ascii="Arial" w:hAnsi="Arial" w:cs="Arial"/>
        </w:rPr>
        <w:t xml:space="preserve"> sustained change</w:t>
      </w:r>
      <w:r w:rsidR="00FD3F4D" w:rsidRPr="00CB00E5">
        <w:rPr>
          <w:rFonts w:ascii="Arial" w:hAnsi="Arial" w:cs="Arial"/>
        </w:rPr>
        <w:t xml:space="preserve"> and the reasons for wanting change</w:t>
      </w:r>
      <w:r w:rsidRPr="00CB00E5">
        <w:rPr>
          <w:rFonts w:ascii="Arial" w:hAnsi="Arial" w:cs="Arial"/>
        </w:rPr>
        <w:t>. This highlighted the need for deeper critical thinking and triangulation of information from multiple sources.</w:t>
      </w:r>
    </w:p>
    <w:p w14:paraId="711D7868" w14:textId="0861EC2F" w:rsidR="001E295D" w:rsidRPr="00CB00E5" w:rsidRDefault="001E295D" w:rsidP="00CB00E5">
      <w:pPr>
        <w:spacing w:line="360" w:lineRule="auto"/>
        <w:jc w:val="both"/>
        <w:rPr>
          <w:rFonts w:ascii="Arial" w:hAnsi="Arial" w:cs="Arial"/>
        </w:rPr>
      </w:pPr>
      <w:r w:rsidRPr="00CB00E5">
        <w:rPr>
          <w:rFonts w:ascii="Arial" w:hAnsi="Arial" w:cs="Arial"/>
        </w:rPr>
        <w:t xml:space="preserve">Research and supervision sessions have strengthened my understanding of disguised compliance. Critical analysis of articles, such as </w:t>
      </w:r>
      <w:r w:rsidR="004F1892" w:rsidRPr="004F1892">
        <w:rPr>
          <w:rFonts w:ascii="Arial" w:hAnsi="Arial" w:cs="Arial"/>
        </w:rPr>
        <w:t>Swindon Safeguarding Partnership (</w:t>
      </w:r>
      <w:r w:rsidR="00A758DB">
        <w:rPr>
          <w:rFonts w:ascii="Arial" w:hAnsi="Arial" w:cs="Arial"/>
        </w:rPr>
        <w:t>20</w:t>
      </w:r>
      <w:r w:rsidR="004F1892" w:rsidRPr="004F1892">
        <w:rPr>
          <w:rFonts w:ascii="Arial" w:hAnsi="Arial" w:cs="Arial"/>
        </w:rPr>
        <w:t>25)</w:t>
      </w:r>
      <w:r w:rsidR="004F1892">
        <w:rPr>
          <w:rFonts w:ascii="Arial" w:hAnsi="Arial" w:cs="Arial"/>
        </w:rPr>
        <w:t xml:space="preserve"> </w:t>
      </w:r>
      <w:r w:rsidRPr="00CB00E5">
        <w:rPr>
          <w:rFonts w:ascii="Arial" w:hAnsi="Arial" w:cs="Arial"/>
        </w:rPr>
        <w:t xml:space="preserve">and </w:t>
      </w:r>
      <w:r w:rsidR="003378D5">
        <w:rPr>
          <w:rFonts w:ascii="Arial" w:hAnsi="Arial" w:cs="Arial"/>
        </w:rPr>
        <w:t xml:space="preserve">the North Wales </w:t>
      </w:r>
      <w:r w:rsidR="00E03CA2">
        <w:rPr>
          <w:rFonts w:ascii="Arial" w:hAnsi="Arial" w:cs="Arial"/>
        </w:rPr>
        <w:t>Safeguarding board (2025)</w:t>
      </w:r>
      <w:r w:rsidRPr="00CB00E5">
        <w:rPr>
          <w:rFonts w:ascii="Arial" w:hAnsi="Arial" w:cs="Arial"/>
        </w:rPr>
        <w:t>, emphasises patterns of superficial engagement and the importance of professional curiosity. I have learned that disguised compliance can mask ongoing harm, requiring robust safety planning and measurable outcomes.</w:t>
      </w:r>
    </w:p>
    <w:p w14:paraId="483ADEA9" w14:textId="528058FF" w:rsidR="001E295D" w:rsidRPr="00CB00E5" w:rsidRDefault="001E295D" w:rsidP="00CB00E5">
      <w:pPr>
        <w:spacing w:line="360" w:lineRule="auto"/>
        <w:jc w:val="both"/>
        <w:rPr>
          <w:rFonts w:ascii="Arial" w:hAnsi="Arial" w:cs="Arial"/>
        </w:rPr>
      </w:pPr>
      <w:r w:rsidRPr="00CB00E5">
        <w:rPr>
          <w:rFonts w:ascii="Arial" w:hAnsi="Arial" w:cs="Arial"/>
        </w:rPr>
        <w:t xml:space="preserve">Moving forward, I will apply learning by using </w:t>
      </w:r>
      <w:r w:rsidR="00B84411" w:rsidRPr="00CB00E5">
        <w:rPr>
          <w:rFonts w:ascii="Arial" w:hAnsi="Arial" w:cs="Arial"/>
        </w:rPr>
        <w:t>evidence-based</w:t>
      </w:r>
      <w:r w:rsidRPr="00CB00E5">
        <w:rPr>
          <w:rFonts w:ascii="Arial" w:hAnsi="Arial" w:cs="Arial"/>
        </w:rPr>
        <w:t xml:space="preserve"> tools, such as chronologies and Signs of Safety mapping used in </w:t>
      </w:r>
      <w:r w:rsidR="00461D01" w:rsidRPr="00CB00E5">
        <w:rPr>
          <w:rFonts w:ascii="Arial" w:hAnsi="Arial" w:cs="Arial"/>
        </w:rPr>
        <w:t>our</w:t>
      </w:r>
      <w:r w:rsidRPr="00CB00E5">
        <w:rPr>
          <w:rFonts w:ascii="Arial" w:hAnsi="Arial" w:cs="Arial"/>
        </w:rPr>
        <w:t xml:space="preserve"> local authority, to test progress rather than relying on verbal commitments. I will also incorporate reflective supervision to challenge assumptions and explore unconscious bias.</w:t>
      </w:r>
      <w:r w:rsidR="00BD2EA0" w:rsidRPr="00CB00E5">
        <w:rPr>
          <w:rFonts w:ascii="Arial" w:hAnsi="Arial" w:cs="Arial"/>
        </w:rPr>
        <w:t xml:space="preserve"> </w:t>
      </w:r>
      <w:r w:rsidRPr="00CB00E5">
        <w:rPr>
          <w:rFonts w:ascii="Arial" w:hAnsi="Arial" w:cs="Arial"/>
        </w:rPr>
        <w:t>Over the next 12 months, I aim to attend advanced training on disguised compliance, complete research reviews on family engagement, and strengthen my analytical writing skills. I will use supervision to critically reflect on cases and ensure interventions are informed by clear evidence, reducing the risk of harm and improving outcomes for children.</w:t>
      </w:r>
    </w:p>
    <w:p w14:paraId="73CA1610" w14:textId="77777777" w:rsidR="003A5D2C" w:rsidRPr="00CB00E5" w:rsidRDefault="003A5D2C" w:rsidP="00CB00E5">
      <w:pPr>
        <w:spacing w:line="360" w:lineRule="auto"/>
        <w:jc w:val="both"/>
        <w:rPr>
          <w:rFonts w:ascii="Arial" w:hAnsi="Arial" w:cs="Arial"/>
          <w:u w:val="single"/>
        </w:rPr>
      </w:pPr>
      <w:r w:rsidRPr="00CB00E5">
        <w:rPr>
          <w:rFonts w:ascii="Arial" w:hAnsi="Arial" w:cs="Arial"/>
          <w:b/>
          <w:bCs/>
          <w:u w:val="single"/>
        </w:rPr>
        <w:t>Working Collaboratively with People in Need of Care and Support, Their Carers, and Other Professionals</w:t>
      </w:r>
    </w:p>
    <w:p w14:paraId="2ABD4D2A" w14:textId="1802F7F4" w:rsidR="003A5D2C" w:rsidRPr="00CB00E5" w:rsidRDefault="003A5D2C" w:rsidP="00CB00E5">
      <w:pPr>
        <w:spacing w:line="360" w:lineRule="auto"/>
        <w:jc w:val="both"/>
        <w:rPr>
          <w:rFonts w:ascii="Arial" w:hAnsi="Arial" w:cs="Arial"/>
        </w:rPr>
      </w:pPr>
      <w:r w:rsidRPr="00CB00E5">
        <w:rPr>
          <w:rFonts w:ascii="Arial" w:hAnsi="Arial" w:cs="Arial"/>
        </w:rPr>
        <w:t xml:space="preserve">Through my experience over the past year, I’ve learned that family network meetings are essential to the signs of safety model. Family network meetings are essential in the Signs of Safety model because they empower families to identify their own solutions and safety strategies, ensuring plans are built on existing strengths and support networks </w:t>
      </w:r>
      <w:r w:rsidR="00A06B64" w:rsidRPr="00CB00E5">
        <w:rPr>
          <w:rFonts w:ascii="Arial" w:hAnsi="Arial" w:cs="Arial"/>
        </w:rPr>
        <w:t xml:space="preserve">(Signs of Safety Partnership, 2024). </w:t>
      </w:r>
      <w:r w:rsidR="009F168F" w:rsidRPr="00CB00E5">
        <w:rPr>
          <w:rFonts w:ascii="Arial" w:hAnsi="Arial" w:cs="Arial"/>
        </w:rPr>
        <w:t xml:space="preserve">This approach promotes shared responsibility and transparency, reducing risk through collaborative decisions. I </w:t>
      </w:r>
      <w:r w:rsidR="009F168F" w:rsidRPr="00CB00E5">
        <w:rPr>
          <w:rFonts w:ascii="Arial" w:hAnsi="Arial" w:cs="Arial"/>
        </w:rPr>
        <w:lastRenderedPageBreak/>
        <w:t>learned that true collaboration means valuing all perspectives and building trust, so plans are genuinely shared, not imposed.</w:t>
      </w:r>
    </w:p>
    <w:p w14:paraId="3B4606B8" w14:textId="027738A7" w:rsidR="003A5D2C" w:rsidRPr="00CB00E5" w:rsidRDefault="003A5D2C" w:rsidP="00CB00E5">
      <w:pPr>
        <w:spacing w:line="360" w:lineRule="auto"/>
        <w:jc w:val="both"/>
        <w:rPr>
          <w:rFonts w:ascii="Arial" w:hAnsi="Arial" w:cs="Arial"/>
        </w:rPr>
      </w:pPr>
      <w:r w:rsidRPr="00CB00E5">
        <w:rPr>
          <w:rFonts w:ascii="Arial" w:hAnsi="Arial" w:cs="Arial"/>
        </w:rPr>
        <w:t>Reflecting on this, I noticed that when communication was clear and respectful, families felt more involved and worked together more effectively with professionals. Where this didn’t happen, progress stalled, leaving</w:t>
      </w:r>
      <w:r w:rsidR="00A06B64" w:rsidRPr="00CB00E5">
        <w:rPr>
          <w:rFonts w:ascii="Arial" w:hAnsi="Arial" w:cs="Arial"/>
        </w:rPr>
        <w:t xml:space="preserve"> risk far </w:t>
      </w:r>
      <w:r w:rsidR="00E82F95" w:rsidRPr="00CB00E5">
        <w:rPr>
          <w:rFonts w:ascii="Arial" w:hAnsi="Arial" w:cs="Arial"/>
        </w:rPr>
        <w:t>greater risk</w:t>
      </w:r>
      <w:r w:rsidRPr="00CB00E5">
        <w:rPr>
          <w:rFonts w:ascii="Arial" w:hAnsi="Arial" w:cs="Arial"/>
        </w:rPr>
        <w:t>. This taught me the importance of reflective observation and asking what is working well</w:t>
      </w:r>
      <w:r w:rsidRPr="00CB00E5">
        <w:rPr>
          <w:rFonts w:ascii="Arial" w:hAnsi="Arial" w:cs="Arial"/>
          <w:b/>
          <w:bCs/>
        </w:rPr>
        <w:t>.</w:t>
      </w:r>
    </w:p>
    <w:p w14:paraId="087C9F1B" w14:textId="67729170" w:rsidR="003A5D2C" w:rsidRPr="00CB00E5" w:rsidRDefault="0052757C" w:rsidP="00CB00E5">
      <w:pPr>
        <w:spacing w:line="360" w:lineRule="auto"/>
        <w:jc w:val="both"/>
        <w:rPr>
          <w:rFonts w:ascii="Arial" w:hAnsi="Arial" w:cs="Arial"/>
        </w:rPr>
      </w:pPr>
      <w:r w:rsidRPr="00CB00E5">
        <w:rPr>
          <w:rFonts w:ascii="Arial" w:hAnsi="Arial" w:cs="Arial"/>
        </w:rPr>
        <w:t>Questioning this</w:t>
      </w:r>
      <w:r w:rsidR="00313587" w:rsidRPr="00CB00E5">
        <w:rPr>
          <w:rFonts w:ascii="Arial" w:hAnsi="Arial" w:cs="Arial"/>
        </w:rPr>
        <w:t>,</w:t>
      </w:r>
      <w:r w:rsidRPr="00CB00E5">
        <w:rPr>
          <w:rFonts w:ascii="Arial" w:hAnsi="Arial" w:cs="Arial"/>
        </w:rPr>
        <w:t xml:space="preserve"> </w:t>
      </w:r>
      <w:r w:rsidR="003A5D2C" w:rsidRPr="00CB00E5">
        <w:rPr>
          <w:rFonts w:ascii="Arial" w:hAnsi="Arial" w:cs="Arial"/>
        </w:rPr>
        <w:t xml:space="preserve">I’ve drawn on research and supervision to understand that collaboration isn’t just about meetings; it’s about relationships. </w:t>
      </w:r>
      <w:r w:rsidR="008434B1" w:rsidRPr="00CB00E5">
        <w:rPr>
          <w:rFonts w:ascii="Arial" w:hAnsi="Arial" w:cs="Arial"/>
        </w:rPr>
        <w:t>M</w:t>
      </w:r>
      <w:r w:rsidR="003A5D2C" w:rsidRPr="00CB00E5">
        <w:rPr>
          <w:rFonts w:ascii="Arial" w:hAnsi="Arial" w:cs="Arial"/>
        </w:rPr>
        <w:t>ultiagency working and disguised compliance have shown me how easily families can feel overwhelmed or misunderstood, and why empathy and curiosity matter</w:t>
      </w:r>
      <w:r w:rsidR="008434B1" w:rsidRPr="00CB00E5">
        <w:rPr>
          <w:rFonts w:ascii="Arial" w:hAnsi="Arial" w:cs="Arial"/>
        </w:rPr>
        <w:t xml:space="preserve"> (Community Care Inform Children, 2025).</w:t>
      </w:r>
    </w:p>
    <w:p w14:paraId="2FF0959E" w14:textId="607EB65E" w:rsidR="003A5D2C" w:rsidRPr="00CB00E5" w:rsidRDefault="000141B2" w:rsidP="00CB00E5">
      <w:pPr>
        <w:spacing w:line="360" w:lineRule="auto"/>
        <w:jc w:val="both"/>
        <w:rPr>
          <w:rFonts w:ascii="Arial" w:hAnsi="Arial" w:cs="Arial"/>
        </w:rPr>
      </w:pPr>
      <w:r w:rsidRPr="00CB00E5">
        <w:rPr>
          <w:rFonts w:ascii="Arial" w:hAnsi="Arial" w:cs="Arial"/>
        </w:rPr>
        <w:t xml:space="preserve">In </w:t>
      </w:r>
      <w:r w:rsidR="00A96892" w:rsidRPr="00CB00E5">
        <w:rPr>
          <w:rFonts w:ascii="Arial" w:hAnsi="Arial" w:cs="Arial"/>
        </w:rPr>
        <w:t>practice</w:t>
      </w:r>
      <w:r w:rsidR="003A5D2C" w:rsidRPr="00CB00E5">
        <w:rPr>
          <w:rFonts w:ascii="Arial" w:hAnsi="Arial" w:cs="Arial"/>
        </w:rPr>
        <w:t xml:space="preserve">, I plan to strengthen my skills by </w:t>
      </w:r>
      <w:r w:rsidR="008434B1" w:rsidRPr="00CB00E5">
        <w:rPr>
          <w:rFonts w:ascii="Arial" w:hAnsi="Arial" w:cs="Arial"/>
        </w:rPr>
        <w:t>completing more family network meetings</w:t>
      </w:r>
      <w:r w:rsidR="003A5D2C" w:rsidRPr="00CB00E5">
        <w:rPr>
          <w:rFonts w:ascii="Arial" w:hAnsi="Arial" w:cs="Arial"/>
        </w:rPr>
        <w:t>, clearer communication tools</w:t>
      </w:r>
      <w:r w:rsidR="00E66591" w:rsidRPr="00CB00E5">
        <w:rPr>
          <w:rFonts w:ascii="Arial" w:hAnsi="Arial" w:cs="Arial"/>
        </w:rPr>
        <w:t xml:space="preserve">, and </w:t>
      </w:r>
      <w:r w:rsidR="00927D8C" w:rsidRPr="00CB00E5">
        <w:rPr>
          <w:rFonts w:ascii="Arial" w:hAnsi="Arial" w:cs="Arial"/>
        </w:rPr>
        <w:t xml:space="preserve">visiting with other </w:t>
      </w:r>
      <w:proofErr w:type="spellStart"/>
      <w:r w:rsidR="00927D8C" w:rsidRPr="00CB00E5">
        <w:rPr>
          <w:rFonts w:ascii="Arial" w:hAnsi="Arial" w:cs="Arial"/>
        </w:rPr>
        <w:t>proffessionals</w:t>
      </w:r>
      <w:proofErr w:type="spellEnd"/>
      <w:r w:rsidR="003A5D2C" w:rsidRPr="00CB00E5">
        <w:rPr>
          <w:rFonts w:ascii="Arial" w:hAnsi="Arial" w:cs="Arial"/>
        </w:rPr>
        <w:t xml:space="preserve">. Over the next 12 months, I will attend training on </w:t>
      </w:r>
      <w:r w:rsidR="00F90AFC" w:rsidRPr="00CB00E5">
        <w:rPr>
          <w:rFonts w:ascii="Arial" w:hAnsi="Arial" w:cs="Arial"/>
        </w:rPr>
        <w:t>multiagency</w:t>
      </w:r>
      <w:r w:rsidR="003A5D2C" w:rsidRPr="00CB00E5">
        <w:rPr>
          <w:rFonts w:ascii="Arial" w:hAnsi="Arial" w:cs="Arial"/>
        </w:rPr>
        <w:t xml:space="preserve"> worki</w:t>
      </w:r>
      <w:r w:rsidR="00927D8C" w:rsidRPr="00CB00E5">
        <w:rPr>
          <w:rFonts w:ascii="Arial" w:hAnsi="Arial" w:cs="Arial"/>
        </w:rPr>
        <w:t>ng</w:t>
      </w:r>
      <w:r w:rsidR="00EC7BDF" w:rsidRPr="00CB00E5">
        <w:rPr>
          <w:rFonts w:ascii="Arial" w:hAnsi="Arial" w:cs="Arial"/>
        </w:rPr>
        <w:t xml:space="preserve">, </w:t>
      </w:r>
      <w:r w:rsidR="003A5D2C" w:rsidRPr="00CB00E5">
        <w:rPr>
          <w:rFonts w:ascii="Arial" w:hAnsi="Arial" w:cs="Arial"/>
        </w:rPr>
        <w:t>review research on family engagement, and use supervision to reflect on partnership challenges. These steps will help me work alongside families and professionals in a way that feels supportive, transparent, and focused on achieving the best outcomes for children.</w:t>
      </w:r>
    </w:p>
    <w:p w14:paraId="27ED4E5E" w14:textId="5AB7152B" w:rsidR="00D07A58" w:rsidRPr="00CB00E5" w:rsidRDefault="00D07A58" w:rsidP="00CB00E5">
      <w:pPr>
        <w:spacing w:line="360" w:lineRule="auto"/>
        <w:jc w:val="both"/>
        <w:rPr>
          <w:rFonts w:ascii="Arial" w:hAnsi="Arial" w:cs="Arial"/>
          <w:b/>
          <w:bCs/>
        </w:rPr>
      </w:pPr>
      <w:r w:rsidRPr="00CB00E5">
        <w:rPr>
          <w:rFonts w:ascii="Arial" w:hAnsi="Arial" w:cs="Arial"/>
          <w:b/>
          <w:bCs/>
          <w:u w:val="single"/>
        </w:rPr>
        <w:t xml:space="preserve">Reflecting on Professional Judgment </w:t>
      </w:r>
      <w:r w:rsidR="00210CAC" w:rsidRPr="00CB00E5">
        <w:rPr>
          <w:rFonts w:ascii="Arial" w:hAnsi="Arial" w:cs="Arial"/>
          <w:b/>
          <w:bCs/>
          <w:u w:val="single"/>
        </w:rPr>
        <w:t>in increasingly complex situations</w:t>
      </w:r>
      <w:r w:rsidR="00210CAC" w:rsidRPr="00CB00E5">
        <w:rPr>
          <w:rFonts w:ascii="Arial" w:hAnsi="Arial" w:cs="Arial"/>
          <w:b/>
          <w:bCs/>
        </w:rPr>
        <w:t>.</w:t>
      </w:r>
    </w:p>
    <w:p w14:paraId="4FF6C923" w14:textId="5F1A266C" w:rsidR="005E2C4A" w:rsidRPr="00CB00E5" w:rsidRDefault="00D07A58" w:rsidP="00CB00E5">
      <w:pPr>
        <w:spacing w:line="360" w:lineRule="auto"/>
        <w:jc w:val="both"/>
        <w:rPr>
          <w:rFonts w:ascii="Arial" w:hAnsi="Arial" w:cs="Arial"/>
        </w:rPr>
      </w:pPr>
      <w:r w:rsidRPr="00CB00E5">
        <w:rPr>
          <w:rFonts w:ascii="Arial" w:hAnsi="Arial" w:cs="Arial"/>
        </w:rPr>
        <w:t xml:space="preserve">In my role as a social worker, I have faced complex situations requiring professional judgment, particularly around thresholds for intervention. One example involved determining whether a child’s circumstances met statutory thresholds when agencies held differing views. I noticed how multiagency dynamics and disguised compliance can cloud clarity, and how empathy and curiosity helped me remain </w:t>
      </w:r>
      <w:proofErr w:type="gramStart"/>
      <w:r w:rsidRPr="00CB00E5">
        <w:rPr>
          <w:rFonts w:ascii="Arial" w:hAnsi="Arial" w:cs="Arial"/>
        </w:rPr>
        <w:t>child-focused</w:t>
      </w:r>
      <w:proofErr w:type="gramEnd"/>
      <w:r w:rsidRPr="00CB00E5">
        <w:rPr>
          <w:rFonts w:ascii="Arial" w:hAnsi="Arial" w:cs="Arial"/>
        </w:rPr>
        <w:t>.</w:t>
      </w:r>
    </w:p>
    <w:p w14:paraId="75203FDA" w14:textId="4F441088" w:rsidR="00E929D0" w:rsidRPr="00CB00E5" w:rsidRDefault="00D07A58" w:rsidP="00CB00E5">
      <w:pPr>
        <w:spacing w:line="360" w:lineRule="auto"/>
        <w:jc w:val="both"/>
        <w:rPr>
          <w:rFonts w:ascii="Arial" w:hAnsi="Arial" w:cs="Arial"/>
          <w:b/>
          <w:bCs/>
        </w:rPr>
      </w:pPr>
      <w:r w:rsidRPr="00CB00E5">
        <w:rPr>
          <w:rFonts w:ascii="Arial" w:hAnsi="Arial" w:cs="Arial"/>
        </w:rPr>
        <w:t>My decisions were guided by the Social Services and Well-being (Wales) Act 2014</w:t>
      </w:r>
      <w:r w:rsidR="00D67083" w:rsidRPr="00CB00E5">
        <w:rPr>
          <w:rFonts w:ascii="Arial" w:hAnsi="Arial" w:cs="Arial"/>
        </w:rPr>
        <w:t xml:space="preserve"> </w:t>
      </w:r>
      <w:r w:rsidR="008A18AE" w:rsidRPr="00CB00E5">
        <w:rPr>
          <w:rFonts w:ascii="Arial" w:hAnsi="Arial" w:cs="Arial"/>
        </w:rPr>
        <w:t>(</w:t>
      </w:r>
      <w:r w:rsidR="00D67083" w:rsidRPr="00CB00E5">
        <w:rPr>
          <w:rFonts w:ascii="Arial" w:hAnsi="Arial" w:cs="Arial"/>
        </w:rPr>
        <w:t>SWBA 2014)</w:t>
      </w:r>
      <w:r w:rsidRPr="00CB00E5">
        <w:rPr>
          <w:rFonts w:ascii="Arial" w:hAnsi="Arial" w:cs="Arial"/>
        </w:rPr>
        <w:t xml:space="preserve">, which upholds the principle of using the least restrictive option to implement change. </w:t>
      </w:r>
      <w:r w:rsidR="00082AF0" w:rsidRPr="00CB00E5">
        <w:rPr>
          <w:rFonts w:ascii="Arial" w:hAnsi="Arial" w:cs="Arial"/>
        </w:rPr>
        <w:t>U</w:t>
      </w:r>
      <w:r w:rsidRPr="00CB00E5">
        <w:rPr>
          <w:rFonts w:ascii="Arial" w:hAnsi="Arial" w:cs="Arial"/>
        </w:rPr>
        <w:t xml:space="preserve">nderpinned by proportionality, human rights, and ethical practice, ensuring interventions respect autonomy while safeguarding effectively (Welsh Government, 2014). </w:t>
      </w:r>
    </w:p>
    <w:p w14:paraId="3101D0B9" w14:textId="6B1EA2FF" w:rsidR="00D07A58" w:rsidRPr="00CB00E5" w:rsidRDefault="00E5545C" w:rsidP="00CB00E5">
      <w:pPr>
        <w:spacing w:line="360" w:lineRule="auto"/>
        <w:jc w:val="both"/>
        <w:rPr>
          <w:rFonts w:ascii="Arial" w:hAnsi="Arial" w:cs="Arial"/>
        </w:rPr>
      </w:pPr>
      <w:r w:rsidRPr="00CB00E5">
        <w:rPr>
          <w:rFonts w:ascii="Arial" w:hAnsi="Arial" w:cs="Arial"/>
        </w:rPr>
        <w:t>Therefore</w:t>
      </w:r>
      <w:r w:rsidR="00D07A58" w:rsidRPr="00CB00E5">
        <w:rPr>
          <w:rFonts w:ascii="Arial" w:hAnsi="Arial" w:cs="Arial"/>
        </w:rPr>
        <w:t xml:space="preserve">, I aim to strengthen my legal literacy and confidence in applying thresholds through supervision, training, and research. I will use reflective supervision to explore differences in professional judgment and practice articulating decisions with clear </w:t>
      </w:r>
      <w:r w:rsidR="00D07A58" w:rsidRPr="00CB00E5">
        <w:rPr>
          <w:rFonts w:ascii="Arial" w:hAnsi="Arial" w:cs="Arial"/>
        </w:rPr>
        <w:lastRenderedPageBreak/>
        <w:t>legislative rationale</w:t>
      </w:r>
      <w:r w:rsidR="00BE2FDF" w:rsidRPr="00CB00E5">
        <w:rPr>
          <w:rFonts w:ascii="Arial" w:hAnsi="Arial" w:cs="Arial"/>
        </w:rPr>
        <w:t xml:space="preserve"> </w:t>
      </w:r>
      <w:r w:rsidR="00D7313B" w:rsidRPr="00CB00E5">
        <w:rPr>
          <w:rFonts w:ascii="Arial" w:hAnsi="Arial" w:cs="Arial"/>
        </w:rPr>
        <w:t xml:space="preserve">writing </w:t>
      </w:r>
      <w:r w:rsidR="00C72B1F" w:rsidRPr="00CB00E5">
        <w:rPr>
          <w:rFonts w:ascii="Arial" w:hAnsi="Arial" w:cs="Arial"/>
        </w:rPr>
        <w:t xml:space="preserve">for other </w:t>
      </w:r>
      <w:r w:rsidR="0002034E" w:rsidRPr="00CB00E5">
        <w:rPr>
          <w:rFonts w:ascii="Arial" w:hAnsi="Arial" w:cs="Arial"/>
        </w:rPr>
        <w:t>professionals</w:t>
      </w:r>
      <w:r w:rsidR="00C72B1F" w:rsidRPr="00CB00E5">
        <w:rPr>
          <w:rFonts w:ascii="Arial" w:hAnsi="Arial" w:cs="Arial"/>
        </w:rPr>
        <w:t xml:space="preserve"> who may not be as informed</w:t>
      </w:r>
      <w:r w:rsidR="0002034E" w:rsidRPr="00CB00E5">
        <w:rPr>
          <w:rFonts w:ascii="Arial" w:hAnsi="Arial" w:cs="Arial"/>
        </w:rPr>
        <w:t xml:space="preserve"> to read as part of the assessment</w:t>
      </w:r>
      <w:r w:rsidR="00D07A58" w:rsidRPr="00CB00E5">
        <w:rPr>
          <w:rFonts w:ascii="Arial" w:hAnsi="Arial" w:cs="Arial"/>
        </w:rPr>
        <w:t>. I plan to attend advanced safeguarding and risk analysis</w:t>
      </w:r>
      <w:r w:rsidR="006848F6" w:rsidRPr="00CB00E5">
        <w:rPr>
          <w:rFonts w:ascii="Arial" w:hAnsi="Arial" w:cs="Arial"/>
        </w:rPr>
        <w:t xml:space="preserve"> t</w:t>
      </w:r>
      <w:r w:rsidR="00D07A58" w:rsidRPr="00CB00E5">
        <w:rPr>
          <w:rFonts w:ascii="Arial" w:hAnsi="Arial" w:cs="Arial"/>
        </w:rPr>
        <w:t>raining</w:t>
      </w:r>
      <w:r w:rsidR="006848F6" w:rsidRPr="00CB00E5">
        <w:rPr>
          <w:rFonts w:ascii="Arial" w:hAnsi="Arial" w:cs="Arial"/>
        </w:rPr>
        <w:t xml:space="preserve"> which is in the works of being developed and</w:t>
      </w:r>
      <w:r w:rsidR="00D07A58" w:rsidRPr="00CB00E5">
        <w:rPr>
          <w:rFonts w:ascii="Arial" w:hAnsi="Arial" w:cs="Arial"/>
        </w:rPr>
        <w:t xml:space="preserve"> review serious case reviews to deepen understanding of contested thresholds (NSPCC Learning, 2025). Research into least restrictive practice and ethical decision-making will further support my development.</w:t>
      </w:r>
    </w:p>
    <w:p w14:paraId="288ACC61" w14:textId="6F0E1C7F" w:rsidR="0083238E" w:rsidRPr="00CB00E5" w:rsidRDefault="00B84411" w:rsidP="00CB00E5">
      <w:pPr>
        <w:spacing w:line="360" w:lineRule="auto"/>
        <w:jc w:val="both"/>
        <w:rPr>
          <w:rFonts w:ascii="Arial" w:hAnsi="Arial" w:cs="Arial"/>
        </w:rPr>
      </w:pPr>
      <w:r w:rsidRPr="00CB00E5">
        <w:rPr>
          <w:rFonts w:ascii="Arial" w:hAnsi="Arial" w:cs="Arial"/>
        </w:rPr>
        <w:t>Case supervision remains essential when colleagues hold differing views; structured dialogue and reference to legislation, guidance help achieve consensus and uphold accountability. Embedding curiosity, empathy, and evidence-based reasoning, I will continue to refine my professional rational</w:t>
      </w:r>
      <w:r w:rsidR="0052104B" w:rsidRPr="00CB00E5">
        <w:rPr>
          <w:rFonts w:ascii="Arial" w:hAnsi="Arial" w:cs="Arial"/>
        </w:rPr>
        <w:t>e</w:t>
      </w:r>
      <w:r w:rsidRPr="00CB00E5">
        <w:rPr>
          <w:rFonts w:ascii="Arial" w:hAnsi="Arial" w:cs="Arial"/>
        </w:rPr>
        <w:t xml:space="preserve"> in complex situations.</w:t>
      </w:r>
    </w:p>
    <w:p w14:paraId="6189E2AE" w14:textId="63435117" w:rsidR="006860E0" w:rsidRPr="004751AD" w:rsidRDefault="006860E0" w:rsidP="004751AD">
      <w:pPr>
        <w:rPr>
          <w:b/>
          <w:bCs/>
        </w:rPr>
      </w:pPr>
      <w:r>
        <w:rPr>
          <w:b/>
          <w:bCs/>
        </w:rPr>
        <w:t>References</w:t>
      </w:r>
    </w:p>
    <w:p w14:paraId="7B434A93" w14:textId="77777777" w:rsidR="00CE4238" w:rsidRPr="00A73441" w:rsidRDefault="00CE4238" w:rsidP="004751AD">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A73441">
        <w:rPr>
          <w:rFonts w:ascii="Arial" w:eastAsia="Times New Roman" w:hAnsi="Arial" w:cs="Arial"/>
          <w:kern w:val="0"/>
          <w:sz w:val="22"/>
          <w:szCs w:val="22"/>
          <w:lang w:eastAsia="en-GB"/>
          <w14:ligatures w14:val="none"/>
        </w:rPr>
        <w:t xml:space="preserve">Brandon, M., Bailey, S. and </w:t>
      </w:r>
      <w:proofErr w:type="spellStart"/>
      <w:r w:rsidRPr="00A73441">
        <w:rPr>
          <w:rFonts w:ascii="Arial" w:eastAsia="Times New Roman" w:hAnsi="Arial" w:cs="Arial"/>
          <w:kern w:val="0"/>
          <w:sz w:val="22"/>
          <w:szCs w:val="22"/>
          <w:lang w:eastAsia="en-GB"/>
          <w14:ligatures w14:val="none"/>
        </w:rPr>
        <w:t>Belderson</w:t>
      </w:r>
      <w:proofErr w:type="spellEnd"/>
      <w:r w:rsidRPr="00A73441">
        <w:rPr>
          <w:rFonts w:ascii="Arial" w:eastAsia="Times New Roman" w:hAnsi="Arial" w:cs="Arial"/>
          <w:kern w:val="0"/>
          <w:sz w:val="22"/>
          <w:szCs w:val="22"/>
          <w:lang w:eastAsia="en-GB"/>
          <w14:ligatures w14:val="none"/>
        </w:rPr>
        <w:t xml:space="preserve">, P. (2008) </w:t>
      </w:r>
      <w:r w:rsidRPr="00A73441">
        <w:rPr>
          <w:rFonts w:ascii="Arial" w:eastAsia="Times New Roman" w:hAnsi="Arial" w:cs="Arial"/>
          <w:i/>
          <w:iCs/>
          <w:kern w:val="0"/>
          <w:sz w:val="22"/>
          <w:szCs w:val="22"/>
          <w:lang w:eastAsia="en-GB"/>
          <w14:ligatures w14:val="none"/>
        </w:rPr>
        <w:t>Learning from Serious Case Reviews: A Two-Year Report for 2005–2007</w:t>
      </w:r>
      <w:r w:rsidRPr="00A73441">
        <w:rPr>
          <w:rFonts w:ascii="Arial" w:eastAsia="Times New Roman" w:hAnsi="Arial" w:cs="Arial"/>
          <w:kern w:val="0"/>
          <w:sz w:val="22"/>
          <w:szCs w:val="22"/>
          <w:lang w:eastAsia="en-GB"/>
          <w14:ligatures w14:val="none"/>
        </w:rPr>
        <w:t>. London: Department for Children, Schools and Families.</w:t>
      </w:r>
    </w:p>
    <w:p w14:paraId="5F90D79F" w14:textId="0D8E9D67" w:rsidR="00CE4238" w:rsidRPr="00A73441" w:rsidRDefault="00CE4238" w:rsidP="004751AD">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A73441">
        <w:rPr>
          <w:rFonts w:ascii="Arial" w:eastAsia="Times New Roman" w:hAnsi="Arial" w:cs="Arial"/>
          <w:kern w:val="0"/>
          <w:sz w:val="22"/>
          <w:szCs w:val="22"/>
          <w:lang w:eastAsia="en-GB"/>
          <w14:ligatures w14:val="none"/>
        </w:rPr>
        <w:t xml:space="preserve">Community Care Inform Children (2025) Rethinking ‘disguised compliance’ in child protection practice. [online] Community Care Inform Children. Available at: </w:t>
      </w:r>
      <w:hyperlink r:id="rId5" w:history="1">
        <w:r w:rsidR="00E72714" w:rsidRPr="00BF68AB">
          <w:rPr>
            <w:rStyle w:val="Hyperlink"/>
            <w:rFonts w:ascii="Arial" w:eastAsia="Times New Roman" w:hAnsi="Arial" w:cs="Arial"/>
            <w:kern w:val="0"/>
            <w:sz w:val="22"/>
            <w:szCs w:val="22"/>
            <w:lang w:eastAsia="en-GB"/>
            <w14:ligatures w14:val="none"/>
          </w:rPr>
          <w:t>https://www.communitycare.co.uk/inform/rethinking-disguised-compliance</w:t>
        </w:r>
      </w:hyperlink>
      <w:r w:rsidR="00E72714">
        <w:rPr>
          <w:rFonts w:ascii="Arial" w:eastAsia="Times New Roman" w:hAnsi="Arial" w:cs="Arial"/>
          <w:kern w:val="0"/>
          <w:sz w:val="22"/>
          <w:szCs w:val="22"/>
          <w:lang w:eastAsia="en-GB"/>
          <w14:ligatures w14:val="none"/>
        </w:rPr>
        <w:t xml:space="preserve"> </w:t>
      </w:r>
      <w:r w:rsidRPr="00A73441">
        <w:rPr>
          <w:rFonts w:ascii="Arial" w:eastAsia="Times New Roman" w:hAnsi="Arial" w:cs="Arial"/>
          <w:kern w:val="0"/>
          <w:sz w:val="22"/>
          <w:szCs w:val="22"/>
          <w:lang w:eastAsia="en-GB"/>
          <w14:ligatures w14:val="none"/>
        </w:rPr>
        <w:t>[Accessed 25 November 2025].</w:t>
      </w:r>
    </w:p>
    <w:p w14:paraId="52ACD018" w14:textId="77777777" w:rsidR="00CE4238" w:rsidRDefault="00CE4238" w:rsidP="004751AD">
      <w:pPr>
        <w:numPr>
          <w:ilvl w:val="0"/>
          <w:numId w:val="2"/>
        </w:numPr>
        <w:rPr>
          <w:rFonts w:ascii="Arial" w:hAnsi="Arial" w:cs="Arial"/>
          <w:sz w:val="22"/>
          <w:szCs w:val="22"/>
        </w:rPr>
      </w:pPr>
      <w:r w:rsidRPr="00A73441">
        <w:rPr>
          <w:rFonts w:ascii="Arial" w:hAnsi="Arial" w:cs="Arial"/>
          <w:sz w:val="22"/>
          <w:szCs w:val="22"/>
        </w:rPr>
        <w:t xml:space="preserve">Kolb, D.A. (1984) </w:t>
      </w:r>
      <w:r w:rsidRPr="00A73441">
        <w:rPr>
          <w:rFonts w:ascii="Arial" w:hAnsi="Arial" w:cs="Arial"/>
          <w:i/>
          <w:iCs/>
          <w:sz w:val="22"/>
          <w:szCs w:val="22"/>
        </w:rPr>
        <w:t>Experiential Learning: Experience as the Source of Learning and Development</w:t>
      </w:r>
      <w:r w:rsidRPr="00A73441">
        <w:rPr>
          <w:rFonts w:ascii="Arial" w:hAnsi="Arial" w:cs="Arial"/>
          <w:sz w:val="22"/>
          <w:szCs w:val="22"/>
        </w:rPr>
        <w:t>. Englewood Cliffs, NJ: Prentice Hall.</w:t>
      </w:r>
    </w:p>
    <w:p w14:paraId="76B12F92" w14:textId="2281C9A9" w:rsidR="005441DE" w:rsidRPr="000D5D2F" w:rsidRDefault="005441DE" w:rsidP="000D5D2F">
      <w:pPr>
        <w:pStyle w:val="ListParagraph"/>
        <w:numPr>
          <w:ilvl w:val="0"/>
          <w:numId w:val="2"/>
        </w:numPr>
        <w:spacing w:after="0" w:line="300" w:lineRule="atLeast"/>
        <w:rPr>
          <w:rFonts w:ascii="Arial" w:eastAsia="Times New Roman" w:hAnsi="Arial" w:cs="Arial"/>
          <w:kern w:val="0"/>
          <w:sz w:val="22"/>
          <w:szCs w:val="22"/>
          <w:lang w:eastAsia="en-GB"/>
          <w14:ligatures w14:val="none"/>
        </w:rPr>
      </w:pPr>
      <w:r w:rsidRPr="005441DE">
        <w:rPr>
          <w:rFonts w:ascii="Arial" w:eastAsia="Times New Roman" w:hAnsi="Arial" w:cs="Arial"/>
          <w:kern w:val="0"/>
          <w:sz w:val="22"/>
          <w:szCs w:val="22"/>
          <w:lang w:eastAsia="en-GB"/>
          <w14:ligatures w14:val="none"/>
        </w:rPr>
        <w:t xml:space="preserve">North Wales Safeguarding Board (2025) </w:t>
      </w:r>
      <w:r w:rsidRPr="005441DE">
        <w:rPr>
          <w:rFonts w:ascii="Arial" w:eastAsia="Times New Roman" w:hAnsi="Arial" w:cs="Arial"/>
          <w:i/>
          <w:iCs/>
          <w:kern w:val="0"/>
          <w:sz w:val="22"/>
          <w:szCs w:val="22"/>
          <w:lang w:eastAsia="en-GB"/>
          <w14:ligatures w14:val="none"/>
        </w:rPr>
        <w:t>7</w:t>
      </w:r>
      <w:r w:rsidRPr="005441DE">
        <w:rPr>
          <w:rFonts w:ascii="Arial" w:eastAsia="Times New Roman" w:hAnsi="Arial" w:cs="Arial"/>
          <w:i/>
          <w:iCs/>
          <w:kern w:val="0"/>
          <w:sz w:val="22"/>
          <w:szCs w:val="22"/>
          <w:lang w:eastAsia="en-GB"/>
          <w14:ligatures w14:val="none"/>
        </w:rPr>
        <w:noBreakHyphen/>
        <w:t>Minute Briefing: Disguised compliance – learning from case reviews (2022–2023).</w:t>
      </w:r>
      <w:r w:rsidRPr="005441DE">
        <w:rPr>
          <w:rFonts w:ascii="Arial" w:eastAsia="Times New Roman" w:hAnsi="Arial" w:cs="Arial"/>
          <w:kern w:val="0"/>
          <w:sz w:val="22"/>
          <w:szCs w:val="22"/>
          <w:lang w:eastAsia="en-GB"/>
          <w14:ligatures w14:val="none"/>
        </w:rPr>
        <w:t xml:space="preserve"> Available at: </w:t>
      </w:r>
      <w:hyperlink r:id="rId6" w:history="1">
        <w:r w:rsidR="00E72714" w:rsidRPr="00BF68AB">
          <w:rPr>
            <w:rStyle w:val="Hyperlink"/>
            <w:rFonts w:ascii="Arial" w:eastAsia="Times New Roman" w:hAnsi="Arial" w:cs="Arial"/>
            <w:kern w:val="0"/>
            <w:sz w:val="22"/>
            <w:szCs w:val="22"/>
            <w:lang w:eastAsia="en-GB"/>
            <w14:ligatures w14:val="none"/>
          </w:rPr>
          <w:t>https://www.northwalessafeguardingboard.wales/wp-content/uploads/2025/04/7-minute-Briefing-Disguised-compliance-learning-from-case-reviews-1.pptx</w:t>
        </w:r>
      </w:hyperlink>
      <w:r w:rsidR="00E72714">
        <w:rPr>
          <w:rFonts w:ascii="Arial" w:eastAsia="Times New Roman" w:hAnsi="Arial" w:cs="Arial"/>
          <w:kern w:val="0"/>
          <w:sz w:val="22"/>
          <w:szCs w:val="22"/>
          <w:lang w:eastAsia="en-GB"/>
          <w14:ligatures w14:val="none"/>
        </w:rPr>
        <w:t xml:space="preserve"> [</w:t>
      </w:r>
      <w:r w:rsidRPr="005441DE">
        <w:rPr>
          <w:rFonts w:ascii="Arial" w:eastAsia="Times New Roman" w:hAnsi="Arial" w:cs="Arial"/>
          <w:kern w:val="0"/>
          <w:sz w:val="22"/>
          <w:szCs w:val="22"/>
          <w:lang w:eastAsia="en-GB"/>
          <w14:ligatures w14:val="none"/>
        </w:rPr>
        <w:t xml:space="preserve">Accessed: </w:t>
      </w:r>
      <w:r w:rsidR="000D5D2F">
        <w:rPr>
          <w:rFonts w:ascii="Arial" w:eastAsia="Times New Roman" w:hAnsi="Arial" w:cs="Arial"/>
          <w:i/>
          <w:iCs/>
          <w:kern w:val="0"/>
          <w:sz w:val="22"/>
          <w:szCs w:val="22"/>
          <w:lang w:eastAsia="en-GB"/>
          <w14:ligatures w14:val="none"/>
        </w:rPr>
        <w:t>24 November 2025</w:t>
      </w:r>
      <w:r w:rsidR="00E72714">
        <w:rPr>
          <w:rFonts w:ascii="Arial" w:eastAsia="Times New Roman" w:hAnsi="Arial" w:cs="Arial"/>
          <w:kern w:val="0"/>
          <w:sz w:val="22"/>
          <w:szCs w:val="22"/>
          <w:lang w:eastAsia="en-GB"/>
          <w14:ligatures w14:val="none"/>
        </w:rPr>
        <w:t>]</w:t>
      </w:r>
      <w:r w:rsidRPr="005441DE">
        <w:rPr>
          <w:rFonts w:ascii="Arial" w:eastAsia="Times New Roman" w:hAnsi="Arial" w:cs="Arial"/>
          <w:kern w:val="0"/>
          <w:sz w:val="22"/>
          <w:szCs w:val="22"/>
          <w:lang w:eastAsia="en-GB"/>
          <w14:ligatures w14:val="none"/>
        </w:rPr>
        <w:t>.</w:t>
      </w:r>
    </w:p>
    <w:p w14:paraId="7586B6EB" w14:textId="32A60E4E" w:rsidR="00F94E4C" w:rsidRDefault="00CE4238" w:rsidP="00B069C1">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A73441">
        <w:rPr>
          <w:rFonts w:ascii="Arial" w:eastAsia="Times New Roman" w:hAnsi="Arial" w:cs="Arial"/>
          <w:kern w:val="0"/>
          <w:sz w:val="22"/>
          <w:szCs w:val="22"/>
          <w:lang w:eastAsia="en-GB"/>
          <w14:ligatures w14:val="none"/>
        </w:rPr>
        <w:t xml:space="preserve">NSPCC Learning (2025) </w:t>
      </w:r>
      <w:r w:rsidRPr="00A73441">
        <w:rPr>
          <w:rFonts w:ascii="Arial" w:eastAsia="Times New Roman" w:hAnsi="Arial" w:cs="Arial"/>
          <w:i/>
          <w:iCs/>
          <w:kern w:val="0"/>
          <w:sz w:val="22"/>
          <w:szCs w:val="22"/>
          <w:lang w:eastAsia="en-GB"/>
          <w14:ligatures w14:val="none"/>
        </w:rPr>
        <w:t>Disguised compliance: learning from case reviews</w:t>
      </w:r>
      <w:r w:rsidRPr="00A73441">
        <w:rPr>
          <w:rFonts w:ascii="Arial" w:eastAsia="Times New Roman" w:hAnsi="Arial" w:cs="Arial"/>
          <w:kern w:val="0"/>
          <w:sz w:val="22"/>
          <w:szCs w:val="22"/>
          <w:lang w:eastAsia="en-GB"/>
          <w14:ligatures w14:val="none"/>
        </w:rPr>
        <w:t xml:space="preserve">. [online] Available at: https://learning.nspcc.org.uk/research-resources/learning-from-case-reviews/disguised-compliance [Accessed 25 November 2025]. </w:t>
      </w:r>
    </w:p>
    <w:p w14:paraId="66DA4863" w14:textId="77777777" w:rsidR="00B069C1" w:rsidRPr="00B069C1" w:rsidRDefault="00B069C1" w:rsidP="00B069C1">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p>
    <w:p w14:paraId="4902CAE2" w14:textId="3E50D042" w:rsidR="00CE4238" w:rsidRPr="00A73441" w:rsidRDefault="00CE4238" w:rsidP="004751AD">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A73441">
        <w:rPr>
          <w:rFonts w:ascii="Arial" w:eastAsia="Times New Roman" w:hAnsi="Arial" w:cs="Arial"/>
          <w:kern w:val="0"/>
          <w:sz w:val="22"/>
          <w:szCs w:val="22"/>
          <w:lang w:eastAsia="en-GB"/>
          <w14:ligatures w14:val="none"/>
        </w:rPr>
        <w:t xml:space="preserve">Signs of Safety Partnership (2024) </w:t>
      </w:r>
      <w:r w:rsidRPr="00A73441">
        <w:rPr>
          <w:rFonts w:ascii="Arial" w:eastAsia="Times New Roman" w:hAnsi="Arial" w:cs="Arial"/>
          <w:i/>
          <w:iCs/>
          <w:kern w:val="0"/>
          <w:sz w:val="22"/>
          <w:szCs w:val="22"/>
          <w:lang w:eastAsia="en-GB"/>
          <w14:ligatures w14:val="none"/>
        </w:rPr>
        <w:t>Guidance on Family Network Meetings within the Signs of Safety Model</w:t>
      </w:r>
      <w:r w:rsidRPr="00A73441">
        <w:rPr>
          <w:rFonts w:ascii="Arial" w:eastAsia="Times New Roman" w:hAnsi="Arial" w:cs="Arial"/>
          <w:kern w:val="0"/>
          <w:sz w:val="22"/>
          <w:szCs w:val="22"/>
          <w:lang w:eastAsia="en-GB"/>
          <w14:ligatures w14:val="none"/>
        </w:rPr>
        <w:t xml:space="preserve">. [online] Available at: </w:t>
      </w:r>
      <w:hyperlink r:id="rId7" w:history="1">
        <w:r w:rsidR="00284A6F" w:rsidRPr="00BF68AB">
          <w:rPr>
            <w:rStyle w:val="Hyperlink"/>
            <w:rFonts w:ascii="Arial" w:eastAsia="Times New Roman" w:hAnsi="Arial" w:cs="Arial"/>
            <w:kern w:val="0"/>
            <w:sz w:val="22"/>
            <w:szCs w:val="22"/>
            <w:lang w:eastAsia="en-GB"/>
            <w14:ligatures w14:val="none"/>
          </w:rPr>
          <w:t>https://www.signsofsafety.net/resources/family-network-meetings-guide</w:t>
        </w:r>
      </w:hyperlink>
      <w:r w:rsidR="00284A6F">
        <w:rPr>
          <w:rFonts w:ascii="Arial" w:eastAsia="Times New Roman" w:hAnsi="Arial" w:cs="Arial"/>
          <w:kern w:val="0"/>
          <w:sz w:val="22"/>
          <w:szCs w:val="22"/>
          <w:lang w:eastAsia="en-GB"/>
          <w14:ligatures w14:val="none"/>
        </w:rPr>
        <w:t xml:space="preserve"> </w:t>
      </w:r>
      <w:r w:rsidRPr="00A73441">
        <w:rPr>
          <w:rFonts w:ascii="Arial" w:eastAsia="Times New Roman" w:hAnsi="Arial" w:cs="Arial"/>
          <w:kern w:val="0"/>
          <w:sz w:val="22"/>
          <w:szCs w:val="22"/>
          <w:lang w:eastAsia="en-GB"/>
          <w14:ligatures w14:val="none"/>
        </w:rPr>
        <w:t xml:space="preserve"> [Accessed 24 November 2025].</w:t>
      </w:r>
    </w:p>
    <w:p w14:paraId="414C1BE0" w14:textId="62008279" w:rsidR="006E3AF2" w:rsidRPr="00E72714" w:rsidRDefault="006E3AF2" w:rsidP="00E72714">
      <w:pPr>
        <w:pStyle w:val="ListParagraph"/>
        <w:numPr>
          <w:ilvl w:val="0"/>
          <w:numId w:val="2"/>
        </w:numPr>
        <w:spacing w:after="0" w:line="300" w:lineRule="atLeast"/>
        <w:rPr>
          <w:rFonts w:ascii="Arial" w:eastAsia="Times New Roman" w:hAnsi="Arial" w:cs="Arial"/>
          <w:kern w:val="0"/>
          <w:sz w:val="22"/>
          <w:szCs w:val="22"/>
          <w:lang w:eastAsia="en-GB"/>
          <w14:ligatures w14:val="none"/>
        </w:rPr>
      </w:pPr>
      <w:r w:rsidRPr="00A73441">
        <w:rPr>
          <w:rFonts w:ascii="Arial" w:eastAsia="Times New Roman" w:hAnsi="Arial" w:cs="Arial"/>
          <w:kern w:val="0"/>
          <w:sz w:val="22"/>
          <w:szCs w:val="22"/>
          <w:lang w:eastAsia="en-GB"/>
          <w14:ligatures w14:val="none"/>
        </w:rPr>
        <w:t xml:space="preserve">Swindon Safeguarding Partnership (2024) </w:t>
      </w:r>
      <w:r w:rsidRPr="00A73441">
        <w:rPr>
          <w:rFonts w:ascii="Arial" w:eastAsia="Times New Roman" w:hAnsi="Arial" w:cs="Arial"/>
          <w:i/>
          <w:iCs/>
          <w:kern w:val="0"/>
          <w:sz w:val="22"/>
          <w:szCs w:val="22"/>
          <w:lang w:eastAsia="en-GB"/>
          <w14:ligatures w14:val="none"/>
        </w:rPr>
        <w:t>SSP practice brief: Working with resistance or disguised compliance</w:t>
      </w:r>
      <w:r w:rsidRPr="00A73441">
        <w:rPr>
          <w:rFonts w:ascii="Arial" w:eastAsia="Times New Roman" w:hAnsi="Arial" w:cs="Arial"/>
          <w:kern w:val="0"/>
          <w:sz w:val="22"/>
          <w:szCs w:val="22"/>
          <w:lang w:eastAsia="en-GB"/>
          <w14:ligatures w14:val="none"/>
        </w:rPr>
        <w:t xml:space="preserve">. Updated July 2024. Swindon: Swindon Safeguarding Partnership. Available at: </w:t>
      </w:r>
      <w:proofErr w:type="gramStart"/>
      <w:r w:rsidRPr="00A73441">
        <w:rPr>
          <w:rFonts w:ascii="Arial" w:eastAsia="Times New Roman" w:hAnsi="Arial" w:cs="Arial"/>
          <w:kern w:val="0"/>
          <w:sz w:val="22"/>
          <w:szCs w:val="22"/>
          <w:lang w:eastAsia="en-GB"/>
          <w14:ligatures w14:val="none"/>
        </w:rPr>
        <w:t xml:space="preserve">https://safeguardingpartnership.swindon.gov.uk/download/downloads/id/1286/ssp_practice_brief_-_working_with_resistance_or_disguised_compliance.pdf </w:t>
      </w:r>
      <w:r w:rsidR="00284A6F">
        <w:rPr>
          <w:rFonts w:ascii="Arial" w:eastAsia="Times New Roman" w:hAnsi="Arial" w:cs="Arial"/>
          <w:kern w:val="0"/>
          <w:sz w:val="22"/>
          <w:szCs w:val="22"/>
          <w:lang w:eastAsia="en-GB"/>
          <w14:ligatures w14:val="none"/>
        </w:rPr>
        <w:t xml:space="preserve"> </w:t>
      </w:r>
      <w:r w:rsidR="0032180E" w:rsidRPr="00A73441">
        <w:rPr>
          <w:rFonts w:ascii="Arial" w:eastAsia="Times New Roman" w:hAnsi="Arial" w:cs="Arial"/>
          <w:kern w:val="0"/>
          <w:sz w:val="22"/>
          <w:szCs w:val="22"/>
          <w:lang w:eastAsia="en-GB"/>
          <w14:ligatures w14:val="none"/>
        </w:rPr>
        <w:t>[</w:t>
      </w:r>
      <w:proofErr w:type="gramEnd"/>
      <w:r w:rsidRPr="00A73441">
        <w:rPr>
          <w:rFonts w:ascii="Arial" w:eastAsia="Times New Roman" w:hAnsi="Arial" w:cs="Arial"/>
          <w:kern w:val="0"/>
          <w:sz w:val="22"/>
          <w:szCs w:val="22"/>
          <w:lang w:eastAsia="en-GB"/>
          <w14:ligatures w14:val="none"/>
        </w:rPr>
        <w:t xml:space="preserve">Accessed: </w:t>
      </w:r>
      <w:r w:rsidR="0032180E" w:rsidRPr="00A73441">
        <w:rPr>
          <w:rFonts w:ascii="Arial" w:eastAsia="Times New Roman" w:hAnsi="Arial" w:cs="Arial"/>
          <w:kern w:val="0"/>
          <w:sz w:val="22"/>
          <w:szCs w:val="22"/>
          <w:lang w:eastAsia="en-GB"/>
          <w14:ligatures w14:val="none"/>
        </w:rPr>
        <w:t>24 November 2025]</w:t>
      </w:r>
      <w:r w:rsidRPr="00A73441">
        <w:rPr>
          <w:rFonts w:ascii="Arial" w:eastAsia="Times New Roman" w:hAnsi="Arial" w:cs="Arial"/>
          <w:kern w:val="0"/>
          <w:sz w:val="22"/>
          <w:szCs w:val="22"/>
          <w:lang w:eastAsia="en-GB"/>
          <w14:ligatures w14:val="none"/>
        </w:rPr>
        <w:t>.</w:t>
      </w:r>
    </w:p>
    <w:p w14:paraId="0B2E2B54" w14:textId="10C01A69" w:rsidR="00CE4238" w:rsidRPr="00A73441" w:rsidRDefault="00CE4238" w:rsidP="009913AC">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A73441">
        <w:rPr>
          <w:rFonts w:ascii="Arial" w:eastAsia="Times New Roman" w:hAnsi="Arial" w:cs="Arial"/>
          <w:kern w:val="0"/>
          <w:sz w:val="22"/>
          <w:szCs w:val="22"/>
          <w:lang w:eastAsia="en-GB"/>
          <w14:ligatures w14:val="none"/>
        </w:rPr>
        <w:t xml:space="preserve">Welsh Government (2014) </w:t>
      </w:r>
      <w:r w:rsidRPr="00A73441">
        <w:rPr>
          <w:rFonts w:ascii="Arial" w:eastAsia="Times New Roman" w:hAnsi="Arial" w:cs="Arial"/>
          <w:i/>
          <w:iCs/>
          <w:kern w:val="0"/>
          <w:sz w:val="22"/>
          <w:szCs w:val="22"/>
          <w:lang w:eastAsia="en-GB"/>
          <w14:ligatures w14:val="none"/>
        </w:rPr>
        <w:t>Social Services and Well-being (Wales) Act 2014</w:t>
      </w:r>
      <w:r w:rsidRPr="00A73441">
        <w:rPr>
          <w:rFonts w:ascii="Arial" w:eastAsia="Times New Roman" w:hAnsi="Arial" w:cs="Arial"/>
          <w:kern w:val="0"/>
          <w:sz w:val="22"/>
          <w:szCs w:val="22"/>
          <w:lang w:eastAsia="en-GB"/>
          <w14:ligatures w14:val="none"/>
        </w:rPr>
        <w:t xml:space="preserve">. [online] Available at: </w:t>
      </w:r>
      <w:hyperlink r:id="rId8" w:history="1">
        <w:r w:rsidR="00284A6F" w:rsidRPr="00BF68AB">
          <w:rPr>
            <w:rStyle w:val="Hyperlink"/>
            <w:rFonts w:ascii="Arial" w:eastAsia="Times New Roman" w:hAnsi="Arial" w:cs="Arial"/>
            <w:kern w:val="0"/>
            <w:sz w:val="22"/>
            <w:szCs w:val="22"/>
            <w:lang w:eastAsia="en-GB"/>
            <w14:ligatures w14:val="none"/>
          </w:rPr>
          <w:t>https://www.legislation.gov.uk/anaw/2014/4/contents</w:t>
        </w:r>
      </w:hyperlink>
      <w:r w:rsidR="00284A6F">
        <w:rPr>
          <w:rFonts w:ascii="Arial" w:eastAsia="Times New Roman" w:hAnsi="Arial" w:cs="Arial"/>
          <w:kern w:val="0"/>
          <w:sz w:val="22"/>
          <w:szCs w:val="22"/>
          <w:lang w:eastAsia="en-GB"/>
          <w14:ligatures w14:val="none"/>
        </w:rPr>
        <w:t xml:space="preserve"> </w:t>
      </w:r>
      <w:r w:rsidRPr="00A73441">
        <w:rPr>
          <w:rFonts w:ascii="Arial" w:eastAsia="Times New Roman" w:hAnsi="Arial" w:cs="Arial"/>
          <w:kern w:val="0"/>
          <w:sz w:val="22"/>
          <w:szCs w:val="22"/>
          <w:lang w:eastAsia="en-GB"/>
          <w14:ligatures w14:val="none"/>
        </w:rPr>
        <w:t xml:space="preserve"> [Accessed 25 November 2025].</w:t>
      </w:r>
    </w:p>
    <w:p w14:paraId="00D5AADA" w14:textId="3E59E179" w:rsidR="00992B54" w:rsidRPr="00A73441" w:rsidRDefault="00992B54">
      <w:pPr>
        <w:rPr>
          <w:rFonts w:ascii="Arial" w:hAnsi="Arial" w:cs="Arial"/>
          <w:sz w:val="22"/>
          <w:szCs w:val="22"/>
        </w:rPr>
      </w:pPr>
    </w:p>
    <w:sectPr w:rsidR="00992B54" w:rsidRPr="00A734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A4EB9"/>
    <w:multiLevelType w:val="multilevel"/>
    <w:tmpl w:val="CF40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F7306"/>
    <w:multiLevelType w:val="multilevel"/>
    <w:tmpl w:val="F70C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B2187B"/>
    <w:multiLevelType w:val="multilevel"/>
    <w:tmpl w:val="D3AA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BB511F"/>
    <w:multiLevelType w:val="multilevel"/>
    <w:tmpl w:val="D41C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5347636">
    <w:abstractNumId w:val="0"/>
  </w:num>
  <w:num w:numId="2" w16cid:durableId="834537097">
    <w:abstractNumId w:val="3"/>
  </w:num>
  <w:num w:numId="3" w16cid:durableId="19162998">
    <w:abstractNumId w:val="1"/>
  </w:num>
  <w:num w:numId="4" w16cid:durableId="8040075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B54"/>
    <w:rsid w:val="000141B2"/>
    <w:rsid w:val="0002034E"/>
    <w:rsid w:val="00053E72"/>
    <w:rsid w:val="00054644"/>
    <w:rsid w:val="00082AF0"/>
    <w:rsid w:val="000D5D2F"/>
    <w:rsid w:val="000F72CB"/>
    <w:rsid w:val="00173F75"/>
    <w:rsid w:val="001E295D"/>
    <w:rsid w:val="001F29C7"/>
    <w:rsid w:val="001F6B28"/>
    <w:rsid w:val="00210CAC"/>
    <w:rsid w:val="00255C6F"/>
    <w:rsid w:val="00276ACD"/>
    <w:rsid w:val="00276C2A"/>
    <w:rsid w:val="00284A6F"/>
    <w:rsid w:val="002864AE"/>
    <w:rsid w:val="00313587"/>
    <w:rsid w:val="0032180E"/>
    <w:rsid w:val="003378D5"/>
    <w:rsid w:val="003A5D2C"/>
    <w:rsid w:val="00431D12"/>
    <w:rsid w:val="00461D01"/>
    <w:rsid w:val="004751AD"/>
    <w:rsid w:val="004B3966"/>
    <w:rsid w:val="004E39A1"/>
    <w:rsid w:val="004F1892"/>
    <w:rsid w:val="0052104B"/>
    <w:rsid w:val="0052757C"/>
    <w:rsid w:val="005441DE"/>
    <w:rsid w:val="005C544B"/>
    <w:rsid w:val="005E2C4A"/>
    <w:rsid w:val="0067263A"/>
    <w:rsid w:val="00674870"/>
    <w:rsid w:val="006848F6"/>
    <w:rsid w:val="006860E0"/>
    <w:rsid w:val="00695FFC"/>
    <w:rsid w:val="006E3AF2"/>
    <w:rsid w:val="00733F8C"/>
    <w:rsid w:val="007B4F8D"/>
    <w:rsid w:val="0083238E"/>
    <w:rsid w:val="008434B1"/>
    <w:rsid w:val="008836F4"/>
    <w:rsid w:val="008A18AE"/>
    <w:rsid w:val="00903A19"/>
    <w:rsid w:val="00927D8C"/>
    <w:rsid w:val="0095509C"/>
    <w:rsid w:val="00975EFA"/>
    <w:rsid w:val="009858D0"/>
    <w:rsid w:val="009913AC"/>
    <w:rsid w:val="00992B54"/>
    <w:rsid w:val="009A2B7C"/>
    <w:rsid w:val="009E4102"/>
    <w:rsid w:val="009F168F"/>
    <w:rsid w:val="00A069A2"/>
    <w:rsid w:val="00A06B64"/>
    <w:rsid w:val="00A73441"/>
    <w:rsid w:val="00A758DB"/>
    <w:rsid w:val="00A96892"/>
    <w:rsid w:val="00B069C1"/>
    <w:rsid w:val="00B84411"/>
    <w:rsid w:val="00BA1BB7"/>
    <w:rsid w:val="00BD2EA0"/>
    <w:rsid w:val="00BE2FDF"/>
    <w:rsid w:val="00C3620C"/>
    <w:rsid w:val="00C72B1F"/>
    <w:rsid w:val="00CA7384"/>
    <w:rsid w:val="00CB00E5"/>
    <w:rsid w:val="00CE4238"/>
    <w:rsid w:val="00D07A58"/>
    <w:rsid w:val="00D67083"/>
    <w:rsid w:val="00D7313B"/>
    <w:rsid w:val="00DF2465"/>
    <w:rsid w:val="00E03CA2"/>
    <w:rsid w:val="00E5545C"/>
    <w:rsid w:val="00E66591"/>
    <w:rsid w:val="00E72714"/>
    <w:rsid w:val="00E82F95"/>
    <w:rsid w:val="00E929D0"/>
    <w:rsid w:val="00EA13B0"/>
    <w:rsid w:val="00EC5EBD"/>
    <w:rsid w:val="00EC75A9"/>
    <w:rsid w:val="00EC7BDF"/>
    <w:rsid w:val="00F90AFC"/>
    <w:rsid w:val="00F94E4C"/>
    <w:rsid w:val="00FD3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C882D"/>
  <w15:chartTrackingRefBased/>
  <w15:docId w15:val="{CBBA3B59-8A1E-4726-9609-7DF01C2FF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B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B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2B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B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B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B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B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B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B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B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B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2B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B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B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B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B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B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B54"/>
    <w:rPr>
      <w:rFonts w:eastAsiaTheme="majorEastAsia" w:cstheme="majorBidi"/>
      <w:color w:val="272727" w:themeColor="text1" w:themeTint="D8"/>
    </w:rPr>
  </w:style>
  <w:style w:type="paragraph" w:styleId="Title">
    <w:name w:val="Title"/>
    <w:basedOn w:val="Normal"/>
    <w:next w:val="Normal"/>
    <w:link w:val="TitleChar"/>
    <w:uiPriority w:val="10"/>
    <w:qFormat/>
    <w:rsid w:val="00992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B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B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B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B54"/>
    <w:pPr>
      <w:spacing w:before="160"/>
      <w:jc w:val="center"/>
    </w:pPr>
    <w:rPr>
      <w:i/>
      <w:iCs/>
      <w:color w:val="404040" w:themeColor="text1" w:themeTint="BF"/>
    </w:rPr>
  </w:style>
  <w:style w:type="character" w:customStyle="1" w:styleId="QuoteChar">
    <w:name w:val="Quote Char"/>
    <w:basedOn w:val="DefaultParagraphFont"/>
    <w:link w:val="Quote"/>
    <w:uiPriority w:val="29"/>
    <w:rsid w:val="00992B54"/>
    <w:rPr>
      <w:i/>
      <w:iCs/>
      <w:color w:val="404040" w:themeColor="text1" w:themeTint="BF"/>
    </w:rPr>
  </w:style>
  <w:style w:type="paragraph" w:styleId="ListParagraph">
    <w:name w:val="List Paragraph"/>
    <w:basedOn w:val="Normal"/>
    <w:uiPriority w:val="34"/>
    <w:qFormat/>
    <w:rsid w:val="00992B54"/>
    <w:pPr>
      <w:ind w:left="720"/>
      <w:contextualSpacing/>
    </w:pPr>
  </w:style>
  <w:style w:type="character" w:styleId="IntenseEmphasis">
    <w:name w:val="Intense Emphasis"/>
    <w:basedOn w:val="DefaultParagraphFont"/>
    <w:uiPriority w:val="21"/>
    <w:qFormat/>
    <w:rsid w:val="00992B54"/>
    <w:rPr>
      <w:i/>
      <w:iCs/>
      <w:color w:val="0F4761" w:themeColor="accent1" w:themeShade="BF"/>
    </w:rPr>
  </w:style>
  <w:style w:type="paragraph" w:styleId="IntenseQuote">
    <w:name w:val="Intense Quote"/>
    <w:basedOn w:val="Normal"/>
    <w:next w:val="Normal"/>
    <w:link w:val="IntenseQuoteChar"/>
    <w:uiPriority w:val="30"/>
    <w:qFormat/>
    <w:rsid w:val="00992B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B54"/>
    <w:rPr>
      <w:i/>
      <w:iCs/>
      <w:color w:val="0F4761" w:themeColor="accent1" w:themeShade="BF"/>
    </w:rPr>
  </w:style>
  <w:style w:type="character" w:styleId="IntenseReference">
    <w:name w:val="Intense Reference"/>
    <w:basedOn w:val="DefaultParagraphFont"/>
    <w:uiPriority w:val="32"/>
    <w:qFormat/>
    <w:rsid w:val="00992B54"/>
    <w:rPr>
      <w:b/>
      <w:bCs/>
      <w:smallCaps/>
      <w:color w:val="0F4761" w:themeColor="accent1" w:themeShade="BF"/>
      <w:spacing w:val="5"/>
    </w:rPr>
  </w:style>
  <w:style w:type="character" w:styleId="Emphasis">
    <w:name w:val="Emphasis"/>
    <w:basedOn w:val="DefaultParagraphFont"/>
    <w:uiPriority w:val="20"/>
    <w:qFormat/>
    <w:rsid w:val="004751AD"/>
    <w:rPr>
      <w:i/>
      <w:iCs/>
    </w:rPr>
  </w:style>
  <w:style w:type="paragraph" w:styleId="NormalWeb">
    <w:name w:val="Normal (Web)"/>
    <w:basedOn w:val="Normal"/>
    <w:uiPriority w:val="99"/>
    <w:semiHidden/>
    <w:unhideWhenUsed/>
    <w:rsid w:val="004751A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751AD"/>
    <w:rPr>
      <w:b/>
      <w:bCs/>
    </w:rPr>
  </w:style>
  <w:style w:type="character" w:styleId="Hyperlink">
    <w:name w:val="Hyperlink"/>
    <w:basedOn w:val="DefaultParagraphFont"/>
    <w:uiPriority w:val="99"/>
    <w:unhideWhenUsed/>
    <w:rsid w:val="00E72714"/>
    <w:rPr>
      <w:color w:val="467886" w:themeColor="hyperlink"/>
      <w:u w:val="single"/>
    </w:rPr>
  </w:style>
  <w:style w:type="character" w:styleId="UnresolvedMention">
    <w:name w:val="Unresolved Mention"/>
    <w:basedOn w:val="DefaultParagraphFont"/>
    <w:uiPriority w:val="99"/>
    <w:semiHidden/>
    <w:unhideWhenUsed/>
    <w:rsid w:val="00E727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naw/2014/4/contents" TargetMode="External"/><Relationship Id="rId3" Type="http://schemas.openxmlformats.org/officeDocument/2006/relationships/settings" Target="settings.xml"/><Relationship Id="rId7" Type="http://schemas.openxmlformats.org/officeDocument/2006/relationships/hyperlink" Target="https://www.signsofsafety.net/resources/family-network-meetings-gui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orthwalessafeguardingboard.wales/wp-content/uploads/2025/04/7-minute-Briefing-Disguised-compliance-learning-from-case-reviews-1.pptx" TargetMode="External"/><Relationship Id="rId5" Type="http://schemas.openxmlformats.org/officeDocument/2006/relationships/hyperlink" Target="https://www.communitycare.co.uk/inform/rethinking-disguised-complianc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1474</TotalTime>
  <Pages>4</Pages>
  <Words>1042</Words>
  <Characters>6717</Characters>
  <Application>Microsoft Office Word</Application>
  <DocSecurity>0</DocSecurity>
  <Lines>103</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Nash-McNeil</dc:creator>
  <cp:keywords/>
  <dc:description/>
  <cp:lastModifiedBy>Ellie Nash-McNeil</cp:lastModifiedBy>
  <cp:revision>70</cp:revision>
  <dcterms:created xsi:type="dcterms:W3CDTF">2025-11-25T09:42:00Z</dcterms:created>
  <dcterms:modified xsi:type="dcterms:W3CDTF">2026-03-24T13:25:00Z</dcterms:modified>
</cp:coreProperties>
</file>