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339D" w:rsidRDefault="00563497">
      <w:r>
        <w:rPr>
          <w:noProof/>
        </w:rPr>
        <w:drawing>
          <wp:inline distT="114300" distB="114300" distL="114300" distR="114300">
            <wp:extent cx="1785938" cy="6884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85938" cy="688434"/>
                    </a:xfrm>
                    <a:prstGeom prst="rect">
                      <a:avLst/>
                    </a:prstGeom>
                    <a:ln/>
                  </pic:spPr>
                </pic:pic>
              </a:graphicData>
            </a:graphic>
          </wp:inline>
        </w:drawing>
      </w:r>
    </w:p>
    <w:p w:rsidR="00E5339D" w:rsidRDefault="00E5339D"/>
    <w:p w:rsidR="00E5339D" w:rsidRDefault="00E5339D"/>
    <w:p w:rsidR="00E5339D" w:rsidRDefault="00E5339D"/>
    <w:p w:rsidR="00E5339D" w:rsidRDefault="00E5339D"/>
    <w:p w:rsidR="00E5339D" w:rsidRDefault="00E5339D"/>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5339D">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Student Name:</w:t>
            </w:r>
          </w:p>
        </w:tc>
        <w:tc>
          <w:tcPr>
            <w:tcW w:w="2340" w:type="dxa"/>
            <w:shd w:val="clear" w:color="auto" w:fill="auto"/>
            <w:tcMar>
              <w:top w:w="100" w:type="dxa"/>
              <w:left w:w="100" w:type="dxa"/>
              <w:bottom w:w="100" w:type="dxa"/>
              <w:right w:w="100" w:type="dxa"/>
            </w:tcMar>
          </w:tcPr>
          <w:p w:rsidR="00E5339D" w:rsidRDefault="005A2F11">
            <w:pPr>
              <w:widowControl w:val="0"/>
              <w:jc w:val="left"/>
              <w:rPr>
                <w:b/>
              </w:rPr>
            </w:pPr>
            <w:r>
              <w:rPr>
                <w:b/>
              </w:rPr>
              <w:t xml:space="preserve">Kellie </w:t>
            </w:r>
            <w:proofErr w:type="spellStart"/>
            <w:r>
              <w:rPr>
                <w:b/>
              </w:rPr>
              <w:t>perkins</w:t>
            </w:r>
            <w:proofErr w:type="spellEnd"/>
          </w:p>
        </w:tc>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Student ID Number:</w:t>
            </w:r>
          </w:p>
        </w:tc>
        <w:tc>
          <w:tcPr>
            <w:tcW w:w="2340" w:type="dxa"/>
            <w:shd w:val="clear" w:color="auto" w:fill="auto"/>
            <w:tcMar>
              <w:top w:w="100" w:type="dxa"/>
              <w:left w:w="100" w:type="dxa"/>
              <w:bottom w:w="100" w:type="dxa"/>
              <w:right w:w="100" w:type="dxa"/>
            </w:tcMar>
          </w:tcPr>
          <w:p w:rsidR="00E5339D" w:rsidRDefault="00347413">
            <w:pPr>
              <w:widowControl w:val="0"/>
              <w:jc w:val="left"/>
              <w:rPr>
                <w:b/>
              </w:rPr>
            </w:pPr>
            <w:r>
              <w:rPr>
                <w:b/>
              </w:rPr>
              <w:t>2242078</w:t>
            </w:r>
          </w:p>
        </w:tc>
      </w:tr>
      <w:tr w:rsidR="00E5339D">
        <w:trPr>
          <w:trHeight w:val="440"/>
        </w:trPr>
        <w:tc>
          <w:tcPr>
            <w:tcW w:w="2340" w:type="dxa"/>
            <w:shd w:val="clear" w:color="auto" w:fill="auto"/>
            <w:tcMar>
              <w:top w:w="100" w:type="dxa"/>
              <w:left w:w="100" w:type="dxa"/>
              <w:bottom w:w="100" w:type="dxa"/>
              <w:right w:w="100" w:type="dxa"/>
            </w:tcMar>
          </w:tcPr>
          <w:p w:rsidR="00E5339D" w:rsidRDefault="00563497">
            <w:pPr>
              <w:widowControl w:val="0"/>
              <w:jc w:val="left"/>
              <w:rPr>
                <w:b/>
              </w:rPr>
            </w:pPr>
            <w:proofErr w:type="spellStart"/>
            <w:r>
              <w:rPr>
                <w:b/>
              </w:rPr>
              <w:t>Programme</w:t>
            </w:r>
            <w:proofErr w:type="spellEnd"/>
            <w:r>
              <w:rPr>
                <w:b/>
              </w:rPr>
              <w:t>:</w:t>
            </w:r>
          </w:p>
        </w:tc>
        <w:tc>
          <w:tcPr>
            <w:tcW w:w="7020" w:type="dxa"/>
            <w:gridSpan w:val="3"/>
            <w:shd w:val="clear" w:color="auto" w:fill="auto"/>
            <w:tcMar>
              <w:top w:w="100" w:type="dxa"/>
              <w:left w:w="100" w:type="dxa"/>
              <w:bottom w:w="100" w:type="dxa"/>
              <w:right w:w="100" w:type="dxa"/>
            </w:tcMar>
          </w:tcPr>
          <w:p w:rsidR="00E5339D" w:rsidRDefault="00563497">
            <w:pPr>
              <w:widowControl w:val="0"/>
              <w:jc w:val="left"/>
              <w:rPr>
                <w:b/>
              </w:rPr>
            </w:pPr>
            <w:r>
              <w:rPr>
                <w:b/>
              </w:rPr>
              <w:t>BA International Hotel Management</w:t>
            </w:r>
          </w:p>
        </w:tc>
      </w:tr>
      <w:tr w:rsidR="00E5339D">
        <w:trPr>
          <w:trHeight w:val="440"/>
        </w:trPr>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Module</w:t>
            </w:r>
          </w:p>
        </w:tc>
        <w:tc>
          <w:tcPr>
            <w:tcW w:w="7020" w:type="dxa"/>
            <w:gridSpan w:val="3"/>
            <w:shd w:val="clear" w:color="auto" w:fill="auto"/>
            <w:tcMar>
              <w:top w:w="100" w:type="dxa"/>
              <w:left w:w="100" w:type="dxa"/>
              <w:bottom w:w="100" w:type="dxa"/>
              <w:right w:w="100" w:type="dxa"/>
            </w:tcMar>
          </w:tcPr>
          <w:p w:rsidR="00E5339D" w:rsidRDefault="00563497">
            <w:pPr>
              <w:widowControl w:val="0"/>
              <w:jc w:val="left"/>
              <w:rPr>
                <w:b/>
              </w:rPr>
            </w:pPr>
            <w:r>
              <w:rPr>
                <w:b/>
              </w:rPr>
              <w:t>Food &amp; Beverage Operations</w:t>
            </w:r>
          </w:p>
        </w:tc>
      </w:tr>
      <w:tr w:rsidR="00E5339D">
        <w:trPr>
          <w:trHeight w:val="440"/>
        </w:trPr>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Module Code:</w:t>
            </w:r>
          </w:p>
        </w:tc>
        <w:tc>
          <w:tcPr>
            <w:tcW w:w="7020" w:type="dxa"/>
            <w:gridSpan w:val="3"/>
            <w:shd w:val="clear" w:color="auto" w:fill="auto"/>
            <w:tcMar>
              <w:top w:w="100" w:type="dxa"/>
              <w:left w:w="100" w:type="dxa"/>
              <w:bottom w:w="100" w:type="dxa"/>
              <w:right w:w="100" w:type="dxa"/>
            </w:tcMar>
          </w:tcPr>
          <w:p w:rsidR="00E5339D" w:rsidRDefault="00563497">
            <w:pPr>
              <w:widowControl w:val="0"/>
              <w:jc w:val="left"/>
              <w:rPr>
                <w:b/>
              </w:rPr>
            </w:pPr>
            <w:r>
              <w:rPr>
                <w:b/>
              </w:rPr>
              <w:t>BMIH4002</w:t>
            </w:r>
          </w:p>
        </w:tc>
      </w:tr>
      <w:tr w:rsidR="00E5339D">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Lecturer:</w:t>
            </w:r>
          </w:p>
        </w:tc>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Antoinette Milne</w:t>
            </w:r>
          </w:p>
        </w:tc>
        <w:tc>
          <w:tcPr>
            <w:tcW w:w="2340" w:type="dxa"/>
            <w:shd w:val="clear" w:color="auto" w:fill="auto"/>
            <w:tcMar>
              <w:top w:w="100" w:type="dxa"/>
              <w:left w:w="100" w:type="dxa"/>
              <w:bottom w:w="100" w:type="dxa"/>
              <w:right w:w="100" w:type="dxa"/>
            </w:tcMar>
          </w:tcPr>
          <w:p w:rsidR="00E5339D" w:rsidRDefault="00175C0A">
            <w:pPr>
              <w:widowControl w:val="0"/>
              <w:jc w:val="left"/>
              <w:rPr>
                <w:b/>
              </w:rPr>
            </w:pPr>
            <w:r>
              <w:rPr>
                <w:b/>
              </w:rPr>
              <w:t xml:space="preserve"> </w:t>
            </w:r>
          </w:p>
        </w:tc>
        <w:tc>
          <w:tcPr>
            <w:tcW w:w="2340" w:type="dxa"/>
            <w:shd w:val="clear" w:color="auto" w:fill="auto"/>
            <w:tcMar>
              <w:top w:w="100" w:type="dxa"/>
              <w:left w:w="100" w:type="dxa"/>
              <w:bottom w:w="100" w:type="dxa"/>
              <w:right w:w="100" w:type="dxa"/>
            </w:tcMar>
          </w:tcPr>
          <w:p w:rsidR="00E5339D" w:rsidRDefault="00E5339D">
            <w:pPr>
              <w:widowControl w:val="0"/>
              <w:jc w:val="left"/>
              <w:rPr>
                <w:b/>
              </w:rPr>
            </w:pPr>
          </w:p>
        </w:tc>
      </w:tr>
      <w:tr w:rsidR="00E5339D">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Assignment Title:</w:t>
            </w:r>
          </w:p>
        </w:tc>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Assignment 1 Student</w:t>
            </w:r>
          </w:p>
          <w:p w:rsidR="00E5339D" w:rsidRDefault="00563497">
            <w:pPr>
              <w:widowControl w:val="0"/>
              <w:jc w:val="left"/>
              <w:rPr>
                <w:b/>
              </w:rPr>
            </w:pPr>
            <w:r>
              <w:rPr>
                <w:b/>
              </w:rPr>
              <w:t xml:space="preserve">Journal (750 </w:t>
            </w:r>
            <w:r>
              <w:rPr>
                <w:b/>
              </w:rPr>
              <w:t>Word Learning</w:t>
            </w:r>
          </w:p>
          <w:p w:rsidR="00E5339D" w:rsidRDefault="00563497">
            <w:pPr>
              <w:widowControl w:val="0"/>
              <w:jc w:val="left"/>
              <w:rPr>
                <w:b/>
              </w:rPr>
            </w:pPr>
            <w:r>
              <w:rPr>
                <w:b/>
              </w:rPr>
              <w:t>Log)</w:t>
            </w:r>
          </w:p>
        </w:tc>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Word count (or</w:t>
            </w:r>
          </w:p>
          <w:p w:rsidR="00E5339D" w:rsidRDefault="00563497">
            <w:pPr>
              <w:widowControl w:val="0"/>
              <w:jc w:val="left"/>
              <w:rPr>
                <w:b/>
              </w:rPr>
            </w:pPr>
            <w:r>
              <w:rPr>
                <w:b/>
              </w:rPr>
              <w:t>equivalent):</w:t>
            </w:r>
          </w:p>
        </w:tc>
        <w:tc>
          <w:tcPr>
            <w:tcW w:w="2340" w:type="dxa"/>
            <w:shd w:val="clear" w:color="auto" w:fill="auto"/>
            <w:tcMar>
              <w:top w:w="100" w:type="dxa"/>
              <w:left w:w="100" w:type="dxa"/>
              <w:bottom w:w="100" w:type="dxa"/>
              <w:right w:w="100" w:type="dxa"/>
            </w:tcMar>
          </w:tcPr>
          <w:p w:rsidR="00E5339D" w:rsidRDefault="00563497">
            <w:pPr>
              <w:widowControl w:val="0"/>
              <w:jc w:val="left"/>
              <w:rPr>
                <w:b/>
              </w:rPr>
            </w:pPr>
            <w:r>
              <w:rPr>
                <w:b/>
              </w:rPr>
              <w:t>813 Words</w:t>
            </w:r>
          </w:p>
        </w:tc>
      </w:tr>
    </w:tbl>
    <w:p w:rsidR="00E5339D" w:rsidRDefault="00E5339D"/>
    <w:p w:rsidR="00E5339D" w:rsidRDefault="00563497">
      <w:r>
        <w:br w:type="page"/>
      </w:r>
    </w:p>
    <w:p w:rsidR="00E5339D" w:rsidRDefault="00563497">
      <w:pPr>
        <w:jc w:val="center"/>
        <w:rPr>
          <w:b/>
        </w:rPr>
      </w:pPr>
      <w:r>
        <w:rPr>
          <w:b/>
        </w:rPr>
        <w:lastRenderedPageBreak/>
        <w:t>Table of Contents</w:t>
      </w:r>
    </w:p>
    <w:p w:rsidR="00E5339D" w:rsidRDefault="00E5339D"/>
    <w:sdt>
      <w:sdtPr>
        <w:id w:val="2030985170"/>
        <w:docPartObj>
          <w:docPartGallery w:val="Table of Contents"/>
          <w:docPartUnique/>
        </w:docPartObj>
      </w:sdtPr>
      <w:sdtEndPr/>
      <w:sdtContent>
        <w:p w:rsidR="00E5339D" w:rsidRDefault="00563497">
          <w:pPr>
            <w:widowControl w:val="0"/>
            <w:tabs>
              <w:tab w:val="right" w:leader="do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4rzth5tg301l">
            <w:r>
              <w:rPr>
                <w:b/>
                <w:color w:val="000000"/>
              </w:rPr>
              <w:t>1. Introduction</w:t>
            </w:r>
            <w:r>
              <w:rPr>
                <w:b/>
                <w:color w:val="000000"/>
              </w:rPr>
              <w:tab/>
              <w:t>3</w:t>
            </w:r>
          </w:hyperlink>
        </w:p>
        <w:p w:rsidR="00E5339D" w:rsidRDefault="00563497">
          <w:pPr>
            <w:widowControl w:val="0"/>
            <w:tabs>
              <w:tab w:val="right" w:leader="dot" w:pos="12000"/>
            </w:tabs>
            <w:spacing w:before="60"/>
            <w:jc w:val="left"/>
            <w:rPr>
              <w:b/>
              <w:color w:val="000000"/>
            </w:rPr>
          </w:pPr>
          <w:hyperlink w:anchor="_mtd6u947g1h6">
            <w:r>
              <w:rPr>
                <w:b/>
                <w:color w:val="000000"/>
              </w:rPr>
              <w:t>2. Identification of Key Skills</w:t>
            </w:r>
            <w:r>
              <w:rPr>
                <w:b/>
                <w:color w:val="000000"/>
              </w:rPr>
              <w:tab/>
              <w:t>3</w:t>
            </w:r>
          </w:hyperlink>
        </w:p>
        <w:p w:rsidR="00E5339D" w:rsidRDefault="00563497">
          <w:pPr>
            <w:widowControl w:val="0"/>
            <w:tabs>
              <w:tab w:val="right" w:leader="dot" w:pos="12000"/>
            </w:tabs>
            <w:spacing w:before="60"/>
            <w:jc w:val="left"/>
            <w:rPr>
              <w:b/>
              <w:color w:val="000000"/>
            </w:rPr>
          </w:pPr>
          <w:hyperlink w:anchor="_1sik578mnv6g">
            <w:r>
              <w:rPr>
                <w:b/>
                <w:color w:val="000000"/>
              </w:rPr>
              <w:t>3. Skill Development Strategies</w:t>
            </w:r>
            <w:r>
              <w:rPr>
                <w:b/>
                <w:color w:val="000000"/>
              </w:rPr>
              <w:tab/>
              <w:t>4</w:t>
            </w:r>
          </w:hyperlink>
        </w:p>
        <w:p w:rsidR="00E5339D" w:rsidRDefault="00563497">
          <w:pPr>
            <w:widowControl w:val="0"/>
            <w:tabs>
              <w:tab w:val="right" w:leader="dot" w:pos="12000"/>
            </w:tabs>
            <w:spacing w:before="60"/>
            <w:jc w:val="left"/>
            <w:rPr>
              <w:b/>
              <w:color w:val="000000"/>
            </w:rPr>
          </w:pPr>
          <w:hyperlink w:anchor="_704yh28kkpn0">
            <w:r>
              <w:rPr>
                <w:b/>
                <w:color w:val="000000"/>
              </w:rPr>
              <w:t>4. Real-Life Examples</w:t>
            </w:r>
            <w:r>
              <w:rPr>
                <w:b/>
                <w:color w:val="000000"/>
              </w:rPr>
              <w:tab/>
              <w:t>4</w:t>
            </w:r>
          </w:hyperlink>
        </w:p>
        <w:p w:rsidR="00E5339D" w:rsidRDefault="00563497">
          <w:pPr>
            <w:widowControl w:val="0"/>
            <w:tabs>
              <w:tab w:val="right" w:leader="dot" w:pos="12000"/>
            </w:tabs>
            <w:spacing w:before="60"/>
            <w:jc w:val="left"/>
            <w:rPr>
              <w:b/>
              <w:color w:val="000000"/>
            </w:rPr>
          </w:pPr>
          <w:hyperlink w:anchor="_dy17lf5imfm6">
            <w:r>
              <w:rPr>
                <w:b/>
                <w:color w:val="000000"/>
              </w:rPr>
              <w:t>5. Challenges and Solutions</w:t>
            </w:r>
            <w:r>
              <w:rPr>
                <w:b/>
                <w:color w:val="000000"/>
              </w:rPr>
              <w:tab/>
              <w:t>5</w:t>
            </w:r>
          </w:hyperlink>
        </w:p>
        <w:p w:rsidR="00E5339D" w:rsidRDefault="00563497">
          <w:pPr>
            <w:widowControl w:val="0"/>
            <w:tabs>
              <w:tab w:val="right" w:leader="dot" w:pos="12000"/>
            </w:tabs>
            <w:spacing w:before="60"/>
            <w:jc w:val="left"/>
            <w:rPr>
              <w:b/>
              <w:color w:val="000000"/>
            </w:rPr>
          </w:pPr>
          <w:hyperlink w:anchor="_oz3g4ufahe8s">
            <w:r>
              <w:rPr>
                <w:b/>
                <w:color w:val="000000"/>
              </w:rPr>
              <w:t>6. Conclusion</w:t>
            </w:r>
            <w:r>
              <w:rPr>
                <w:b/>
                <w:color w:val="000000"/>
              </w:rPr>
              <w:tab/>
              <w:t>6</w:t>
            </w:r>
          </w:hyperlink>
        </w:p>
        <w:p w:rsidR="00E5339D" w:rsidRDefault="00563497">
          <w:pPr>
            <w:widowControl w:val="0"/>
            <w:tabs>
              <w:tab w:val="right" w:leader="dot" w:pos="12000"/>
            </w:tabs>
            <w:spacing w:before="60"/>
            <w:jc w:val="left"/>
            <w:rPr>
              <w:b/>
              <w:color w:val="000000"/>
            </w:rPr>
          </w:pPr>
          <w:hyperlink w:anchor="_aypg9z6c9cms">
            <w:r>
              <w:rPr>
                <w:b/>
                <w:color w:val="000000"/>
              </w:rPr>
              <w:t>7. References</w:t>
            </w:r>
            <w:r>
              <w:rPr>
                <w:b/>
                <w:color w:val="000000"/>
              </w:rPr>
              <w:tab/>
              <w:t>7</w:t>
            </w:r>
          </w:hyperlink>
          <w:r>
            <w:fldChar w:fldCharType="end"/>
          </w:r>
        </w:p>
      </w:sdtContent>
    </w:sdt>
    <w:p w:rsidR="00E5339D" w:rsidRDefault="00563497">
      <w:r>
        <w:br w:type="page"/>
      </w:r>
    </w:p>
    <w:p w:rsidR="00E5339D" w:rsidRDefault="00563497">
      <w:pPr>
        <w:pStyle w:val="Heading1"/>
      </w:pPr>
      <w:bookmarkStart w:id="0" w:name="_4rzth5tg301l" w:colFirst="0" w:colLast="0"/>
      <w:bookmarkEnd w:id="0"/>
      <w:r>
        <w:lastRenderedPageBreak/>
        <w:t>1. Introduction</w:t>
      </w:r>
    </w:p>
    <w:p w:rsidR="00E5339D" w:rsidRDefault="00563497">
      <w:r>
        <w:t>Service quality in the restaurant industry is not just a term but an experience that determines the success and sustainability of any dining establishment. As enlightened by Cousins (2020), the essence of food and beverage service transcends the plate, reaching the realm of customer interaction, ambience, and overall dining satisfaction. In today's competitive landscape, where culinary standards are continually rising, the distinctiveness of a restaurant is often evaluated based on the quality of its servic</w:t>
      </w:r>
      <w:r>
        <w:t xml:space="preserve">e. Enhancing this aspect is pivotal, not just for ensuring customer loyalty and repeat visits but also for promoting positive word-of-mouth marketing. </w:t>
      </w:r>
    </w:p>
    <w:p w:rsidR="00E5339D" w:rsidRDefault="00563497">
      <w:pPr>
        <w:pStyle w:val="Heading1"/>
      </w:pPr>
      <w:bookmarkStart w:id="1" w:name="_mtd6u947g1h6" w:colFirst="0" w:colLast="0"/>
      <w:bookmarkEnd w:id="1"/>
      <w:r>
        <w:t>2. Identification of Key Skills</w:t>
      </w:r>
    </w:p>
    <w:p w:rsidR="00E5339D" w:rsidRDefault="00563497">
      <w:r>
        <w:rPr>
          <w:b/>
        </w:rPr>
        <w:t xml:space="preserve">2.1 Communication: </w:t>
      </w:r>
      <w:r>
        <w:t>A fundamental skill in the service industry, effective communication ensures clear understanding between staff and patrons (Davis et al., 2018). It helps convey daily specials, understand dietary restrictions, or address customer inquiries seamlessly.</w:t>
      </w:r>
    </w:p>
    <w:p w:rsidR="00E5339D" w:rsidRDefault="00563497">
      <w:r>
        <w:rPr>
          <w:b/>
        </w:rPr>
        <w:t xml:space="preserve">2.2 Empathy: </w:t>
      </w:r>
      <w:r>
        <w:t>According to Cousins (2020), the ability to understand and share the feelings of another is pivotal in the restaurant world. Whether it's a diner celebrating a special occasion or expressing dissatisfaction, showing genuine care and understanding fosters a deeper connection.</w:t>
      </w:r>
    </w:p>
    <w:p w:rsidR="00E5339D" w:rsidRDefault="00563497">
      <w:r>
        <w:rPr>
          <w:b/>
        </w:rPr>
        <w:t>2.3 Time Management</w:t>
      </w:r>
      <w:r>
        <w:t>: Essential for coordinating various tasks, from taking orders to serving dishes hot and fresh, efficient time management ensures smooth operations and satisfied customers (Johnston, 2012).</w:t>
      </w:r>
    </w:p>
    <w:p w:rsidR="00E5339D" w:rsidRDefault="00563497">
      <w:r>
        <w:rPr>
          <w:b/>
        </w:rPr>
        <w:t>2.4 Conflict Resolution</w:t>
      </w:r>
      <w:r>
        <w:t xml:space="preserve">: Disputes can arise, be it among staff or with patrons. The ability to handle disagreements diplomatically and professionally, as highlighted by </w:t>
      </w:r>
      <w:proofErr w:type="spellStart"/>
      <w:r>
        <w:t>Zutshi</w:t>
      </w:r>
      <w:proofErr w:type="spellEnd"/>
      <w:r>
        <w:t xml:space="preserve"> (2019), is vital to maintaining a restaurant's reputation.</w:t>
      </w:r>
    </w:p>
    <w:p w:rsidR="00E5339D" w:rsidRDefault="00563497">
      <w:r>
        <w:rPr>
          <w:b/>
        </w:rPr>
        <w:t>2.5 Product Knowledge</w:t>
      </w:r>
      <w:r>
        <w:t>: In-depth knowledge about the menu, ingredients, and preparation methods empowers staff to answer queries, make recommendations, and cater to specific dietary needs, enhancing the overall dining experience (</w:t>
      </w:r>
      <w:proofErr w:type="spellStart"/>
      <w:r>
        <w:t>Motarjemi</w:t>
      </w:r>
      <w:proofErr w:type="spellEnd"/>
      <w:r>
        <w:t xml:space="preserve"> &amp; </w:t>
      </w:r>
      <w:proofErr w:type="spellStart"/>
      <w:r>
        <w:t>Lelieveld</w:t>
      </w:r>
      <w:proofErr w:type="spellEnd"/>
      <w:r>
        <w:t>, 2014).</w:t>
      </w:r>
    </w:p>
    <w:p w:rsidR="00E5339D" w:rsidRDefault="00563497">
      <w:pPr>
        <w:pStyle w:val="Heading1"/>
      </w:pPr>
      <w:bookmarkStart w:id="2" w:name="_1sik578mnv6g" w:colFirst="0" w:colLast="0"/>
      <w:bookmarkEnd w:id="2"/>
      <w:r>
        <w:lastRenderedPageBreak/>
        <w:t>3. Skill Development Strategies</w:t>
      </w:r>
    </w:p>
    <w:p w:rsidR="00E5339D" w:rsidRDefault="00563497">
      <w:r>
        <w:rPr>
          <w:b/>
        </w:rPr>
        <w:t xml:space="preserve">3.1 Communication: </w:t>
      </w:r>
      <w:r>
        <w:t>Interpersonal communication seminars and courses are good for aspiring professionals. According to Davis et al. (2018), role-playing is advantageous. Active listening and feedback from colleagues and superiors helps improve this skill at work.</w:t>
      </w:r>
    </w:p>
    <w:p w:rsidR="00E5339D" w:rsidRDefault="00563497">
      <w:r>
        <w:rPr>
          <w:b/>
        </w:rPr>
        <w:t>3.2 Empathy</w:t>
      </w:r>
      <w:r>
        <w:t xml:space="preserve">: Professionals may learn empathy in customer service training </w:t>
      </w:r>
      <w:proofErr w:type="spellStart"/>
      <w:r>
        <w:t>programmes</w:t>
      </w:r>
      <w:proofErr w:type="spellEnd"/>
      <w:r>
        <w:t>. Exercises that demand understanding multiple client viewpoints are useful. This empathy will grow via personal experiences and diversified customers (Cousins, 2020).</w:t>
      </w:r>
    </w:p>
    <w:p w:rsidR="00E5339D" w:rsidRDefault="00563497">
      <w:r>
        <w:rPr>
          <w:b/>
        </w:rPr>
        <w:t>3.3 Time Management</w:t>
      </w:r>
      <w:r>
        <w:t xml:space="preserve">: Formal </w:t>
      </w:r>
      <w:proofErr w:type="spellStart"/>
      <w:r>
        <w:t>prioritisation</w:t>
      </w:r>
      <w:proofErr w:type="spellEnd"/>
      <w:r>
        <w:t xml:space="preserve"> and multitasking instruction is helpful. Shadowing experienced restaurant personnel at busy hours teaches time management. Johnston (2012) proposes self-reflection and goal-setting to improve this skill.</w:t>
      </w:r>
    </w:p>
    <w:p w:rsidR="00E5339D" w:rsidRDefault="00563497">
      <w:r>
        <w:rPr>
          <w:b/>
        </w:rPr>
        <w:t>3.4 Conflict Resolution:</w:t>
      </w:r>
      <w:r>
        <w:t xml:space="preserve"> Conflict management courses provide foundational knowledge. Practically, mentors can share their experiences and strategies for diplomatically handling disputes. Regularly reviewing challenging situations and brainstorming better resolutions can help in skill enhancement (</w:t>
      </w:r>
      <w:proofErr w:type="spellStart"/>
      <w:r>
        <w:t>Zutshi</w:t>
      </w:r>
      <w:proofErr w:type="spellEnd"/>
      <w:r>
        <w:t>, 2019).</w:t>
      </w:r>
    </w:p>
    <w:p w:rsidR="00E5339D" w:rsidRDefault="00563497">
      <w:r>
        <w:rPr>
          <w:b/>
        </w:rPr>
        <w:t>3.5 Product Knowledge:</w:t>
      </w:r>
      <w:r>
        <w:t xml:space="preserve"> While formal culinary classes and beverage tastings provide core knowledge, on-the-job training is vital. Regular menu updates, culinary briefings, and dish tastings guarantee product knowledge. According to </w:t>
      </w:r>
      <w:proofErr w:type="spellStart"/>
      <w:r>
        <w:t>Motarjemi</w:t>
      </w:r>
      <w:proofErr w:type="spellEnd"/>
      <w:r>
        <w:t xml:space="preserve"> &amp; </w:t>
      </w:r>
      <w:proofErr w:type="spellStart"/>
      <w:r>
        <w:t>Lelieveld</w:t>
      </w:r>
      <w:proofErr w:type="spellEnd"/>
      <w:r>
        <w:t xml:space="preserve"> (2014), developing this talent requires continuous learning.</w:t>
      </w:r>
    </w:p>
    <w:p w:rsidR="00E5339D" w:rsidRDefault="00563497">
      <w:pPr>
        <w:pStyle w:val="Heading1"/>
      </w:pPr>
      <w:bookmarkStart w:id="3" w:name="_704yh28kkpn0" w:colFirst="0" w:colLast="0"/>
      <w:bookmarkEnd w:id="3"/>
      <w:r>
        <w:t>4. Real-Life Examples</w:t>
      </w:r>
    </w:p>
    <w:p w:rsidR="00E5339D" w:rsidRDefault="00563497">
      <w:proofErr w:type="spellStart"/>
      <w:r>
        <w:rPr>
          <w:b/>
          <w:i/>
        </w:rPr>
        <w:t>Pret</w:t>
      </w:r>
      <w:proofErr w:type="spellEnd"/>
      <w:r>
        <w:rPr>
          <w:b/>
          <w:i/>
        </w:rPr>
        <w:t xml:space="preserve"> A Manger: </w:t>
      </w:r>
      <w:r>
        <w:t xml:space="preserve">A UK-based international sandwich shop chain, </w:t>
      </w:r>
      <w:proofErr w:type="spellStart"/>
      <w:r>
        <w:t>Pret</w:t>
      </w:r>
      <w:proofErr w:type="spellEnd"/>
      <w:r>
        <w:t xml:space="preserve"> A Manger has been cited as an exemplar of quality service in the fast-casual dining sector. As highlighted by Cousins (2020), </w:t>
      </w:r>
      <w:proofErr w:type="spellStart"/>
      <w:r>
        <w:t>Pret</w:t>
      </w:r>
      <w:proofErr w:type="spellEnd"/>
      <w:r>
        <w:t xml:space="preserve"> places a considerable emphasis on communication skills, ensuring that their staff can engage effectively with a diverse customer base. They regularly conduct training sessions on product knowledge, ensuring every team member understands the menu items, ingredients, and potential allergens, a critical aspect given the UK's focus </w:t>
      </w:r>
      <w:r>
        <w:t xml:space="preserve">on food safety as elaborated by </w:t>
      </w:r>
      <w:proofErr w:type="spellStart"/>
      <w:r>
        <w:t>Motarjemi</w:t>
      </w:r>
      <w:proofErr w:type="spellEnd"/>
      <w:r>
        <w:t xml:space="preserve"> &amp; </w:t>
      </w:r>
      <w:proofErr w:type="spellStart"/>
      <w:r>
        <w:t>Lelieveld</w:t>
      </w:r>
      <w:proofErr w:type="spellEnd"/>
      <w:r>
        <w:t xml:space="preserve"> (2014). </w:t>
      </w:r>
      <w:proofErr w:type="spellStart"/>
      <w:r>
        <w:t>Pret</w:t>
      </w:r>
      <w:proofErr w:type="spellEnd"/>
      <w:r>
        <w:t xml:space="preserve"> guarantees that hot beverages will be served in a minute, demonstrating their efficiency. </w:t>
      </w:r>
      <w:r>
        <w:lastRenderedPageBreak/>
        <w:t xml:space="preserve">The brand's unique practice of periodically giving regular customers complimentary beverages or snacks shows empathy and bonds with them. These combined efforts have established </w:t>
      </w:r>
      <w:proofErr w:type="spellStart"/>
      <w:r>
        <w:t>Pret</w:t>
      </w:r>
      <w:proofErr w:type="spellEnd"/>
      <w:r>
        <w:t xml:space="preserve"> A Manger as a UK </w:t>
      </w:r>
      <w:proofErr w:type="spellStart"/>
      <w:r>
        <w:t>favourite</w:t>
      </w:r>
      <w:proofErr w:type="spellEnd"/>
      <w:r>
        <w:t>, with consistently good customer evaluations applauding their service.</w:t>
      </w:r>
    </w:p>
    <w:p w:rsidR="00E5339D" w:rsidRDefault="00563497">
      <w:pPr>
        <w:pStyle w:val="Heading1"/>
      </w:pPr>
      <w:bookmarkStart w:id="4" w:name="_dy17lf5imfm6" w:colFirst="0" w:colLast="0"/>
      <w:bookmarkEnd w:id="4"/>
      <w:r>
        <w:t>5. Challenges and Solutions</w:t>
      </w:r>
    </w:p>
    <w:p w:rsidR="00E5339D" w:rsidRDefault="00E5339D"/>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3540"/>
        <w:gridCol w:w="4755"/>
      </w:tblGrid>
      <w:tr w:rsidR="00E5339D">
        <w:tc>
          <w:tcPr>
            <w:tcW w:w="106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jc w:val="left"/>
              <w:rPr>
                <w:b/>
              </w:rPr>
            </w:pPr>
            <w:r>
              <w:rPr>
                <w:b/>
              </w:rPr>
              <w:t>SL. No.</w:t>
            </w:r>
          </w:p>
        </w:tc>
        <w:tc>
          <w:tcPr>
            <w:tcW w:w="3540"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jc w:val="center"/>
              <w:rPr>
                <w:b/>
              </w:rPr>
            </w:pPr>
            <w:r>
              <w:rPr>
                <w:b/>
              </w:rPr>
              <w:t>Challenges</w:t>
            </w:r>
          </w:p>
        </w:tc>
        <w:tc>
          <w:tcPr>
            <w:tcW w:w="475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jc w:val="center"/>
              <w:rPr>
                <w:b/>
              </w:rPr>
            </w:pPr>
            <w:r>
              <w:rPr>
                <w:b/>
              </w:rPr>
              <w:t>Solution</w:t>
            </w:r>
          </w:p>
        </w:tc>
      </w:tr>
      <w:tr w:rsidR="00E5339D">
        <w:tc>
          <w:tcPr>
            <w:tcW w:w="106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rPr>
                <w:b/>
              </w:rPr>
            </w:pPr>
            <w:r>
              <w:rPr>
                <w:b/>
              </w:rPr>
              <w:t>5.1</w:t>
            </w:r>
          </w:p>
        </w:tc>
        <w:tc>
          <w:tcPr>
            <w:tcW w:w="3540"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 xml:space="preserve">The </w:t>
            </w:r>
            <w:r>
              <w:t>fast-paced environment of restaurants can sometimes hinder effective communication, leading to misunderstandings between staff and customers.</w:t>
            </w:r>
          </w:p>
        </w:tc>
        <w:tc>
          <w:tcPr>
            <w:tcW w:w="475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 xml:space="preserve">Regular team briefings and debriefings, as suggested by </w:t>
            </w:r>
            <w:proofErr w:type="spellStart"/>
            <w:r>
              <w:t>Atmaja</w:t>
            </w:r>
            <w:proofErr w:type="spellEnd"/>
            <w:r>
              <w:t xml:space="preserve"> and Alvin (2023), can ensure clarity in conveying information. Investing in technology, like order-taking apps, can also minimize human errors.</w:t>
            </w:r>
          </w:p>
          <w:p w:rsidR="00E5339D" w:rsidRDefault="00E5339D">
            <w:pPr>
              <w:widowControl w:val="0"/>
              <w:pBdr>
                <w:top w:val="nil"/>
                <w:left w:val="nil"/>
                <w:bottom w:val="nil"/>
                <w:right w:val="nil"/>
                <w:between w:val="nil"/>
              </w:pBdr>
            </w:pPr>
          </w:p>
        </w:tc>
      </w:tr>
      <w:tr w:rsidR="00E5339D">
        <w:tc>
          <w:tcPr>
            <w:tcW w:w="106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rPr>
                <w:b/>
              </w:rPr>
            </w:pPr>
            <w:r>
              <w:rPr>
                <w:b/>
              </w:rPr>
              <w:t>5.2</w:t>
            </w:r>
          </w:p>
        </w:tc>
        <w:tc>
          <w:tcPr>
            <w:tcW w:w="3540"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Cultivating genuine empathy amid routine work and repetitive interactions can be challenging.</w:t>
            </w:r>
          </w:p>
        </w:tc>
        <w:tc>
          <w:tcPr>
            <w:tcW w:w="475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Periodic training sessions that emphasize role-playing</w:t>
            </w:r>
            <w:r w:rsidR="00B10F01">
              <w:t xml:space="preserve"> </w:t>
            </w:r>
            <w:r>
              <w:t>and customer-centric scenarios can help staff stay connected to their empathetic side (Nicholls and Gad Mohsen, 2019).</w:t>
            </w:r>
          </w:p>
          <w:p w:rsidR="00E5339D" w:rsidRDefault="00E5339D">
            <w:pPr>
              <w:widowControl w:val="0"/>
              <w:pBdr>
                <w:top w:val="nil"/>
                <w:left w:val="nil"/>
                <w:bottom w:val="nil"/>
                <w:right w:val="nil"/>
                <w:between w:val="nil"/>
              </w:pBdr>
            </w:pPr>
          </w:p>
        </w:tc>
      </w:tr>
      <w:tr w:rsidR="00E5339D">
        <w:tc>
          <w:tcPr>
            <w:tcW w:w="106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rPr>
                <w:b/>
              </w:rPr>
            </w:pPr>
            <w:r>
              <w:rPr>
                <w:b/>
              </w:rPr>
              <w:t>5.3</w:t>
            </w:r>
          </w:p>
        </w:tc>
        <w:tc>
          <w:tcPr>
            <w:tcW w:w="3540"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Time constraints can sometimes make it difficult to adequately nurture product knowledge, especially with frequently changing menus.</w:t>
            </w:r>
          </w:p>
          <w:p w:rsidR="00E5339D" w:rsidRDefault="00E5339D">
            <w:pPr>
              <w:widowControl w:val="0"/>
              <w:pBdr>
                <w:top w:val="nil"/>
                <w:left w:val="nil"/>
                <w:bottom w:val="nil"/>
                <w:right w:val="nil"/>
                <w:between w:val="nil"/>
              </w:pBdr>
            </w:pPr>
          </w:p>
        </w:tc>
        <w:tc>
          <w:tcPr>
            <w:tcW w:w="4755" w:type="dxa"/>
            <w:shd w:val="clear" w:color="auto" w:fill="auto"/>
            <w:tcMar>
              <w:top w:w="100" w:type="dxa"/>
              <w:left w:w="100" w:type="dxa"/>
              <w:bottom w:w="100" w:type="dxa"/>
              <w:right w:w="100" w:type="dxa"/>
            </w:tcMar>
          </w:tcPr>
          <w:p w:rsidR="00E5339D" w:rsidRDefault="00563497">
            <w:pPr>
              <w:widowControl w:val="0"/>
              <w:pBdr>
                <w:top w:val="nil"/>
                <w:left w:val="nil"/>
                <w:bottom w:val="nil"/>
                <w:right w:val="nil"/>
                <w:between w:val="nil"/>
              </w:pBdr>
            </w:pPr>
            <w:r>
              <w:t xml:space="preserve">Le </w:t>
            </w:r>
            <w:r w:rsidR="00B10F01">
              <w:t xml:space="preserve"> </w:t>
            </w:r>
            <w:proofErr w:type="spellStart"/>
            <w:r w:rsidR="0049459D">
              <w:t>meur</w:t>
            </w:r>
            <w:proofErr w:type="spellEnd"/>
            <w:r w:rsidR="0049459D">
              <w:t xml:space="preserve"> </w:t>
            </w:r>
            <w:r>
              <w:t>and Torres-Ronda (2019) recommend creating easy-to-digest training materials and conducting short, frequent training sessions to keep staff updated without overwhelming them.</w:t>
            </w:r>
          </w:p>
        </w:tc>
      </w:tr>
    </w:tbl>
    <w:p w:rsidR="00E5339D" w:rsidRDefault="00E5339D"/>
    <w:p w:rsidR="00E5339D" w:rsidRDefault="00563497">
      <w:pPr>
        <w:pStyle w:val="Heading1"/>
      </w:pPr>
      <w:bookmarkStart w:id="5" w:name="_oz3g4ufahe8s" w:colFirst="0" w:colLast="0"/>
      <w:bookmarkEnd w:id="5"/>
      <w:r>
        <w:lastRenderedPageBreak/>
        <w:t>6. Conclusion</w:t>
      </w:r>
    </w:p>
    <w:p w:rsidR="00E5339D" w:rsidRDefault="00563497">
      <w:r>
        <w:t>In the ever-evolving landscape of the restaurant industry, the significance of skill development remains paramount. Effective communication, genuine empathy, and meticulous product knowledge, among others, stand as cornerstones for exceptional service. This essay underscored the transformative potential of these skills, not only in enhancing customer experiences but also in fostering a more harmonious and efficient workplace environment. The pursuit of service excellence is a continuous journey, necessitati</w:t>
      </w:r>
      <w:r>
        <w:t>ng regular training, adaptation, and reflection. For restaurants aiming to cement their reputation and achieve lasting success, investing in skill development is non-negotiable.</w:t>
      </w:r>
    </w:p>
    <w:p w:rsidR="00E5339D" w:rsidRDefault="00563497">
      <w:r>
        <w:br w:type="page"/>
      </w:r>
    </w:p>
    <w:p w:rsidR="00E5339D" w:rsidRDefault="00563497">
      <w:pPr>
        <w:pStyle w:val="Heading1"/>
      </w:pPr>
      <w:bookmarkStart w:id="6" w:name="_aypg9z6c9cms" w:colFirst="0" w:colLast="0"/>
      <w:bookmarkEnd w:id="6"/>
      <w:r>
        <w:t>7. References</w:t>
      </w:r>
    </w:p>
    <w:p w:rsidR="00E5339D" w:rsidRDefault="00563497">
      <w:pPr>
        <w:spacing w:before="240" w:after="240"/>
      </w:pPr>
      <w:proofErr w:type="spellStart"/>
      <w:r>
        <w:t>Atmaja</w:t>
      </w:r>
      <w:proofErr w:type="spellEnd"/>
      <w:r>
        <w:t xml:space="preserve">, B. S. D., and Alvin, S. (2023). </w:t>
      </w:r>
      <w:proofErr w:type="spellStart"/>
      <w:r>
        <w:t>Phubbing</w:t>
      </w:r>
      <w:proofErr w:type="spellEnd"/>
      <w:r>
        <w:t xml:space="preserve"> By Gen-Z And Gen-Y: Exploring Smartphone Usage And Its Implications On Interpersonal Communication In The Workplace. </w:t>
      </w:r>
      <w:proofErr w:type="spellStart"/>
      <w:r>
        <w:rPr>
          <w:i/>
        </w:rPr>
        <w:t>Jurnal</w:t>
      </w:r>
      <w:proofErr w:type="spellEnd"/>
      <w:r>
        <w:rPr>
          <w:i/>
        </w:rPr>
        <w:t xml:space="preserve"> Indonesia </w:t>
      </w:r>
      <w:proofErr w:type="spellStart"/>
      <w:r>
        <w:rPr>
          <w:i/>
        </w:rPr>
        <w:t>Sosial</w:t>
      </w:r>
      <w:proofErr w:type="spellEnd"/>
      <w:r>
        <w:rPr>
          <w:i/>
        </w:rPr>
        <w:t xml:space="preserve"> </w:t>
      </w:r>
      <w:proofErr w:type="spellStart"/>
      <w:r>
        <w:rPr>
          <w:i/>
        </w:rPr>
        <w:t>Teknologi</w:t>
      </w:r>
      <w:proofErr w:type="spellEnd"/>
      <w:r>
        <w:t xml:space="preserve">, </w:t>
      </w:r>
      <w:r>
        <w:rPr>
          <w:i/>
        </w:rPr>
        <w:t>4</w:t>
      </w:r>
      <w:r>
        <w:t>(8), 908-918.</w:t>
      </w:r>
    </w:p>
    <w:p w:rsidR="00E5339D" w:rsidRDefault="00563497">
      <w:pPr>
        <w:spacing w:before="240" w:after="240"/>
      </w:pPr>
      <w:r>
        <w:t>Cousins, J. (2020) Food and beverage service. 9th ed. London: Hodder Education Group</w:t>
      </w:r>
    </w:p>
    <w:p w:rsidR="00E5339D" w:rsidRDefault="00563497">
      <w:pPr>
        <w:spacing w:before="240" w:after="240"/>
      </w:pPr>
      <w:r>
        <w:t xml:space="preserve">Davis, B </w:t>
      </w:r>
      <w:r>
        <w:rPr>
          <w:i/>
        </w:rPr>
        <w:t>et al</w:t>
      </w:r>
      <w:r>
        <w:t xml:space="preserve">. (2018) Food and Beverage Management. 6 </w:t>
      </w:r>
      <w:proofErr w:type="spellStart"/>
      <w:r>
        <w:t>edn</w:t>
      </w:r>
      <w:proofErr w:type="spellEnd"/>
      <w:r>
        <w:t xml:space="preserve"> London: Routledge.</w:t>
      </w:r>
    </w:p>
    <w:p w:rsidR="00E5339D" w:rsidRDefault="00563497">
      <w:pPr>
        <w:spacing w:before="240" w:after="240"/>
      </w:pPr>
      <w:r>
        <w:t xml:space="preserve">Johnston, R. (2012) </w:t>
      </w:r>
      <w:r>
        <w:rPr>
          <w:i/>
        </w:rPr>
        <w:t>Service operations management</w:t>
      </w:r>
      <w:r>
        <w:t xml:space="preserve"> :</w:t>
      </w:r>
      <w:r>
        <w:rPr>
          <w:i/>
        </w:rPr>
        <w:t xml:space="preserve"> improving service delivery</w:t>
      </w:r>
      <w:r>
        <w:t>. 4th ed. Harlow, England: Pearson.</w:t>
      </w:r>
    </w:p>
    <w:p w:rsidR="00E5339D" w:rsidRDefault="00563497">
      <w:pPr>
        <w:spacing w:before="240" w:after="240"/>
      </w:pPr>
      <w:r>
        <w:t xml:space="preserve">Le </w:t>
      </w:r>
      <w:proofErr w:type="spellStart"/>
      <w:r>
        <w:t>Meur</w:t>
      </w:r>
      <w:proofErr w:type="spellEnd"/>
      <w:r>
        <w:t xml:space="preserve">, Y., and Torres-Ronda, L. (2019). 10 Challenges facing today’s applied sport scientist. </w:t>
      </w:r>
      <w:r>
        <w:rPr>
          <w:i/>
        </w:rPr>
        <w:t>Science Performance and Science Reports</w:t>
      </w:r>
      <w:r>
        <w:t xml:space="preserve">, </w:t>
      </w:r>
      <w:r>
        <w:rPr>
          <w:i/>
        </w:rPr>
        <w:t>57</w:t>
      </w:r>
      <w:r>
        <w:t>, 1-7.</w:t>
      </w:r>
    </w:p>
    <w:p w:rsidR="00E5339D" w:rsidRDefault="00563497">
      <w:pPr>
        <w:spacing w:before="240" w:after="240"/>
      </w:pPr>
      <w:proofErr w:type="spellStart"/>
      <w:r>
        <w:t>Motarjemi</w:t>
      </w:r>
      <w:proofErr w:type="spellEnd"/>
      <w:r>
        <w:t xml:space="preserve">, Y and </w:t>
      </w:r>
      <w:proofErr w:type="spellStart"/>
      <w:r>
        <w:t>Lelieveld</w:t>
      </w:r>
      <w:proofErr w:type="spellEnd"/>
      <w:r>
        <w:t>, H (2014</w:t>
      </w:r>
      <w:r>
        <w:rPr>
          <w:i/>
        </w:rPr>
        <w:t xml:space="preserve">) Food safety management : a practical guide for the food industry. </w:t>
      </w:r>
      <w:r>
        <w:t>Illustrated edition. Amsterdam: Academic Press.</w:t>
      </w:r>
    </w:p>
    <w:p w:rsidR="00E5339D" w:rsidRDefault="00563497">
      <w:pPr>
        <w:spacing w:before="240" w:after="240"/>
      </w:pPr>
      <w:r>
        <w:t xml:space="preserve">Nicholls, R., and Gad Mohsen, M. (2019). Managing customer-to-customer interaction (CCI)–insights from the frontline. </w:t>
      </w:r>
      <w:r>
        <w:rPr>
          <w:i/>
        </w:rPr>
        <w:t>Journal of Services Marketing</w:t>
      </w:r>
      <w:r>
        <w:t xml:space="preserve">, </w:t>
      </w:r>
      <w:r>
        <w:rPr>
          <w:i/>
        </w:rPr>
        <w:t>33</w:t>
      </w:r>
      <w:r>
        <w:t>(7), 798-814.</w:t>
      </w:r>
    </w:p>
    <w:p w:rsidR="00E5339D" w:rsidRDefault="00563497">
      <w:pPr>
        <w:spacing w:before="240" w:after="240"/>
      </w:pPr>
      <w:proofErr w:type="spellStart"/>
      <w:r>
        <w:t>Zutshi</w:t>
      </w:r>
      <w:proofErr w:type="spellEnd"/>
      <w:r>
        <w:t xml:space="preserve">, A. (2019) ‘How to develop well-informed and assured teams to embed food safety compliance in the UK catering and hospitality industry’, </w:t>
      </w:r>
      <w:r>
        <w:rPr>
          <w:i/>
        </w:rPr>
        <w:t>Perspectives in Public Health</w:t>
      </w:r>
      <w:r>
        <w:t>, 139(6), pp. 294–295.</w:t>
      </w:r>
    </w:p>
    <w:sectPr w:rsidR="00E5339D">
      <w:footerReference w:type="default" r:id="rId7"/>
      <w:foot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61D4" w:rsidRDefault="006E61D4">
      <w:pPr>
        <w:spacing w:line="240" w:lineRule="auto"/>
      </w:pPr>
      <w:r>
        <w:separator/>
      </w:r>
    </w:p>
  </w:endnote>
  <w:endnote w:type="continuationSeparator" w:id="0">
    <w:p w:rsidR="006E61D4" w:rsidRDefault="006E61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339D" w:rsidRDefault="00563497">
    <w:pPr>
      <w:jc w:val="right"/>
    </w:pPr>
    <w:r>
      <w:fldChar w:fldCharType="begin"/>
    </w:r>
    <w:r>
      <w:instrText>PAGE</w:instrText>
    </w:r>
    <w:r>
      <w:fldChar w:fldCharType="separate"/>
    </w:r>
    <w:r w:rsidR="005A2F1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339D" w:rsidRDefault="00E533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61D4" w:rsidRDefault="006E61D4">
      <w:pPr>
        <w:spacing w:line="240" w:lineRule="auto"/>
      </w:pPr>
      <w:r>
        <w:separator/>
      </w:r>
    </w:p>
  </w:footnote>
  <w:footnote w:type="continuationSeparator" w:id="0">
    <w:p w:rsidR="006E61D4" w:rsidRDefault="006E61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39D"/>
    <w:rsid w:val="00105C89"/>
    <w:rsid w:val="00175C0A"/>
    <w:rsid w:val="00347413"/>
    <w:rsid w:val="0049459D"/>
    <w:rsid w:val="00563497"/>
    <w:rsid w:val="005A2F11"/>
    <w:rsid w:val="006E61D4"/>
    <w:rsid w:val="00B10F01"/>
    <w:rsid w:val="00E53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84F0BC2-1986-044E-A40B-92F63892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40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1211</Words>
  <Characters>6904</Characters>
  <Application>Microsoft Office Word</Application>
  <DocSecurity>0</DocSecurity>
  <Lines>57</Lines>
  <Paragraphs>16</Paragraphs>
  <ScaleCrop>false</ScaleCrop>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Kellie Perkins</cp:lastModifiedBy>
  <cp:revision>2</cp:revision>
  <dcterms:created xsi:type="dcterms:W3CDTF">2023-11-12T11:14:00Z</dcterms:created>
  <dcterms:modified xsi:type="dcterms:W3CDTF">2023-11-12T11:14:00Z</dcterms:modified>
</cp:coreProperties>
</file>