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BD9A2" w14:textId="77777777" w:rsidR="00120918" w:rsidRDefault="00120918" w:rsidP="00F75F8F">
      <w:pPr>
        <w:spacing w:after="0"/>
      </w:pPr>
    </w:p>
    <w:p w14:paraId="35E9037A" w14:textId="77777777" w:rsidR="001B7FDD" w:rsidRDefault="001B7FDD" w:rsidP="00F75F8F">
      <w:pPr>
        <w:spacing w:after="0"/>
      </w:pPr>
    </w:p>
    <w:p w14:paraId="4737412D" w14:textId="77777777" w:rsidR="001B7FDD" w:rsidRDefault="001B7FDD" w:rsidP="00F75F8F">
      <w:pPr>
        <w:spacing w:after="0"/>
      </w:pPr>
    </w:p>
    <w:p w14:paraId="2DCC3DBB" w14:textId="77777777" w:rsidR="001B7FDD" w:rsidRDefault="001B7FDD" w:rsidP="00F75F8F">
      <w:pPr>
        <w:spacing w:after="0"/>
      </w:pPr>
    </w:p>
    <w:p w14:paraId="0F68F55F" w14:textId="77777777" w:rsidR="00E73494" w:rsidRDefault="00E73494" w:rsidP="00F75F8F">
      <w:pPr>
        <w:spacing w:after="0"/>
      </w:pPr>
    </w:p>
    <w:p w14:paraId="4899E719" w14:textId="77777777" w:rsidR="00E73494" w:rsidRDefault="00E73494" w:rsidP="00F75F8F">
      <w:pPr>
        <w:spacing w:after="0"/>
      </w:pPr>
    </w:p>
    <w:p w14:paraId="53437CA7" w14:textId="77777777" w:rsidR="00E73494" w:rsidRDefault="00E73494" w:rsidP="00F75F8F">
      <w:pPr>
        <w:spacing w:after="0"/>
      </w:pPr>
    </w:p>
    <w:p w14:paraId="5F11F2F3" w14:textId="77777777" w:rsidR="008B5DF9" w:rsidRDefault="008B5DF9" w:rsidP="00F75F8F">
      <w:pPr>
        <w:spacing w:after="0"/>
        <w:jc w:val="center"/>
        <w:rPr>
          <w:b/>
        </w:rPr>
      </w:pPr>
      <w:r w:rsidRPr="008B5DF9">
        <w:rPr>
          <w:b/>
        </w:rPr>
        <w:t>BMIH5004</w:t>
      </w:r>
      <w:r>
        <w:rPr>
          <w:b/>
        </w:rPr>
        <w:t xml:space="preserve">: </w:t>
      </w:r>
      <w:r w:rsidRPr="008B5DF9">
        <w:rPr>
          <w:b/>
        </w:rPr>
        <w:t>Management &amp; Organisational Behaviour</w:t>
      </w:r>
    </w:p>
    <w:p w14:paraId="4EA23DC7" w14:textId="77777777" w:rsidR="001B7FDD" w:rsidRPr="0021196B" w:rsidRDefault="001E5E78" w:rsidP="00F75F8F">
      <w:pPr>
        <w:spacing w:after="0"/>
        <w:jc w:val="center"/>
        <w:rPr>
          <w:b/>
        </w:rPr>
      </w:pPr>
      <w:r w:rsidRPr="0021196B">
        <w:rPr>
          <w:b/>
        </w:rPr>
        <w:t>Audit Report</w:t>
      </w:r>
    </w:p>
    <w:p w14:paraId="4128CB8B" w14:textId="77777777" w:rsidR="00710CAA" w:rsidRDefault="001E5E78" w:rsidP="00F75F8F">
      <w:pPr>
        <w:spacing w:after="0"/>
        <w:jc w:val="left"/>
      </w:pPr>
      <w:r>
        <w:br w:type="page"/>
      </w:r>
    </w:p>
    <w:sdt>
      <w:sdtPr>
        <w:id w:val="-256287198"/>
        <w:docPartObj>
          <w:docPartGallery w:val="Table of Contents"/>
          <w:docPartUnique/>
        </w:docPartObj>
      </w:sdtPr>
      <w:sdtEndPr>
        <w:rPr>
          <w:b/>
          <w:bCs/>
          <w:noProof/>
        </w:rPr>
      </w:sdtEndPr>
      <w:sdtContent>
        <w:p w14:paraId="55155B93" w14:textId="77777777" w:rsidR="00710CAA" w:rsidRPr="00710CAA" w:rsidRDefault="001E5E78" w:rsidP="001463A9">
          <w:pPr>
            <w:spacing w:after="0"/>
            <w:jc w:val="center"/>
            <w:rPr>
              <w:b/>
            </w:rPr>
          </w:pPr>
          <w:r w:rsidRPr="00710CAA">
            <w:rPr>
              <w:b/>
            </w:rPr>
            <w:t>Table of Contents</w:t>
          </w:r>
        </w:p>
        <w:p w14:paraId="2F670C91" w14:textId="77777777" w:rsidR="001463A9" w:rsidRDefault="001E5E78" w:rsidP="001463A9">
          <w:pPr>
            <w:pStyle w:val="TOC1"/>
            <w:tabs>
              <w:tab w:val="right" w:leader="dot" w:pos="9350"/>
            </w:tabs>
            <w:spacing w:after="0"/>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68004011" w:history="1">
            <w:r w:rsidRPr="001334C7">
              <w:rPr>
                <w:rStyle w:val="Hyperlink"/>
                <w:noProof/>
              </w:rPr>
              <w:t>1. Introduction</w:t>
            </w:r>
            <w:r>
              <w:rPr>
                <w:noProof/>
                <w:webHidden/>
              </w:rPr>
              <w:tab/>
            </w:r>
            <w:r>
              <w:rPr>
                <w:noProof/>
                <w:webHidden/>
              </w:rPr>
              <w:fldChar w:fldCharType="begin"/>
            </w:r>
            <w:r>
              <w:rPr>
                <w:noProof/>
                <w:webHidden/>
              </w:rPr>
              <w:instrText xml:space="preserve"> PAGEREF _Toc168004011 \h </w:instrText>
            </w:r>
            <w:r>
              <w:rPr>
                <w:noProof/>
                <w:webHidden/>
              </w:rPr>
            </w:r>
            <w:r>
              <w:rPr>
                <w:noProof/>
                <w:webHidden/>
              </w:rPr>
              <w:fldChar w:fldCharType="separate"/>
            </w:r>
            <w:r>
              <w:rPr>
                <w:noProof/>
                <w:webHidden/>
              </w:rPr>
              <w:t>3</w:t>
            </w:r>
            <w:r>
              <w:rPr>
                <w:noProof/>
                <w:webHidden/>
              </w:rPr>
              <w:fldChar w:fldCharType="end"/>
            </w:r>
          </w:hyperlink>
        </w:p>
        <w:p w14:paraId="1F59DB50" w14:textId="77777777" w:rsidR="001463A9" w:rsidRDefault="00000000" w:rsidP="001463A9">
          <w:pPr>
            <w:pStyle w:val="TOC1"/>
            <w:tabs>
              <w:tab w:val="right" w:leader="dot" w:pos="9350"/>
            </w:tabs>
            <w:spacing w:after="0"/>
            <w:rPr>
              <w:rFonts w:asciiTheme="minorHAnsi" w:eastAsiaTheme="minorEastAsia" w:hAnsiTheme="minorHAnsi" w:cstheme="minorBidi"/>
              <w:noProof/>
              <w:sz w:val="22"/>
              <w:lang w:val="en-US"/>
            </w:rPr>
          </w:pPr>
          <w:hyperlink w:anchor="_Toc168004012" w:history="1">
            <w:r w:rsidR="001E5E78" w:rsidRPr="001334C7">
              <w:rPr>
                <w:rStyle w:val="Hyperlink"/>
                <w:noProof/>
              </w:rPr>
              <w:t>2. Main Body</w:t>
            </w:r>
            <w:r w:rsidR="001E5E78">
              <w:rPr>
                <w:noProof/>
                <w:webHidden/>
              </w:rPr>
              <w:tab/>
            </w:r>
            <w:r w:rsidR="001E5E78">
              <w:rPr>
                <w:noProof/>
                <w:webHidden/>
              </w:rPr>
              <w:fldChar w:fldCharType="begin"/>
            </w:r>
            <w:r w:rsidR="001E5E78">
              <w:rPr>
                <w:noProof/>
                <w:webHidden/>
              </w:rPr>
              <w:instrText xml:space="preserve"> PAGEREF _Toc168004012 \h </w:instrText>
            </w:r>
            <w:r w:rsidR="001E5E78">
              <w:rPr>
                <w:noProof/>
                <w:webHidden/>
              </w:rPr>
            </w:r>
            <w:r w:rsidR="001E5E78">
              <w:rPr>
                <w:noProof/>
                <w:webHidden/>
              </w:rPr>
              <w:fldChar w:fldCharType="separate"/>
            </w:r>
            <w:r w:rsidR="001E5E78">
              <w:rPr>
                <w:noProof/>
                <w:webHidden/>
              </w:rPr>
              <w:t>4</w:t>
            </w:r>
            <w:r w:rsidR="001E5E78">
              <w:rPr>
                <w:noProof/>
                <w:webHidden/>
              </w:rPr>
              <w:fldChar w:fldCharType="end"/>
            </w:r>
          </w:hyperlink>
        </w:p>
        <w:p w14:paraId="553F4E39" w14:textId="77777777" w:rsidR="001463A9" w:rsidRDefault="00000000" w:rsidP="001463A9">
          <w:pPr>
            <w:pStyle w:val="TOC2"/>
            <w:tabs>
              <w:tab w:val="right" w:leader="dot" w:pos="9350"/>
            </w:tabs>
            <w:spacing w:after="0"/>
            <w:rPr>
              <w:rFonts w:asciiTheme="minorHAnsi" w:eastAsiaTheme="minorEastAsia" w:hAnsiTheme="minorHAnsi" w:cstheme="minorBidi"/>
              <w:noProof/>
              <w:sz w:val="22"/>
              <w:lang w:val="en-US"/>
            </w:rPr>
          </w:pPr>
          <w:hyperlink w:anchor="_Toc168004013" w:history="1">
            <w:r w:rsidR="001E5E78" w:rsidRPr="001334C7">
              <w:rPr>
                <w:rStyle w:val="Hyperlink"/>
                <w:noProof/>
              </w:rPr>
              <w:t>2.1. Organisational Structure</w:t>
            </w:r>
            <w:r w:rsidR="001E5E78">
              <w:rPr>
                <w:noProof/>
                <w:webHidden/>
              </w:rPr>
              <w:tab/>
            </w:r>
            <w:r w:rsidR="001E5E78">
              <w:rPr>
                <w:noProof/>
                <w:webHidden/>
              </w:rPr>
              <w:fldChar w:fldCharType="begin"/>
            </w:r>
            <w:r w:rsidR="001E5E78">
              <w:rPr>
                <w:noProof/>
                <w:webHidden/>
              </w:rPr>
              <w:instrText xml:space="preserve"> PAGEREF _Toc168004013 \h </w:instrText>
            </w:r>
            <w:r w:rsidR="001E5E78">
              <w:rPr>
                <w:noProof/>
                <w:webHidden/>
              </w:rPr>
            </w:r>
            <w:r w:rsidR="001E5E78">
              <w:rPr>
                <w:noProof/>
                <w:webHidden/>
              </w:rPr>
              <w:fldChar w:fldCharType="separate"/>
            </w:r>
            <w:r w:rsidR="001E5E78">
              <w:rPr>
                <w:noProof/>
                <w:webHidden/>
              </w:rPr>
              <w:t>4</w:t>
            </w:r>
            <w:r w:rsidR="001E5E78">
              <w:rPr>
                <w:noProof/>
                <w:webHidden/>
              </w:rPr>
              <w:fldChar w:fldCharType="end"/>
            </w:r>
          </w:hyperlink>
        </w:p>
        <w:p w14:paraId="78A8C974" w14:textId="77777777" w:rsidR="001463A9" w:rsidRDefault="00000000" w:rsidP="001463A9">
          <w:pPr>
            <w:pStyle w:val="TOC2"/>
            <w:tabs>
              <w:tab w:val="right" w:leader="dot" w:pos="9350"/>
            </w:tabs>
            <w:spacing w:after="0"/>
            <w:rPr>
              <w:rFonts w:asciiTheme="minorHAnsi" w:eastAsiaTheme="minorEastAsia" w:hAnsiTheme="minorHAnsi" w:cstheme="minorBidi"/>
              <w:noProof/>
              <w:sz w:val="22"/>
              <w:lang w:val="en-US"/>
            </w:rPr>
          </w:pPr>
          <w:hyperlink w:anchor="_Toc168004014" w:history="1">
            <w:r w:rsidR="001E5E78" w:rsidRPr="001334C7">
              <w:rPr>
                <w:rStyle w:val="Hyperlink"/>
                <w:noProof/>
              </w:rPr>
              <w:t>2.2. Organisational Culture</w:t>
            </w:r>
            <w:r w:rsidR="001E5E78">
              <w:rPr>
                <w:noProof/>
                <w:webHidden/>
              </w:rPr>
              <w:tab/>
            </w:r>
            <w:r w:rsidR="001E5E78">
              <w:rPr>
                <w:noProof/>
                <w:webHidden/>
              </w:rPr>
              <w:fldChar w:fldCharType="begin"/>
            </w:r>
            <w:r w:rsidR="001E5E78">
              <w:rPr>
                <w:noProof/>
                <w:webHidden/>
              </w:rPr>
              <w:instrText xml:space="preserve"> PAGEREF _Toc168004014 \h </w:instrText>
            </w:r>
            <w:r w:rsidR="001E5E78">
              <w:rPr>
                <w:noProof/>
                <w:webHidden/>
              </w:rPr>
            </w:r>
            <w:r w:rsidR="001E5E78">
              <w:rPr>
                <w:noProof/>
                <w:webHidden/>
              </w:rPr>
              <w:fldChar w:fldCharType="separate"/>
            </w:r>
            <w:r w:rsidR="001E5E78">
              <w:rPr>
                <w:noProof/>
                <w:webHidden/>
              </w:rPr>
              <w:t>5</w:t>
            </w:r>
            <w:r w:rsidR="001E5E78">
              <w:rPr>
                <w:noProof/>
                <w:webHidden/>
              </w:rPr>
              <w:fldChar w:fldCharType="end"/>
            </w:r>
          </w:hyperlink>
        </w:p>
        <w:p w14:paraId="7E4564CB" w14:textId="77777777" w:rsidR="001463A9" w:rsidRDefault="00000000" w:rsidP="001463A9">
          <w:pPr>
            <w:pStyle w:val="TOC2"/>
            <w:tabs>
              <w:tab w:val="right" w:leader="dot" w:pos="9350"/>
            </w:tabs>
            <w:spacing w:after="0"/>
            <w:rPr>
              <w:rFonts w:asciiTheme="minorHAnsi" w:eastAsiaTheme="minorEastAsia" w:hAnsiTheme="minorHAnsi" w:cstheme="minorBidi"/>
              <w:noProof/>
              <w:sz w:val="22"/>
              <w:lang w:val="en-US"/>
            </w:rPr>
          </w:pPr>
          <w:hyperlink w:anchor="_Toc168004015" w:history="1">
            <w:r w:rsidR="001E5E78" w:rsidRPr="001334C7">
              <w:rPr>
                <w:rStyle w:val="Hyperlink"/>
                <w:noProof/>
              </w:rPr>
              <w:t>2.3. Organisational Goals</w:t>
            </w:r>
            <w:r w:rsidR="001E5E78">
              <w:rPr>
                <w:noProof/>
                <w:webHidden/>
              </w:rPr>
              <w:tab/>
            </w:r>
            <w:r w:rsidR="001E5E78">
              <w:rPr>
                <w:noProof/>
                <w:webHidden/>
              </w:rPr>
              <w:fldChar w:fldCharType="begin"/>
            </w:r>
            <w:r w:rsidR="001E5E78">
              <w:rPr>
                <w:noProof/>
                <w:webHidden/>
              </w:rPr>
              <w:instrText xml:space="preserve"> PAGEREF _Toc168004015 \h </w:instrText>
            </w:r>
            <w:r w:rsidR="001E5E78">
              <w:rPr>
                <w:noProof/>
                <w:webHidden/>
              </w:rPr>
            </w:r>
            <w:r w:rsidR="001E5E78">
              <w:rPr>
                <w:noProof/>
                <w:webHidden/>
              </w:rPr>
              <w:fldChar w:fldCharType="separate"/>
            </w:r>
            <w:r w:rsidR="001E5E78">
              <w:rPr>
                <w:noProof/>
                <w:webHidden/>
              </w:rPr>
              <w:t>6</w:t>
            </w:r>
            <w:r w:rsidR="001E5E78">
              <w:rPr>
                <w:noProof/>
                <w:webHidden/>
              </w:rPr>
              <w:fldChar w:fldCharType="end"/>
            </w:r>
          </w:hyperlink>
        </w:p>
        <w:p w14:paraId="4738B11D" w14:textId="77777777" w:rsidR="001463A9" w:rsidRDefault="00000000" w:rsidP="001463A9">
          <w:pPr>
            <w:pStyle w:val="TOC2"/>
            <w:tabs>
              <w:tab w:val="right" w:leader="dot" w:pos="9350"/>
            </w:tabs>
            <w:spacing w:after="0"/>
            <w:rPr>
              <w:rFonts w:asciiTheme="minorHAnsi" w:eastAsiaTheme="minorEastAsia" w:hAnsiTheme="minorHAnsi" w:cstheme="minorBidi"/>
              <w:noProof/>
              <w:sz w:val="22"/>
              <w:lang w:val="en-US"/>
            </w:rPr>
          </w:pPr>
          <w:hyperlink w:anchor="_Toc168004016" w:history="1">
            <w:r w:rsidR="001E5E78" w:rsidRPr="001334C7">
              <w:rPr>
                <w:rStyle w:val="Hyperlink"/>
                <w:noProof/>
              </w:rPr>
              <w:t>2.4. Change Initiatives at Hilton</w:t>
            </w:r>
            <w:r w:rsidR="001E5E78">
              <w:rPr>
                <w:noProof/>
                <w:webHidden/>
              </w:rPr>
              <w:tab/>
            </w:r>
            <w:r w:rsidR="001E5E78">
              <w:rPr>
                <w:noProof/>
                <w:webHidden/>
              </w:rPr>
              <w:fldChar w:fldCharType="begin"/>
            </w:r>
            <w:r w:rsidR="001E5E78">
              <w:rPr>
                <w:noProof/>
                <w:webHidden/>
              </w:rPr>
              <w:instrText xml:space="preserve"> PAGEREF _Toc168004016 \h </w:instrText>
            </w:r>
            <w:r w:rsidR="001E5E78">
              <w:rPr>
                <w:noProof/>
                <w:webHidden/>
              </w:rPr>
            </w:r>
            <w:r w:rsidR="001E5E78">
              <w:rPr>
                <w:noProof/>
                <w:webHidden/>
              </w:rPr>
              <w:fldChar w:fldCharType="separate"/>
            </w:r>
            <w:r w:rsidR="001E5E78">
              <w:rPr>
                <w:noProof/>
                <w:webHidden/>
              </w:rPr>
              <w:t>6</w:t>
            </w:r>
            <w:r w:rsidR="001E5E78">
              <w:rPr>
                <w:noProof/>
                <w:webHidden/>
              </w:rPr>
              <w:fldChar w:fldCharType="end"/>
            </w:r>
          </w:hyperlink>
        </w:p>
        <w:p w14:paraId="64EF78A1" w14:textId="77777777" w:rsidR="001463A9" w:rsidRDefault="00000000" w:rsidP="001463A9">
          <w:pPr>
            <w:pStyle w:val="TOC2"/>
            <w:tabs>
              <w:tab w:val="right" w:leader="dot" w:pos="9350"/>
            </w:tabs>
            <w:spacing w:after="0"/>
            <w:rPr>
              <w:rFonts w:asciiTheme="minorHAnsi" w:eastAsiaTheme="minorEastAsia" w:hAnsiTheme="minorHAnsi" w:cstheme="minorBidi"/>
              <w:noProof/>
              <w:sz w:val="22"/>
              <w:lang w:val="en-US"/>
            </w:rPr>
          </w:pPr>
          <w:hyperlink w:anchor="_Toc168004017" w:history="1">
            <w:r w:rsidR="001E5E78" w:rsidRPr="001334C7">
              <w:rPr>
                <w:rStyle w:val="Hyperlink"/>
                <w:noProof/>
              </w:rPr>
              <w:t>2.5. Strategic Direction and Business Performance</w:t>
            </w:r>
            <w:r w:rsidR="001E5E78">
              <w:rPr>
                <w:noProof/>
                <w:webHidden/>
              </w:rPr>
              <w:tab/>
            </w:r>
            <w:r w:rsidR="001E5E78">
              <w:rPr>
                <w:noProof/>
                <w:webHidden/>
              </w:rPr>
              <w:fldChar w:fldCharType="begin"/>
            </w:r>
            <w:r w:rsidR="001E5E78">
              <w:rPr>
                <w:noProof/>
                <w:webHidden/>
              </w:rPr>
              <w:instrText xml:space="preserve"> PAGEREF _Toc168004017 \h </w:instrText>
            </w:r>
            <w:r w:rsidR="001E5E78">
              <w:rPr>
                <w:noProof/>
                <w:webHidden/>
              </w:rPr>
            </w:r>
            <w:r w:rsidR="001E5E78">
              <w:rPr>
                <w:noProof/>
                <w:webHidden/>
              </w:rPr>
              <w:fldChar w:fldCharType="separate"/>
            </w:r>
            <w:r w:rsidR="001E5E78">
              <w:rPr>
                <w:noProof/>
                <w:webHidden/>
              </w:rPr>
              <w:t>8</w:t>
            </w:r>
            <w:r w:rsidR="001E5E78">
              <w:rPr>
                <w:noProof/>
                <w:webHidden/>
              </w:rPr>
              <w:fldChar w:fldCharType="end"/>
            </w:r>
          </w:hyperlink>
        </w:p>
        <w:p w14:paraId="51F3A32F" w14:textId="77777777" w:rsidR="001463A9" w:rsidRDefault="00000000" w:rsidP="001463A9">
          <w:pPr>
            <w:pStyle w:val="TOC3"/>
            <w:tabs>
              <w:tab w:val="right" w:leader="dot" w:pos="9350"/>
            </w:tabs>
            <w:spacing w:after="0"/>
            <w:rPr>
              <w:rFonts w:asciiTheme="minorHAnsi" w:eastAsiaTheme="minorEastAsia" w:hAnsiTheme="minorHAnsi" w:cstheme="minorBidi"/>
              <w:noProof/>
              <w:sz w:val="22"/>
              <w:lang w:val="en-US"/>
            </w:rPr>
          </w:pPr>
          <w:hyperlink w:anchor="_Toc168004018" w:history="1">
            <w:r w:rsidR="001E5E78" w:rsidRPr="001334C7">
              <w:rPr>
                <w:rStyle w:val="Hyperlink"/>
                <w:noProof/>
              </w:rPr>
              <w:t>2.5.1. Strength</w:t>
            </w:r>
            <w:r w:rsidR="001E5E78">
              <w:rPr>
                <w:noProof/>
                <w:webHidden/>
              </w:rPr>
              <w:tab/>
            </w:r>
            <w:r w:rsidR="001E5E78">
              <w:rPr>
                <w:noProof/>
                <w:webHidden/>
              </w:rPr>
              <w:fldChar w:fldCharType="begin"/>
            </w:r>
            <w:r w:rsidR="001E5E78">
              <w:rPr>
                <w:noProof/>
                <w:webHidden/>
              </w:rPr>
              <w:instrText xml:space="preserve"> PAGEREF _Toc168004018 \h </w:instrText>
            </w:r>
            <w:r w:rsidR="001E5E78">
              <w:rPr>
                <w:noProof/>
                <w:webHidden/>
              </w:rPr>
            </w:r>
            <w:r w:rsidR="001E5E78">
              <w:rPr>
                <w:noProof/>
                <w:webHidden/>
              </w:rPr>
              <w:fldChar w:fldCharType="separate"/>
            </w:r>
            <w:r w:rsidR="001E5E78">
              <w:rPr>
                <w:noProof/>
                <w:webHidden/>
              </w:rPr>
              <w:t>9</w:t>
            </w:r>
            <w:r w:rsidR="001E5E78">
              <w:rPr>
                <w:noProof/>
                <w:webHidden/>
              </w:rPr>
              <w:fldChar w:fldCharType="end"/>
            </w:r>
          </w:hyperlink>
        </w:p>
        <w:p w14:paraId="0AC83518" w14:textId="77777777" w:rsidR="001463A9" w:rsidRDefault="00000000" w:rsidP="001463A9">
          <w:pPr>
            <w:pStyle w:val="TOC3"/>
            <w:tabs>
              <w:tab w:val="right" w:leader="dot" w:pos="9350"/>
            </w:tabs>
            <w:spacing w:after="0"/>
            <w:rPr>
              <w:rFonts w:asciiTheme="minorHAnsi" w:eastAsiaTheme="minorEastAsia" w:hAnsiTheme="minorHAnsi" w:cstheme="minorBidi"/>
              <w:noProof/>
              <w:sz w:val="22"/>
              <w:lang w:val="en-US"/>
            </w:rPr>
          </w:pPr>
          <w:hyperlink w:anchor="_Toc168004019" w:history="1">
            <w:r w:rsidR="001E5E78" w:rsidRPr="001334C7">
              <w:rPr>
                <w:rStyle w:val="Hyperlink"/>
                <w:noProof/>
              </w:rPr>
              <w:t>2.5.2. Weaknesses</w:t>
            </w:r>
            <w:r w:rsidR="001E5E78">
              <w:rPr>
                <w:noProof/>
                <w:webHidden/>
              </w:rPr>
              <w:tab/>
            </w:r>
            <w:r w:rsidR="001E5E78">
              <w:rPr>
                <w:noProof/>
                <w:webHidden/>
              </w:rPr>
              <w:fldChar w:fldCharType="begin"/>
            </w:r>
            <w:r w:rsidR="001E5E78">
              <w:rPr>
                <w:noProof/>
                <w:webHidden/>
              </w:rPr>
              <w:instrText xml:space="preserve"> PAGEREF _Toc168004019 \h </w:instrText>
            </w:r>
            <w:r w:rsidR="001E5E78">
              <w:rPr>
                <w:noProof/>
                <w:webHidden/>
              </w:rPr>
            </w:r>
            <w:r w:rsidR="001E5E78">
              <w:rPr>
                <w:noProof/>
                <w:webHidden/>
              </w:rPr>
              <w:fldChar w:fldCharType="separate"/>
            </w:r>
            <w:r w:rsidR="001E5E78">
              <w:rPr>
                <w:noProof/>
                <w:webHidden/>
              </w:rPr>
              <w:t>9</w:t>
            </w:r>
            <w:r w:rsidR="001E5E78">
              <w:rPr>
                <w:noProof/>
                <w:webHidden/>
              </w:rPr>
              <w:fldChar w:fldCharType="end"/>
            </w:r>
          </w:hyperlink>
        </w:p>
        <w:p w14:paraId="3DA9863A" w14:textId="77777777" w:rsidR="001463A9" w:rsidRDefault="00000000" w:rsidP="001463A9">
          <w:pPr>
            <w:pStyle w:val="TOC3"/>
            <w:tabs>
              <w:tab w:val="right" w:leader="dot" w:pos="9350"/>
            </w:tabs>
            <w:spacing w:after="0"/>
            <w:rPr>
              <w:rFonts w:asciiTheme="minorHAnsi" w:eastAsiaTheme="minorEastAsia" w:hAnsiTheme="minorHAnsi" w:cstheme="minorBidi"/>
              <w:noProof/>
              <w:sz w:val="22"/>
              <w:lang w:val="en-US"/>
            </w:rPr>
          </w:pPr>
          <w:hyperlink w:anchor="_Toc168004020" w:history="1">
            <w:r w:rsidR="001E5E78" w:rsidRPr="001334C7">
              <w:rPr>
                <w:rStyle w:val="Hyperlink"/>
                <w:noProof/>
              </w:rPr>
              <w:t>2.5.3. Opportunities</w:t>
            </w:r>
            <w:r w:rsidR="001E5E78">
              <w:rPr>
                <w:noProof/>
                <w:webHidden/>
              </w:rPr>
              <w:tab/>
            </w:r>
            <w:r w:rsidR="001E5E78">
              <w:rPr>
                <w:noProof/>
                <w:webHidden/>
              </w:rPr>
              <w:fldChar w:fldCharType="begin"/>
            </w:r>
            <w:r w:rsidR="001E5E78">
              <w:rPr>
                <w:noProof/>
                <w:webHidden/>
              </w:rPr>
              <w:instrText xml:space="preserve"> PAGEREF _Toc168004020 \h </w:instrText>
            </w:r>
            <w:r w:rsidR="001E5E78">
              <w:rPr>
                <w:noProof/>
                <w:webHidden/>
              </w:rPr>
            </w:r>
            <w:r w:rsidR="001E5E78">
              <w:rPr>
                <w:noProof/>
                <w:webHidden/>
              </w:rPr>
              <w:fldChar w:fldCharType="separate"/>
            </w:r>
            <w:r w:rsidR="001E5E78">
              <w:rPr>
                <w:noProof/>
                <w:webHidden/>
              </w:rPr>
              <w:t>9</w:t>
            </w:r>
            <w:r w:rsidR="001E5E78">
              <w:rPr>
                <w:noProof/>
                <w:webHidden/>
              </w:rPr>
              <w:fldChar w:fldCharType="end"/>
            </w:r>
          </w:hyperlink>
        </w:p>
        <w:p w14:paraId="2B8F34DD" w14:textId="77777777" w:rsidR="001463A9" w:rsidRDefault="00000000" w:rsidP="001463A9">
          <w:pPr>
            <w:pStyle w:val="TOC3"/>
            <w:tabs>
              <w:tab w:val="right" w:leader="dot" w:pos="9350"/>
            </w:tabs>
            <w:spacing w:after="0"/>
            <w:rPr>
              <w:rFonts w:asciiTheme="minorHAnsi" w:eastAsiaTheme="minorEastAsia" w:hAnsiTheme="minorHAnsi" w:cstheme="minorBidi"/>
              <w:noProof/>
              <w:sz w:val="22"/>
              <w:lang w:val="en-US"/>
            </w:rPr>
          </w:pPr>
          <w:hyperlink w:anchor="_Toc168004021" w:history="1">
            <w:r w:rsidR="001E5E78" w:rsidRPr="001334C7">
              <w:rPr>
                <w:rStyle w:val="Hyperlink"/>
                <w:noProof/>
              </w:rPr>
              <w:t>2.5.4. Threats</w:t>
            </w:r>
            <w:r w:rsidR="001E5E78">
              <w:rPr>
                <w:noProof/>
                <w:webHidden/>
              </w:rPr>
              <w:tab/>
            </w:r>
            <w:r w:rsidR="001E5E78">
              <w:rPr>
                <w:noProof/>
                <w:webHidden/>
              </w:rPr>
              <w:fldChar w:fldCharType="begin"/>
            </w:r>
            <w:r w:rsidR="001E5E78">
              <w:rPr>
                <w:noProof/>
                <w:webHidden/>
              </w:rPr>
              <w:instrText xml:space="preserve"> PAGEREF _Toc168004021 \h </w:instrText>
            </w:r>
            <w:r w:rsidR="001E5E78">
              <w:rPr>
                <w:noProof/>
                <w:webHidden/>
              </w:rPr>
            </w:r>
            <w:r w:rsidR="001E5E78">
              <w:rPr>
                <w:noProof/>
                <w:webHidden/>
              </w:rPr>
              <w:fldChar w:fldCharType="separate"/>
            </w:r>
            <w:r w:rsidR="001E5E78">
              <w:rPr>
                <w:noProof/>
                <w:webHidden/>
              </w:rPr>
              <w:t>9</w:t>
            </w:r>
            <w:r w:rsidR="001E5E78">
              <w:rPr>
                <w:noProof/>
                <w:webHidden/>
              </w:rPr>
              <w:fldChar w:fldCharType="end"/>
            </w:r>
          </w:hyperlink>
        </w:p>
        <w:p w14:paraId="2FEBDB4D" w14:textId="77777777" w:rsidR="001463A9" w:rsidRDefault="00000000" w:rsidP="001463A9">
          <w:pPr>
            <w:pStyle w:val="TOC1"/>
            <w:tabs>
              <w:tab w:val="right" w:leader="dot" w:pos="9350"/>
            </w:tabs>
            <w:spacing w:after="0"/>
            <w:rPr>
              <w:rFonts w:asciiTheme="minorHAnsi" w:eastAsiaTheme="minorEastAsia" w:hAnsiTheme="minorHAnsi" w:cstheme="minorBidi"/>
              <w:noProof/>
              <w:sz w:val="22"/>
              <w:lang w:val="en-US"/>
            </w:rPr>
          </w:pPr>
          <w:hyperlink w:anchor="_Toc168004022" w:history="1">
            <w:r w:rsidR="001E5E78" w:rsidRPr="001334C7">
              <w:rPr>
                <w:rStyle w:val="Hyperlink"/>
                <w:noProof/>
              </w:rPr>
              <w:t>3. Conclusion</w:t>
            </w:r>
            <w:r w:rsidR="001E5E78">
              <w:rPr>
                <w:noProof/>
                <w:webHidden/>
              </w:rPr>
              <w:tab/>
            </w:r>
            <w:r w:rsidR="001E5E78">
              <w:rPr>
                <w:noProof/>
                <w:webHidden/>
              </w:rPr>
              <w:fldChar w:fldCharType="begin"/>
            </w:r>
            <w:r w:rsidR="001E5E78">
              <w:rPr>
                <w:noProof/>
                <w:webHidden/>
              </w:rPr>
              <w:instrText xml:space="preserve"> PAGEREF _Toc168004022 \h </w:instrText>
            </w:r>
            <w:r w:rsidR="001E5E78">
              <w:rPr>
                <w:noProof/>
                <w:webHidden/>
              </w:rPr>
            </w:r>
            <w:r w:rsidR="001E5E78">
              <w:rPr>
                <w:noProof/>
                <w:webHidden/>
              </w:rPr>
              <w:fldChar w:fldCharType="separate"/>
            </w:r>
            <w:r w:rsidR="001E5E78">
              <w:rPr>
                <w:noProof/>
                <w:webHidden/>
              </w:rPr>
              <w:t>10</w:t>
            </w:r>
            <w:r w:rsidR="001E5E78">
              <w:rPr>
                <w:noProof/>
                <w:webHidden/>
              </w:rPr>
              <w:fldChar w:fldCharType="end"/>
            </w:r>
          </w:hyperlink>
        </w:p>
        <w:p w14:paraId="0648EAB9" w14:textId="77777777" w:rsidR="001463A9" w:rsidRDefault="00000000" w:rsidP="001463A9">
          <w:pPr>
            <w:pStyle w:val="TOC1"/>
            <w:tabs>
              <w:tab w:val="right" w:leader="dot" w:pos="9350"/>
            </w:tabs>
            <w:spacing w:after="0"/>
            <w:rPr>
              <w:rFonts w:asciiTheme="minorHAnsi" w:eastAsiaTheme="minorEastAsia" w:hAnsiTheme="minorHAnsi" w:cstheme="minorBidi"/>
              <w:noProof/>
              <w:sz w:val="22"/>
              <w:lang w:val="en-US"/>
            </w:rPr>
          </w:pPr>
          <w:hyperlink w:anchor="_Toc168004023" w:history="1">
            <w:r w:rsidR="001E5E78" w:rsidRPr="001334C7">
              <w:rPr>
                <w:rStyle w:val="Hyperlink"/>
                <w:noProof/>
              </w:rPr>
              <w:t>References</w:t>
            </w:r>
            <w:r w:rsidR="001E5E78">
              <w:rPr>
                <w:noProof/>
                <w:webHidden/>
              </w:rPr>
              <w:tab/>
            </w:r>
            <w:r w:rsidR="001E5E78">
              <w:rPr>
                <w:noProof/>
                <w:webHidden/>
              </w:rPr>
              <w:fldChar w:fldCharType="begin"/>
            </w:r>
            <w:r w:rsidR="001E5E78">
              <w:rPr>
                <w:noProof/>
                <w:webHidden/>
              </w:rPr>
              <w:instrText xml:space="preserve"> PAGEREF _Toc168004023 \h </w:instrText>
            </w:r>
            <w:r w:rsidR="001E5E78">
              <w:rPr>
                <w:noProof/>
                <w:webHidden/>
              </w:rPr>
            </w:r>
            <w:r w:rsidR="001E5E78">
              <w:rPr>
                <w:noProof/>
                <w:webHidden/>
              </w:rPr>
              <w:fldChar w:fldCharType="separate"/>
            </w:r>
            <w:r w:rsidR="001E5E78">
              <w:rPr>
                <w:noProof/>
                <w:webHidden/>
              </w:rPr>
              <w:t>11</w:t>
            </w:r>
            <w:r w:rsidR="001E5E78">
              <w:rPr>
                <w:noProof/>
                <w:webHidden/>
              </w:rPr>
              <w:fldChar w:fldCharType="end"/>
            </w:r>
          </w:hyperlink>
        </w:p>
        <w:p w14:paraId="36617534" w14:textId="77777777" w:rsidR="00710CAA" w:rsidRDefault="001E5E78" w:rsidP="001463A9">
          <w:pPr>
            <w:spacing w:after="0"/>
          </w:pPr>
          <w:r>
            <w:rPr>
              <w:b/>
              <w:bCs/>
              <w:noProof/>
            </w:rPr>
            <w:fldChar w:fldCharType="end"/>
          </w:r>
        </w:p>
      </w:sdtContent>
    </w:sdt>
    <w:p w14:paraId="53DA15FE" w14:textId="77777777" w:rsidR="00710CAA" w:rsidRDefault="001E5E78" w:rsidP="00F75F8F">
      <w:pPr>
        <w:spacing w:after="0"/>
        <w:jc w:val="left"/>
      </w:pPr>
      <w:r>
        <w:br w:type="page"/>
      </w:r>
    </w:p>
    <w:p w14:paraId="708AA3C3" w14:textId="77777777" w:rsidR="00706D9F" w:rsidRDefault="001E5E78" w:rsidP="00373C29">
      <w:pPr>
        <w:pStyle w:val="Heading1"/>
        <w:spacing w:after="0"/>
      </w:pPr>
      <w:bookmarkStart w:id="0" w:name="_Toc168004011"/>
      <w:r>
        <w:lastRenderedPageBreak/>
        <w:t xml:space="preserve">1. </w:t>
      </w:r>
      <w:r w:rsidR="0016528A">
        <w:t>Introduction</w:t>
      </w:r>
      <w:bookmarkEnd w:id="0"/>
    </w:p>
    <w:p w14:paraId="11B95EA9" w14:textId="77777777" w:rsidR="0016528A" w:rsidRDefault="001E5E78" w:rsidP="00F75F8F">
      <w:pPr>
        <w:spacing w:after="0"/>
        <w:ind w:firstLine="720"/>
      </w:pPr>
      <w:r>
        <w:t>Hilton Hotel Group is one of the largest and most well-established hospitality companies in the world. Founded in 1919 by Conrad Hilton in Texas, the group currently owns, manages or franchises over 6,200 properties across 118 countries and territories (</w:t>
      </w:r>
      <w:r w:rsidR="0026207F" w:rsidRPr="0026207F">
        <w:t>Young, 2024</w:t>
      </w:r>
      <w:r>
        <w:t>). Hilton operates across market segments including luxury, upscale, midscale and economy hotel tiers, and owns popular brands such as Hilton, Waldorf Astoria, Conrad and Hampton by Hilton. The company employs over 400,000 team members globally and maintains an asset value of over $29 billion (</w:t>
      </w:r>
      <w:r w:rsidR="00EE42EA" w:rsidRPr="00EE42EA">
        <w:t>Hilton</w:t>
      </w:r>
      <w:r w:rsidR="00EE42EA">
        <w:t xml:space="preserve">, </w:t>
      </w:r>
      <w:r w:rsidR="00EE42EA" w:rsidRPr="00EE42EA">
        <w:t>2023</w:t>
      </w:r>
      <w:r>
        <w:t>). Over the past decade, Hilton has continuously expanded its presence internationally through strategic acquisitions, most notably the acquisition of Hilton Garden Inn and DoubleTree brands in the early 2000s (</w:t>
      </w:r>
      <w:r w:rsidR="005A31A9" w:rsidRPr="005A31A9">
        <w:t>Fachada, 2023</w:t>
      </w:r>
      <w:r>
        <w:t xml:space="preserve">). More recently, the company acquired the Park Hotels </w:t>
      </w:r>
      <w:r w:rsidR="009D4D9F">
        <w:t>and</w:t>
      </w:r>
      <w:r>
        <w:t xml:space="preserve"> Resorts portfolio in 2021, nearly doubling its luxury footprint in</w:t>
      </w:r>
      <w:r w:rsidR="002F5BF7">
        <w:t xml:space="preserve"> the United States (Hilton, 2023</w:t>
      </w:r>
      <w:r>
        <w:t xml:space="preserve">). </w:t>
      </w:r>
    </w:p>
    <w:p w14:paraId="0F7145C0" w14:textId="77777777" w:rsidR="00373C29" w:rsidRDefault="001E5E78" w:rsidP="00373C29">
      <w:pPr>
        <w:keepNext/>
        <w:spacing w:after="0"/>
        <w:jc w:val="center"/>
      </w:pPr>
      <w:r w:rsidRPr="00706D9F">
        <w:rPr>
          <w:noProof/>
          <w:lang w:val="en-US"/>
        </w:rPr>
        <w:drawing>
          <wp:inline distT="0" distB="0" distL="0" distR="0" wp14:anchorId="25BD0686" wp14:editId="5FB00D3B">
            <wp:extent cx="3303166" cy="2260215"/>
            <wp:effectExtent l="0" t="0" r="0" b="6985"/>
            <wp:docPr id="3" name="Picture 3" descr="Our Hotel Brands - Learn More About our Brands - H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Our Hotel Brands - Learn More About our Brands - Hilton"/>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311802" cy="2266125"/>
                    </a:xfrm>
                    <a:prstGeom prst="rect">
                      <a:avLst/>
                    </a:prstGeom>
                    <a:noFill/>
                    <a:ln>
                      <a:noFill/>
                    </a:ln>
                  </pic:spPr>
                </pic:pic>
              </a:graphicData>
            </a:graphic>
          </wp:inline>
        </w:drawing>
      </w:r>
    </w:p>
    <w:p w14:paraId="078D8DC0" w14:textId="77777777" w:rsidR="00373C29" w:rsidRDefault="001E5E78" w:rsidP="00373C29">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706D9F">
        <w:t>Hilton</w:t>
      </w:r>
      <w:r>
        <w:t xml:space="preserve"> Hotels Logo (Source: Hilton, 2023)</w:t>
      </w:r>
    </w:p>
    <w:p w14:paraId="5C83BEAA" w14:textId="77777777" w:rsidR="0016528A" w:rsidRDefault="001E5E78" w:rsidP="00F75F8F">
      <w:pPr>
        <w:spacing w:after="0"/>
        <w:ind w:firstLine="720"/>
      </w:pPr>
      <w:r>
        <w:t>The purpose of this report is to conduct an in-depth assessment of Hilton Hotel Group at both the corporate level and individual hotel unit levels. Key areas that will be analysed include the company's organi</w:t>
      </w:r>
      <w:r w:rsidR="00334A30">
        <w:t>s</w:t>
      </w:r>
      <w:r>
        <w:t>ational structure, culture, goals, recent change initi</w:t>
      </w:r>
      <w:r w:rsidR="00A532AB">
        <w:t>atives and strategic direction</w:t>
      </w:r>
      <w:r>
        <w:t>. Relevant organi</w:t>
      </w:r>
      <w:r w:rsidR="00334A30">
        <w:t>s</w:t>
      </w:r>
      <w:r>
        <w:t>ational theories will be applied to critically evaluate each topic. The structure of the report is as follows. Following this introduction, Section 2 will examine Hilton's organi</w:t>
      </w:r>
      <w:r w:rsidR="00334A30">
        <w:t>s</w:t>
      </w:r>
      <w:r>
        <w:t>ational structure and culture. Section 3 will then analyse the company's goals and recent change programs. Hilton's strategic direction and business performance will be assessed in Section 4. Finally, conclusions and recommendations will be presented.</w:t>
      </w:r>
    </w:p>
    <w:p w14:paraId="45365746" w14:textId="77777777" w:rsidR="0016528A" w:rsidRDefault="0016528A" w:rsidP="00F75F8F">
      <w:pPr>
        <w:spacing w:after="0"/>
      </w:pPr>
    </w:p>
    <w:p w14:paraId="50BEF843" w14:textId="77777777" w:rsidR="005974CB" w:rsidRPr="005974CB" w:rsidRDefault="001E5E78" w:rsidP="00F75F8F">
      <w:pPr>
        <w:pStyle w:val="Heading1"/>
        <w:spacing w:after="0"/>
      </w:pPr>
      <w:bookmarkStart w:id="1" w:name="_Toc168004012"/>
      <w:r>
        <w:lastRenderedPageBreak/>
        <w:t>2. Main Body</w:t>
      </w:r>
      <w:bookmarkEnd w:id="1"/>
    </w:p>
    <w:p w14:paraId="49470864" w14:textId="77777777" w:rsidR="0016528A" w:rsidRDefault="001E5E78" w:rsidP="00F75F8F">
      <w:pPr>
        <w:pStyle w:val="Heading2"/>
        <w:spacing w:after="0"/>
      </w:pPr>
      <w:bookmarkStart w:id="2" w:name="_Toc168004013"/>
      <w:r>
        <w:t>2.1. Organisational Structure</w:t>
      </w:r>
      <w:bookmarkEnd w:id="2"/>
    </w:p>
    <w:p w14:paraId="4519CD4D" w14:textId="77777777" w:rsidR="0016528A" w:rsidRDefault="001E5E78" w:rsidP="00F75F8F">
      <w:pPr>
        <w:spacing w:after="0"/>
        <w:ind w:firstLine="720"/>
      </w:pPr>
      <w:r>
        <w:t>Hilton has a multi-divisional structure typically seen in large, multi</w:t>
      </w:r>
      <w:r w:rsidR="0021196B">
        <w:t>-</w:t>
      </w:r>
      <w:r>
        <w:t>domestic corporations (</w:t>
      </w:r>
      <w:r w:rsidR="00335795" w:rsidRPr="00335795">
        <w:t>Reidhead, 2020</w:t>
      </w:r>
      <w:r>
        <w:t>). At the corporate level, the structure is decentralised with regions operating autonomously under the executive leadership (Hilton, 2023). The group is organised into three main business segments - Americas, Europe, Middle East and Africa (EMEA), and Asia Pacific (</w:t>
      </w:r>
      <w:r w:rsidR="000638A2" w:rsidRPr="000638A2">
        <w:t>Bhanji, 2022</w:t>
      </w:r>
      <w:r>
        <w:t>). Each segment encompasses a portfolio of hotel brands and is overseen by an executive vice president who reports directly to the CEO.</w:t>
      </w:r>
      <w:r w:rsidR="00297872">
        <w:t xml:space="preserve"> </w:t>
      </w:r>
      <w:r>
        <w:t>At the individual hotel level, Hilton follows a functional structure with distinct departments for front office, housekeeping, food and beverage etc. This facilitates specialisation of roles and accountability (</w:t>
      </w:r>
      <w:r w:rsidR="0080338F" w:rsidRPr="0080338F">
        <w:t>SÖNMEZ</w:t>
      </w:r>
      <w:r w:rsidR="0080338F">
        <w:t xml:space="preserve"> et al., </w:t>
      </w:r>
      <w:r w:rsidR="0080338F" w:rsidRPr="0080338F">
        <w:t>2022</w:t>
      </w:r>
      <w:r>
        <w:t>). However, work is also departmentalised by-product as each brand within the portfolio caters to a specific market segment e.g. Hampton focuses on economy travellers while Waldorf Astoria targets luxury clients. This dual departmentalisation balances functional efficiency with market respons</w:t>
      </w:r>
      <w:r w:rsidR="00297872">
        <w:t>iveness (</w:t>
      </w:r>
      <w:r w:rsidR="00AD1686" w:rsidRPr="00AD1686">
        <w:t>DeYeso, 2019</w:t>
      </w:r>
      <w:r w:rsidR="00297872">
        <w:t>).</w:t>
      </w:r>
    </w:p>
    <w:p w14:paraId="09E5EF2C" w14:textId="77777777" w:rsidR="0016528A" w:rsidRDefault="001E5E78" w:rsidP="00F75F8F">
      <w:pPr>
        <w:spacing w:after="0"/>
        <w:ind w:firstLine="720"/>
      </w:pPr>
      <w:r>
        <w:t>Hilton's structure scores high on differentiation with roles narrowly defined. However, the span of control is moderate with general managers overseeing a</w:t>
      </w:r>
      <w:r w:rsidR="00640F8C">
        <w:t>round 100-200 staff on average</w:t>
      </w:r>
      <w:r>
        <w:t>. This moderate span allows close supervision yet risks overload. Hilton mitigates this through regional heads who provide support, coordinate activities and ensure integration (</w:t>
      </w:r>
      <w:r w:rsidR="00155271" w:rsidRPr="00F02843">
        <w:t xml:space="preserve">Paraskevas </w:t>
      </w:r>
      <w:r w:rsidR="009D4D9F">
        <w:t>and</w:t>
      </w:r>
      <w:r w:rsidR="00155271" w:rsidRPr="00F02843">
        <w:t xml:space="preserve"> Quek, 2019</w:t>
      </w:r>
      <w:r>
        <w:t>). While centralised decision-making exists at the corporate level, individual hotels enjoy significant autono</w:t>
      </w:r>
      <w:r w:rsidR="00073C52">
        <w:t>my reflecting decentralisation</w:t>
      </w:r>
      <w:r>
        <w:t>.</w:t>
      </w:r>
      <w:r w:rsidR="00297872">
        <w:t xml:space="preserve"> </w:t>
      </w:r>
      <w:r>
        <w:t>Hilton's structure is suitable given its global scale and multi-brand portfolio. The regional structure facilitates adaptation to local markets and conditions</w:t>
      </w:r>
      <w:r w:rsidR="00694860">
        <w:t xml:space="preserve"> </w:t>
      </w:r>
      <w:r w:rsidR="00242CAF">
        <w:t>(</w:t>
      </w:r>
      <w:r w:rsidR="00694860" w:rsidRPr="006B750B">
        <w:t>Maclean</w:t>
      </w:r>
      <w:r w:rsidR="00694860">
        <w:t xml:space="preserve"> et al., </w:t>
      </w:r>
      <w:r w:rsidR="00694860" w:rsidRPr="006B750B">
        <w:t>2024</w:t>
      </w:r>
      <w:r w:rsidR="00694860">
        <w:t>)</w:t>
      </w:r>
      <w:r>
        <w:t>. However, the multiplicity of layers means longer communication channels. Hilton mitigates this through its intranet technology platform 'Hilton Link' which fosters connectivity and coordination across the sizable structure (</w:t>
      </w:r>
      <w:r w:rsidR="00EE0EB8" w:rsidRPr="002D36A9">
        <w:t>Zientara</w:t>
      </w:r>
      <w:r w:rsidR="00EE0EB8">
        <w:t xml:space="preserve"> et al., </w:t>
      </w:r>
      <w:r w:rsidR="00EE0EB8" w:rsidRPr="002D36A9">
        <w:t>2020</w:t>
      </w:r>
      <w:r>
        <w:t>). Overall, Hilton's structure achieves functional efficiency, market responsiveness, coordination and control befittin</w:t>
      </w:r>
      <w:r w:rsidR="00297872">
        <w:t>g its size and strategic needs.</w:t>
      </w:r>
    </w:p>
    <w:p w14:paraId="5515298C" w14:textId="77777777" w:rsidR="0016528A" w:rsidRDefault="001E5E78" w:rsidP="00F75F8F">
      <w:pPr>
        <w:spacing w:after="0"/>
        <w:ind w:firstLine="720"/>
      </w:pPr>
      <w:r>
        <w:t>Hilton's multi-divisional structure with dual functional-market departments allows focus on individual brand segments and specialised operations, balanced with coordination. The moderate spans of control risk overload but regional heads provide support. While long channels exist, technology mitigates this. Overall, the design suitably supports Hilton's global, multi-brand strategy.</w:t>
      </w:r>
    </w:p>
    <w:p w14:paraId="27E7D367" w14:textId="77777777" w:rsidR="0016528A" w:rsidRDefault="0016528A" w:rsidP="00F75F8F">
      <w:pPr>
        <w:spacing w:after="0"/>
      </w:pPr>
    </w:p>
    <w:p w14:paraId="03A5CD58" w14:textId="77777777" w:rsidR="0016528A" w:rsidRDefault="001E5E78" w:rsidP="00F75F8F">
      <w:pPr>
        <w:pStyle w:val="Heading2"/>
        <w:spacing w:after="0"/>
      </w:pPr>
      <w:bookmarkStart w:id="3" w:name="_Toc168004014"/>
      <w:r>
        <w:t>2.2. Organisational Culture</w:t>
      </w:r>
      <w:bookmarkEnd w:id="3"/>
    </w:p>
    <w:p w14:paraId="0AC361EB" w14:textId="77777777" w:rsidR="0016528A" w:rsidRDefault="001E5E78" w:rsidP="00F75F8F">
      <w:pPr>
        <w:spacing w:after="0"/>
        <w:ind w:firstLine="720"/>
      </w:pPr>
      <w:r>
        <w:t>Hilton's culture can be categorised as a task culture based on Handy's framework (</w:t>
      </w:r>
      <w:r w:rsidR="00E36A7E">
        <w:rPr>
          <w:iCs/>
          <w:lang w:val="en-US"/>
        </w:rPr>
        <w:t>MindTools</w:t>
      </w:r>
      <w:r w:rsidR="00E36A7E">
        <w:rPr>
          <w:lang w:val="en-US"/>
        </w:rPr>
        <w:t>, 2024</w:t>
      </w:r>
      <w:r>
        <w:t xml:space="preserve">). While supporting individual brands, there is a strong emphasis on teamwork to deliver an outstanding guest experience through coherent offerings and consistent service globally. Hilton's culture statement revolves around the cultural mantras of "hospitableness", "forgiving" spirit </w:t>
      </w:r>
      <w:r w:rsidR="00256BC8">
        <w:t>and "performance with purpose"</w:t>
      </w:r>
      <w:r>
        <w:t>, indicating core values of providing caring service, learning through mistakes and achieving goals through responsible means.</w:t>
      </w:r>
    </w:p>
    <w:p w14:paraId="049029A6" w14:textId="77777777" w:rsidR="0016528A" w:rsidRDefault="001E5E78" w:rsidP="00F75F8F">
      <w:pPr>
        <w:spacing w:after="0"/>
        <w:ind w:firstLine="720"/>
      </w:pPr>
      <w:r>
        <w:t>An analysis of Hilton's cultural manifestations indicates a strong cultural core based on Schein's model (</w:t>
      </w:r>
      <w:r w:rsidR="00E82695" w:rsidRPr="00FA5C47">
        <w:t>Rakic,</w:t>
      </w:r>
      <w:r w:rsidR="00E82695">
        <w:t xml:space="preserve"> 2019</w:t>
      </w:r>
      <w:r>
        <w:t xml:space="preserve">). </w:t>
      </w:r>
      <w:r w:rsidR="0021196B">
        <w:t>Artefacts</w:t>
      </w:r>
      <w:r>
        <w:t xml:space="preserve"> include a friendly and casual workplace ambiance along with programs like Hilton University focusing on continuous learning. Espoused values </w:t>
      </w:r>
      <w:r w:rsidR="0021196B">
        <w:t>centre</w:t>
      </w:r>
      <w:r>
        <w:t xml:space="preserve"> around respect, integrity and excellence evident through Hilton's Code of Conduct policy. Underlying assumptions that guide </w:t>
      </w:r>
      <w:r w:rsidR="0021196B">
        <w:t>behaviour</w:t>
      </w:r>
      <w:r>
        <w:t xml:space="preserve"> stem from founder Conrad Hilton's emphasis on warm hospitality and quality service that remain d</w:t>
      </w:r>
      <w:r w:rsidR="00C61F51">
        <w:t>eeply ingrained (</w:t>
      </w:r>
      <w:r w:rsidR="00863F49" w:rsidRPr="00FE1415">
        <w:t>Hultman</w:t>
      </w:r>
      <w:r w:rsidR="00863F49">
        <w:t xml:space="preserve"> et al., </w:t>
      </w:r>
      <w:r w:rsidR="00863F49" w:rsidRPr="00FE1415">
        <w:t>2021</w:t>
      </w:r>
      <w:r w:rsidR="00C61F51">
        <w:t xml:space="preserve">). </w:t>
      </w:r>
      <w:r>
        <w:t>Hilton's cultural persona resembles a clan culture based on Cameron and Quinn's framework due to high teamwork, staff motivation and morale (</w:t>
      </w:r>
      <w:r w:rsidR="003313D3" w:rsidRPr="007360FA">
        <w:t>Lamo, 2019</w:t>
      </w:r>
      <w:r>
        <w:t>). An inclusive, learning-oriented and socially responsible culture is fostered through benefits like healthcare, education support and volunteer work (Hilton, 2023). While hierarchies exist to coordinate operations, managers lead through inspiration and commitment rather than control reflecting an adhocracy-like aspect. Overall, Hilton's culture balances task focus with care for employees and communities, contributing to staff retention, commitment and en</w:t>
      </w:r>
      <w:r w:rsidR="007871C8">
        <w:t>ergy for achieving brand goals.</w:t>
      </w:r>
    </w:p>
    <w:p w14:paraId="299A7E67" w14:textId="77777777" w:rsidR="0016528A" w:rsidRDefault="001E5E78" w:rsidP="00F75F8F">
      <w:pPr>
        <w:spacing w:after="0"/>
        <w:ind w:firstLine="720"/>
      </w:pPr>
      <w:r>
        <w:t>Hilton's strong, focused culture has helped it expand while ma</w:t>
      </w:r>
      <w:r w:rsidR="006312A5">
        <w:t>intaining consistent standards</w:t>
      </w:r>
      <w:r>
        <w:t>. For example, cultural espousals around integrity and responsibility guided Hilton's response to COVID-19 through safety-first policies, community support and flexible travel programs</w:t>
      </w:r>
      <w:r w:rsidR="004D7D42">
        <w:t xml:space="preserve"> (</w:t>
      </w:r>
      <w:r w:rsidR="004D7D42" w:rsidRPr="00C00254">
        <w:t>Sharma</w:t>
      </w:r>
      <w:r w:rsidR="004D7D42">
        <w:t xml:space="preserve"> et al., </w:t>
      </w:r>
      <w:r w:rsidR="004D7D42" w:rsidRPr="00C00254">
        <w:t>2021</w:t>
      </w:r>
      <w:r w:rsidR="004D7D42">
        <w:t>)</w:t>
      </w:r>
      <w:r>
        <w:t>. Cultural influence is seen in Hilton attaining its target of halving environmental impact by 2030 (Hilton, 2023). However, the global, collaborative culture also risks standardi</w:t>
      </w:r>
      <w:r w:rsidR="00334A30">
        <w:t>s</w:t>
      </w:r>
      <w:r>
        <w:t>ed thinking limiting innovation. Hilton mitigates this through initiatives like the Hilton Effect Foundation promoting en</w:t>
      </w:r>
      <w:r w:rsidR="00D91F22">
        <w:t>trepreneurship among employees</w:t>
      </w:r>
      <w:r>
        <w:t>. In summary, Hilton's supportive yet achievement-driven culture significantly bolsters staff performance and goal achievement in line with its strategy.</w:t>
      </w:r>
    </w:p>
    <w:p w14:paraId="26EFF8A1" w14:textId="77777777" w:rsidR="0016528A" w:rsidRDefault="0016528A" w:rsidP="00F75F8F">
      <w:pPr>
        <w:spacing w:after="0"/>
      </w:pPr>
    </w:p>
    <w:p w14:paraId="5F220FB4" w14:textId="77777777" w:rsidR="0016528A" w:rsidRDefault="001E5E78" w:rsidP="00F75F8F">
      <w:pPr>
        <w:pStyle w:val="Heading2"/>
        <w:spacing w:after="0"/>
      </w:pPr>
      <w:bookmarkStart w:id="4" w:name="_Toc168004015"/>
      <w:r>
        <w:lastRenderedPageBreak/>
        <w:t>2.</w:t>
      </w:r>
      <w:r w:rsidR="00AD5073">
        <w:t xml:space="preserve">3. </w:t>
      </w:r>
      <w:r>
        <w:t>Organisational Goals</w:t>
      </w:r>
      <w:bookmarkEnd w:id="4"/>
    </w:p>
    <w:p w14:paraId="38C156B7" w14:textId="77777777" w:rsidR="0016528A" w:rsidRDefault="001E5E78" w:rsidP="00F75F8F">
      <w:pPr>
        <w:spacing w:after="0"/>
        <w:ind w:firstLine="720"/>
      </w:pPr>
      <w:r>
        <w:t>Hilton articulates clear short, medium and long-term goals across economic, environmental and social dimensions aligned with its mission to be the most hospitable company in the world (Hilton, 2023).</w:t>
      </w:r>
      <w:r w:rsidR="00B55D65">
        <w:t xml:space="preserve"> </w:t>
      </w:r>
      <w:r>
        <w:t>In the short-term, key quantitative goals include surpassing 2019 adjusted EBITDA by 2024 and achieving net room growt</w:t>
      </w:r>
      <w:r w:rsidR="0058754B">
        <w:t>h of 3-5% annually (Hilton, 2023</w:t>
      </w:r>
      <w:r>
        <w:t xml:space="preserve">). </w:t>
      </w:r>
    </w:p>
    <w:p w14:paraId="6C287AA7" w14:textId="77777777" w:rsidR="0016528A" w:rsidRDefault="001E5E78" w:rsidP="00F75F8F">
      <w:pPr>
        <w:spacing w:after="0"/>
        <w:ind w:firstLine="720"/>
      </w:pPr>
      <w:r>
        <w:t xml:space="preserve">Long-term goals established in line with stakeholder </w:t>
      </w:r>
      <w:r w:rsidR="006E1E6D">
        <w:t>theory (</w:t>
      </w:r>
      <w:r w:rsidR="00105AE0" w:rsidRPr="006277BA">
        <w:rPr>
          <w:iCs/>
        </w:rPr>
        <w:t>Freeman</w:t>
      </w:r>
      <w:r w:rsidR="00105AE0">
        <w:rPr>
          <w:iCs/>
        </w:rPr>
        <w:t xml:space="preserve"> et al., </w:t>
      </w:r>
      <w:r w:rsidR="00105AE0" w:rsidRPr="006277BA">
        <w:rPr>
          <w:iCs/>
        </w:rPr>
        <w:t>2018</w:t>
      </w:r>
      <w:r w:rsidR="00105AE0">
        <w:rPr>
          <w:iCs/>
        </w:rPr>
        <w:t>)</w:t>
      </w:r>
      <w:r>
        <w:t>, include halving its environmental footprint and doubling its community investment by 2030 as well as achi</w:t>
      </w:r>
      <w:r w:rsidR="00105EB9">
        <w:t>eving net zero emissions by 2030</w:t>
      </w:r>
      <w:r>
        <w:t xml:space="preserve"> (</w:t>
      </w:r>
      <w:r w:rsidR="00A267BC" w:rsidRPr="003C2872">
        <w:rPr>
          <w:iCs/>
          <w:lang w:val="en-US"/>
        </w:rPr>
        <w:t>Hilton ESG</w:t>
      </w:r>
      <w:r w:rsidR="00A267BC">
        <w:rPr>
          <w:iCs/>
          <w:lang w:val="en-US"/>
        </w:rPr>
        <w:t xml:space="preserve">, </w:t>
      </w:r>
      <w:r w:rsidR="00A267BC" w:rsidRPr="003C2872">
        <w:rPr>
          <w:iCs/>
          <w:lang w:val="en-US"/>
        </w:rPr>
        <w:t>2024</w:t>
      </w:r>
      <w:r>
        <w:t>). Such ambitious environmental goals demonstrate a long-term str</w:t>
      </w:r>
      <w:r w:rsidR="00BD6A17">
        <w:t>ategic focus on sustainability</w:t>
      </w:r>
      <w:r w:rsidR="001A171C">
        <w:t xml:space="preserve">. </w:t>
      </w:r>
      <w:r>
        <w:t>Hilton's goals are interconnected and mutually reinforcing. For example, community investment aligns with its purpose of being the most hospitable company, helping build strong, resilient communities that indirectly support its business through</w:t>
      </w:r>
      <w:r w:rsidR="00862842">
        <w:t xml:space="preserve"> loyal customers and employees</w:t>
      </w:r>
      <w:r>
        <w:t xml:space="preserve">. Environmental initiatives concurrently reduce costs through energy efficiencies while strengthening the brand's positioning as a sustainability leader, </w:t>
      </w:r>
      <w:r w:rsidR="009A068A">
        <w:t>attracting conscious customers.</w:t>
      </w:r>
    </w:p>
    <w:p w14:paraId="67F64024" w14:textId="77777777" w:rsidR="0016528A" w:rsidRDefault="001E5E78" w:rsidP="00F75F8F">
      <w:pPr>
        <w:spacing w:after="0"/>
        <w:ind w:firstLine="720"/>
      </w:pPr>
      <w:r>
        <w:t>Goal-setting processes involve inputs from varying stakeholder groups including investors, employees and partners through mechanisms like an annual materiality assessment, and support creating a shared value approach (</w:t>
      </w:r>
      <w:r w:rsidR="00EB7C21" w:rsidRPr="00C32377">
        <w:t xml:space="preserve">Guix </w:t>
      </w:r>
      <w:r w:rsidR="009D4D9F">
        <w:t>and</w:t>
      </w:r>
      <w:r w:rsidR="00EB7C21" w:rsidRPr="00C32377">
        <w:t xml:space="preserve"> Font, 2020</w:t>
      </w:r>
      <w:r>
        <w:t>). Regular tracking and reporting on non-financial goals through its ESG report enhances t</w:t>
      </w:r>
      <w:r w:rsidR="00D10314">
        <w:t>ransparency and accountability</w:t>
      </w:r>
      <w:r>
        <w:t>. Ultimately, Hilton's monetary and non-monetary goals mutually support long-term value creation for all stakeholders, by its mission and strat</w:t>
      </w:r>
      <w:r w:rsidR="00B366B7">
        <w:t>egic focus (Freeman et al., 2018</w:t>
      </w:r>
      <w:r>
        <w:t>).</w:t>
      </w:r>
    </w:p>
    <w:p w14:paraId="6D079F6F" w14:textId="77777777" w:rsidR="0016528A" w:rsidRDefault="0016528A" w:rsidP="00F75F8F">
      <w:pPr>
        <w:spacing w:after="0"/>
      </w:pPr>
    </w:p>
    <w:p w14:paraId="587C56EA" w14:textId="77777777" w:rsidR="0016528A" w:rsidRDefault="001E5E78" w:rsidP="00F75F8F">
      <w:pPr>
        <w:pStyle w:val="Heading2"/>
        <w:spacing w:after="0"/>
      </w:pPr>
      <w:bookmarkStart w:id="5" w:name="_Toc168004016"/>
      <w:r>
        <w:t>2.4. Change Initiatives at Hilton</w:t>
      </w:r>
      <w:bookmarkEnd w:id="5"/>
    </w:p>
    <w:p w14:paraId="351F36EF" w14:textId="77777777" w:rsidR="00640861" w:rsidRDefault="001E5E78" w:rsidP="00F75F8F">
      <w:pPr>
        <w:spacing w:after="0"/>
        <w:ind w:firstLine="720"/>
      </w:pPr>
      <w:r>
        <w:t xml:space="preserve">Over the past decade, Hilton has undertaken several large-scale change initiatives to adapt to shifts in consumer demand and technological advances. </w:t>
      </w:r>
    </w:p>
    <w:p w14:paraId="098B4632" w14:textId="77777777" w:rsidR="000A1526" w:rsidRDefault="001E5E78" w:rsidP="000A1526">
      <w:pPr>
        <w:keepNext/>
        <w:spacing w:after="0"/>
        <w:jc w:val="center"/>
      </w:pPr>
      <w:r>
        <w:rPr>
          <w:noProof/>
          <w:lang w:val="en-US"/>
        </w:rPr>
        <w:lastRenderedPageBreak/>
        <w:drawing>
          <wp:inline distT="0" distB="0" distL="0" distR="0" wp14:anchorId="7FF8865E" wp14:editId="7C47C09A">
            <wp:extent cx="2544528" cy="2544528"/>
            <wp:effectExtent l="0" t="0" r="8255" b="8255"/>
            <wp:docPr id="1" name="Picture 1" descr="8-Step Change Model Template | Kotter's 8 Step Change Model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8-Step Change Model Template | Kotter's 8 Step Change Model Templat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47576" cy="2547576"/>
                    </a:xfrm>
                    <a:prstGeom prst="rect">
                      <a:avLst/>
                    </a:prstGeom>
                    <a:noFill/>
                    <a:ln>
                      <a:noFill/>
                    </a:ln>
                  </pic:spPr>
                </pic:pic>
              </a:graphicData>
            </a:graphic>
          </wp:inline>
        </w:drawing>
      </w:r>
    </w:p>
    <w:p w14:paraId="3F1097B3" w14:textId="77777777" w:rsidR="00640861" w:rsidRDefault="001E5E78" w:rsidP="000A1526">
      <w:pPr>
        <w:pStyle w:val="Caption"/>
      </w:pPr>
      <w:r>
        <w:t xml:space="preserve">Figure </w:t>
      </w:r>
      <w:r w:rsidR="00291D0D">
        <w:fldChar w:fldCharType="begin"/>
      </w:r>
      <w:r w:rsidR="00291D0D">
        <w:instrText xml:space="preserve"> SEQ Figure \* ARABIC </w:instrText>
      </w:r>
      <w:r w:rsidR="00291D0D">
        <w:fldChar w:fldCharType="separate"/>
      </w:r>
      <w:r>
        <w:rPr>
          <w:noProof/>
        </w:rPr>
        <w:t>2</w:t>
      </w:r>
      <w:r w:rsidR="00291D0D">
        <w:rPr>
          <w:noProof/>
        </w:rPr>
        <w:fldChar w:fldCharType="end"/>
      </w:r>
      <w:r>
        <w:t xml:space="preserve">: </w:t>
      </w:r>
      <w:r w:rsidRPr="003D0DBC">
        <w:rPr>
          <w:noProof/>
        </w:rPr>
        <w:t>Kotter 8-Step Model (Source: Author)</w:t>
      </w:r>
    </w:p>
    <w:p w14:paraId="7A9875F5" w14:textId="77777777" w:rsidR="0016528A" w:rsidRDefault="001E5E78" w:rsidP="00F75F8F">
      <w:pPr>
        <w:spacing w:after="0"/>
        <w:ind w:firstLine="720"/>
      </w:pPr>
      <w:r>
        <w:t>In line with John Kotter's renowned 8-step process model for leading change (</w:t>
      </w:r>
      <w:r w:rsidR="009B5C6E" w:rsidRPr="00A13181">
        <w:rPr>
          <w:lang w:val="en-US"/>
        </w:rPr>
        <w:t>Bedard, 2023</w:t>
      </w:r>
      <w:r>
        <w:t xml:space="preserve">), Hilton first established a sense of urgency by </w:t>
      </w:r>
      <w:r w:rsidR="003507B9">
        <w:t>analysing</w:t>
      </w:r>
      <w:r>
        <w:t xml:space="preserve"> internal reports and competitor benchmarking. These reports noted signs of weakness compared to competitors on technological offerings and the need to strengthen th</w:t>
      </w:r>
      <w:r w:rsidR="00E70CFD">
        <w:t>e guest experience (Hilton, 2024</w:t>
      </w:r>
      <w:r>
        <w:t>), fulfilling the first step of Kotter's model to "increase urgency".</w:t>
      </w:r>
    </w:p>
    <w:p w14:paraId="45F2203B" w14:textId="77777777" w:rsidR="0016528A" w:rsidRDefault="001E5E78" w:rsidP="00F75F8F">
      <w:pPr>
        <w:spacing w:after="0"/>
        <w:ind w:firstLine="720"/>
      </w:pPr>
      <w:r>
        <w:t xml:space="preserve">To address this, a guiding team was formed consisting of C-suite executives and division </w:t>
      </w:r>
      <w:r w:rsidR="00D310C6">
        <w:t xml:space="preserve">heads tasked with devising the </w:t>
      </w:r>
      <w:r>
        <w:t>Hilton 2020 Trans</w:t>
      </w:r>
      <w:r w:rsidR="00D310C6">
        <w:t>formation Plan</w:t>
      </w:r>
      <w:r>
        <w:t xml:space="preserve"> focusing on digitally innovating and redesigning processes to enhance the guest experience (</w:t>
      </w:r>
      <w:r w:rsidR="00C15AA9" w:rsidRPr="00C35157">
        <w:rPr>
          <w:lang w:val="en-US"/>
        </w:rPr>
        <w:t>Stories From Hilton</w:t>
      </w:r>
      <w:r w:rsidR="00C15AA9">
        <w:rPr>
          <w:lang w:val="en-US"/>
        </w:rPr>
        <w:t xml:space="preserve">, </w:t>
      </w:r>
      <w:r w:rsidR="00C15AA9" w:rsidRPr="009A06FC">
        <w:rPr>
          <w:lang w:val="en-US"/>
        </w:rPr>
        <w:t>2023</w:t>
      </w:r>
      <w:r>
        <w:t xml:space="preserve">). This aligns with Kotter's second step of building </w:t>
      </w:r>
      <w:r w:rsidR="00653319">
        <w:t>a "powerful guiding coalition"</w:t>
      </w:r>
      <w:r>
        <w:t xml:space="preserve">. The coalition developed a clear vision and strategy through initiatives like the relaunch of the Hilton </w:t>
      </w:r>
      <w:r w:rsidR="008E7FC6">
        <w:t>Honours</w:t>
      </w:r>
      <w:r>
        <w:t xml:space="preserve"> loyalty program in 2015</w:t>
      </w:r>
      <w:r w:rsidR="00197266">
        <w:t xml:space="preserve"> (</w:t>
      </w:r>
      <w:r w:rsidR="00197266" w:rsidRPr="008E7FC6">
        <w:t xml:space="preserve">de Boer </w:t>
      </w:r>
      <w:r w:rsidR="009D4D9F">
        <w:t>and</w:t>
      </w:r>
      <w:r w:rsidR="00197266" w:rsidRPr="008E7FC6">
        <w:t xml:space="preserve"> de Boer, 2018</w:t>
      </w:r>
      <w:r w:rsidR="00197266">
        <w:t>)</w:t>
      </w:r>
      <w:r>
        <w:t>. This provided a unified platform across all brands with an improved mobile app and personali</w:t>
      </w:r>
      <w:r w:rsidR="00334A30">
        <w:t>s</w:t>
      </w:r>
      <w:r>
        <w:t>ed offerings (Hilton, 2019), demonstrating the third step of developing a suitable "change vision" (Kotter, 1996).</w:t>
      </w:r>
    </w:p>
    <w:p w14:paraId="74CB4462" w14:textId="77777777" w:rsidR="0016528A" w:rsidRDefault="001E5E78" w:rsidP="00F75F8F">
      <w:pPr>
        <w:spacing w:after="0"/>
        <w:ind w:firstLine="720"/>
      </w:pPr>
      <w:r>
        <w:t>To communicate this vision and empower broad-based action, Hilton appointed dedic</w:t>
      </w:r>
      <w:r w:rsidR="00DA776A">
        <w:t>ated brand experience officers</w:t>
      </w:r>
      <w:r>
        <w:t xml:space="preserve"> while also investing $500 million annually in digital tools and training for the associates (</w:t>
      </w:r>
      <w:r w:rsidR="00590A59" w:rsidRPr="00DA776A">
        <w:t xml:space="preserve">Hughes </w:t>
      </w:r>
      <w:r w:rsidR="009D4D9F">
        <w:t>and</w:t>
      </w:r>
      <w:r w:rsidR="00590A59" w:rsidRPr="00DA776A">
        <w:t xml:space="preserve"> Christensen, 2021</w:t>
      </w:r>
      <w:r>
        <w:t>). This supported large-scale implementation by harnessing associates at all level</w:t>
      </w:r>
      <w:r w:rsidR="00F269D4">
        <w:t>s, as the fourth step outlines</w:t>
      </w:r>
      <w:r>
        <w:t>. Short-term wins were achieved relatively quickly, including increased direct bookings and repeat visits that generat</w:t>
      </w:r>
      <w:r w:rsidR="009261CC">
        <w:t>ed higher revenues (Hilton, 2023</w:t>
      </w:r>
      <w:r>
        <w:t>). These victories helped sustain enthusiasm and momentum, as recommended in the fifth step of "consolidating improvements"</w:t>
      </w:r>
      <w:r w:rsidR="009261CC">
        <w:t>.</w:t>
      </w:r>
    </w:p>
    <w:p w14:paraId="350B5259" w14:textId="77777777" w:rsidR="0016528A" w:rsidRDefault="001E5E78" w:rsidP="00F75F8F">
      <w:pPr>
        <w:spacing w:after="0"/>
        <w:ind w:firstLine="720"/>
      </w:pPr>
      <w:r>
        <w:lastRenderedPageBreak/>
        <w:t>Continued momentum was fostere</w:t>
      </w:r>
      <w:r w:rsidR="005E0F9A">
        <w:t>d through innovations like the Hilton Connect</w:t>
      </w:r>
      <w:r>
        <w:t xml:space="preserve"> launch, which leveraged IoT devices to integrate enhanced room amenities and enable concierge services through guests' devices (</w:t>
      </w:r>
      <w:r w:rsidR="006B692A" w:rsidRPr="005E0F9A">
        <w:t xml:space="preserve">Perepelytsia </w:t>
      </w:r>
      <w:r w:rsidR="009D4D9F">
        <w:t>and</w:t>
      </w:r>
      <w:r w:rsidR="006B692A" w:rsidRPr="005E0F9A">
        <w:t xml:space="preserve"> Yurchenko, 2019</w:t>
      </w:r>
      <w:r>
        <w:t>). Pilot hotels demonstrated improved s</w:t>
      </w:r>
      <w:r w:rsidR="00E734FB">
        <w:t>ervice levels and satisfaction</w:t>
      </w:r>
      <w:r>
        <w:t>, representing success in the sixth step of generatin</w:t>
      </w:r>
      <w:r w:rsidR="00E12F8D">
        <w:t>g additional "short-term wins"</w:t>
      </w:r>
      <w:r>
        <w:t>.</w:t>
      </w:r>
      <w:r w:rsidR="003507B9">
        <w:t xml:space="preserve"> </w:t>
      </w:r>
      <w:r>
        <w:t>More recently, initiatives have focused on addressing challenges from the COVID-19 pandemic through programs improving cleanliness, flexibility and vir</w:t>
      </w:r>
      <w:r w:rsidR="0006333F">
        <w:t>tual event options (Hilton, 2023</w:t>
      </w:r>
      <w:r>
        <w:t>). Ongoing evaluations also aimed to cement adaptations as an "ongoing change system", fu</w:t>
      </w:r>
      <w:r w:rsidR="0006333F">
        <w:t>lfilling Kotter's seventh step</w:t>
      </w:r>
      <w:r>
        <w:t>. Performance metrics evidence the positive impact, with Hilton surpassing pre-pandemic occupancy rates as of 2022 (Hilton, 20</w:t>
      </w:r>
      <w:r w:rsidR="006C128B">
        <w:t>3</w:t>
      </w:r>
      <w:r>
        <w:t>2). This affirms Kotter's final step of anchoring innovations in the organi</w:t>
      </w:r>
      <w:r w:rsidR="00334A30">
        <w:t>s</w:t>
      </w:r>
      <w:r>
        <w:t>ational culture through t</w:t>
      </w:r>
      <w:r w:rsidR="00CF5B01">
        <w:t>angible results.</w:t>
      </w:r>
    </w:p>
    <w:p w14:paraId="0E62E5CB" w14:textId="77777777" w:rsidR="0016528A" w:rsidRDefault="0016528A" w:rsidP="00F75F8F">
      <w:pPr>
        <w:spacing w:after="0"/>
      </w:pPr>
    </w:p>
    <w:p w14:paraId="03165ED6" w14:textId="77777777" w:rsidR="0016528A" w:rsidRDefault="001E5E78" w:rsidP="00F75F8F">
      <w:pPr>
        <w:pStyle w:val="Heading2"/>
        <w:spacing w:after="0"/>
      </w:pPr>
      <w:bookmarkStart w:id="6" w:name="_Toc168004017"/>
      <w:r>
        <w:t>2.5</w:t>
      </w:r>
      <w:r w:rsidR="00CF5B01">
        <w:t>. Strategic Direction and Business Performance</w:t>
      </w:r>
      <w:bookmarkEnd w:id="6"/>
    </w:p>
    <w:p w14:paraId="0C40F32A" w14:textId="77777777" w:rsidR="00215ED8" w:rsidRDefault="001E5E78" w:rsidP="00F75F8F">
      <w:pPr>
        <w:spacing w:after="0"/>
        <w:ind w:firstLine="720"/>
      </w:pPr>
      <w:r w:rsidRPr="00215ED8">
        <w:t>Hilton's current strategic direction focuses on innovation, sustainability and community partnerships to strengthen its positioning as a global industry leader (Hilton, 2023). Its 'Travel with Purpose' framework acts as an overarching environmental, social and governance (ESG) strategy to establish a competitive advantage through responsible growth</w:t>
      </w:r>
      <w:r w:rsidR="00F62D54">
        <w:t xml:space="preserve"> (</w:t>
      </w:r>
      <w:r w:rsidR="00F62D54" w:rsidRPr="000136C0">
        <w:t xml:space="preserve">Tark </w:t>
      </w:r>
      <w:r w:rsidR="009D4D9F">
        <w:t>and</w:t>
      </w:r>
      <w:r w:rsidR="00F62D54" w:rsidRPr="000136C0">
        <w:t xml:space="preserve"> Oh, 2021</w:t>
      </w:r>
      <w:r w:rsidR="00F62D54">
        <w:t>)</w:t>
      </w:r>
      <w:r w:rsidRPr="00215ED8">
        <w:t>.</w:t>
      </w:r>
    </w:p>
    <w:p w14:paraId="32BD474F" w14:textId="77777777" w:rsidR="000570F8" w:rsidRPr="000570F8" w:rsidRDefault="001E5E78" w:rsidP="00706D9F">
      <w:pPr>
        <w:pStyle w:val="Caption"/>
      </w:pPr>
      <w:r w:rsidRPr="000570F8">
        <w:t xml:space="preserve">Table </w:t>
      </w:r>
      <w:r w:rsidR="00291D0D">
        <w:fldChar w:fldCharType="begin"/>
      </w:r>
      <w:r w:rsidR="00291D0D">
        <w:instrText xml:space="preserve"> SEQ Table \* ARABIC </w:instrText>
      </w:r>
      <w:r w:rsidR="00291D0D">
        <w:fldChar w:fldCharType="separate"/>
      </w:r>
      <w:r w:rsidR="00E73BD3">
        <w:rPr>
          <w:noProof/>
        </w:rPr>
        <w:t>1</w:t>
      </w:r>
      <w:r w:rsidR="00291D0D">
        <w:rPr>
          <w:noProof/>
        </w:rPr>
        <w:fldChar w:fldCharType="end"/>
      </w:r>
      <w:r w:rsidRPr="000570F8">
        <w:t>: SWOT Analysis Table (Source: Author)</w:t>
      </w:r>
    </w:p>
    <w:tbl>
      <w:tblPr>
        <w:tblStyle w:val="TableGrid"/>
        <w:tblW w:w="0" w:type="auto"/>
        <w:tblLook w:val="04A0" w:firstRow="1" w:lastRow="0" w:firstColumn="1" w:lastColumn="0" w:noHBand="0" w:noVBand="1"/>
      </w:tblPr>
      <w:tblGrid>
        <w:gridCol w:w="4675"/>
        <w:gridCol w:w="4675"/>
      </w:tblGrid>
      <w:tr w:rsidR="003A5BF7" w14:paraId="723997B5" w14:textId="77777777" w:rsidTr="00D22633">
        <w:tc>
          <w:tcPr>
            <w:tcW w:w="4675" w:type="dxa"/>
            <w:shd w:val="clear" w:color="auto" w:fill="70AD47" w:themeFill="accent6"/>
            <w:hideMark/>
          </w:tcPr>
          <w:p w14:paraId="22658340" w14:textId="77777777" w:rsidR="002B4632" w:rsidRPr="002B4632" w:rsidRDefault="001E5E78" w:rsidP="00F75F8F">
            <w:pPr>
              <w:jc w:val="center"/>
              <w:rPr>
                <w:b/>
                <w:bCs/>
                <w:lang w:val="en-US"/>
              </w:rPr>
            </w:pPr>
            <w:r w:rsidRPr="002B4632">
              <w:rPr>
                <w:b/>
                <w:bCs/>
                <w:lang w:val="en-US"/>
              </w:rPr>
              <w:t>STRENGTHS</w:t>
            </w:r>
          </w:p>
        </w:tc>
        <w:tc>
          <w:tcPr>
            <w:tcW w:w="4675" w:type="dxa"/>
            <w:shd w:val="clear" w:color="auto" w:fill="9CC2E5" w:themeFill="accent1" w:themeFillTint="99"/>
            <w:hideMark/>
          </w:tcPr>
          <w:p w14:paraId="2B68E583" w14:textId="77777777" w:rsidR="002B4632" w:rsidRPr="002B4632" w:rsidRDefault="001E5E78" w:rsidP="00F75F8F">
            <w:pPr>
              <w:jc w:val="center"/>
              <w:rPr>
                <w:b/>
                <w:bCs/>
                <w:lang w:val="en-US"/>
              </w:rPr>
            </w:pPr>
            <w:r w:rsidRPr="002B4632">
              <w:rPr>
                <w:b/>
                <w:bCs/>
                <w:lang w:val="en-US"/>
              </w:rPr>
              <w:t>WEAKNESSES</w:t>
            </w:r>
          </w:p>
        </w:tc>
      </w:tr>
      <w:tr w:rsidR="003A5BF7" w14:paraId="16C2599F" w14:textId="77777777" w:rsidTr="00D22633">
        <w:tc>
          <w:tcPr>
            <w:tcW w:w="4675" w:type="dxa"/>
            <w:hideMark/>
          </w:tcPr>
          <w:p w14:paraId="267DFD65" w14:textId="77777777" w:rsidR="002B4632" w:rsidRPr="002B4632" w:rsidRDefault="001E5E78" w:rsidP="00F75F8F">
            <w:pPr>
              <w:rPr>
                <w:lang w:val="en-US"/>
              </w:rPr>
            </w:pPr>
            <w:r w:rsidRPr="002B4632">
              <w:rPr>
                <w:lang w:val="en-US"/>
              </w:rPr>
              <w:t>Global workforce, management talent</w:t>
            </w:r>
          </w:p>
        </w:tc>
        <w:tc>
          <w:tcPr>
            <w:tcW w:w="4675" w:type="dxa"/>
            <w:hideMark/>
          </w:tcPr>
          <w:p w14:paraId="4A6EC683" w14:textId="77777777" w:rsidR="002B4632" w:rsidRPr="002B4632" w:rsidRDefault="001E5E78" w:rsidP="00F75F8F">
            <w:pPr>
              <w:rPr>
                <w:lang w:val="en-US"/>
              </w:rPr>
            </w:pPr>
            <w:r w:rsidRPr="002B4632">
              <w:rPr>
                <w:lang w:val="en-US"/>
              </w:rPr>
              <w:t>Talent shortages impacting service</w:t>
            </w:r>
          </w:p>
        </w:tc>
      </w:tr>
      <w:tr w:rsidR="003A5BF7" w14:paraId="001B1FF8" w14:textId="77777777" w:rsidTr="00D22633">
        <w:tc>
          <w:tcPr>
            <w:tcW w:w="4675" w:type="dxa"/>
            <w:hideMark/>
          </w:tcPr>
          <w:p w14:paraId="38F4EDEC" w14:textId="77777777" w:rsidR="002B4632" w:rsidRPr="002B4632" w:rsidRDefault="001E5E78" w:rsidP="00F75F8F">
            <w:pPr>
              <w:rPr>
                <w:lang w:val="en-US"/>
              </w:rPr>
            </w:pPr>
            <w:r w:rsidRPr="002B4632">
              <w:rPr>
                <w:lang w:val="en-US"/>
              </w:rPr>
              <w:t>Strong cash flows from scale and loyalty program membership</w:t>
            </w:r>
          </w:p>
        </w:tc>
        <w:tc>
          <w:tcPr>
            <w:tcW w:w="4675" w:type="dxa"/>
            <w:hideMark/>
          </w:tcPr>
          <w:p w14:paraId="27584350" w14:textId="77777777" w:rsidR="002B4632" w:rsidRPr="002B4632" w:rsidRDefault="001E5E78" w:rsidP="00F75F8F">
            <w:pPr>
              <w:rPr>
                <w:lang w:val="en-US"/>
              </w:rPr>
            </w:pPr>
            <w:r w:rsidRPr="002B4632">
              <w:rPr>
                <w:lang w:val="en-US"/>
              </w:rPr>
              <w:t>Rising operating costs due to inflation</w:t>
            </w:r>
          </w:p>
        </w:tc>
      </w:tr>
      <w:tr w:rsidR="003A5BF7" w14:paraId="568461C8" w14:textId="77777777" w:rsidTr="00D22633">
        <w:tc>
          <w:tcPr>
            <w:tcW w:w="4675" w:type="dxa"/>
            <w:hideMark/>
          </w:tcPr>
          <w:p w14:paraId="2BA620A5" w14:textId="77777777" w:rsidR="002B4632" w:rsidRPr="002B4632" w:rsidRDefault="001E5E78" w:rsidP="00F75F8F">
            <w:pPr>
              <w:rPr>
                <w:lang w:val="en-US"/>
              </w:rPr>
            </w:pPr>
            <w:r w:rsidRPr="002B4632">
              <w:rPr>
                <w:lang w:val="en-US"/>
              </w:rPr>
              <w:t>Global portfolio of 6,800+ properties</w:t>
            </w:r>
          </w:p>
        </w:tc>
        <w:tc>
          <w:tcPr>
            <w:tcW w:w="4675" w:type="dxa"/>
            <w:hideMark/>
          </w:tcPr>
          <w:p w14:paraId="1F3F3296" w14:textId="77777777" w:rsidR="002B4632" w:rsidRPr="002B4632" w:rsidRDefault="001E5E78" w:rsidP="00F75F8F">
            <w:pPr>
              <w:rPr>
                <w:lang w:val="en-US"/>
              </w:rPr>
            </w:pPr>
            <w:r w:rsidRPr="002B4632">
              <w:rPr>
                <w:lang w:val="en-US"/>
              </w:rPr>
              <w:t>Ageing assets requiring reinvestment</w:t>
            </w:r>
          </w:p>
        </w:tc>
      </w:tr>
      <w:tr w:rsidR="003A5BF7" w14:paraId="3CF1BE02" w14:textId="77777777" w:rsidTr="00D22633">
        <w:tc>
          <w:tcPr>
            <w:tcW w:w="4675" w:type="dxa"/>
            <w:hideMark/>
          </w:tcPr>
          <w:p w14:paraId="2FA825D3" w14:textId="77777777" w:rsidR="002B4632" w:rsidRPr="002B4632" w:rsidRDefault="001E5E78" w:rsidP="00F75F8F">
            <w:pPr>
              <w:rPr>
                <w:lang w:val="en-US"/>
              </w:rPr>
            </w:pPr>
            <w:r w:rsidRPr="002B4632">
              <w:rPr>
                <w:lang w:val="en-US"/>
              </w:rPr>
              <w:t>Established brand and operational systems</w:t>
            </w:r>
          </w:p>
        </w:tc>
        <w:tc>
          <w:tcPr>
            <w:tcW w:w="4675" w:type="dxa"/>
            <w:hideMark/>
          </w:tcPr>
          <w:p w14:paraId="60BFE645" w14:textId="77777777" w:rsidR="002B4632" w:rsidRPr="002B4632" w:rsidRDefault="001E5E78" w:rsidP="00F75F8F">
            <w:pPr>
              <w:rPr>
                <w:lang w:val="en-US"/>
              </w:rPr>
            </w:pPr>
            <w:r w:rsidRPr="002B4632">
              <w:rPr>
                <w:lang w:val="en-US"/>
              </w:rPr>
              <w:t>Dated technology in some areas</w:t>
            </w:r>
          </w:p>
        </w:tc>
      </w:tr>
      <w:tr w:rsidR="003A5BF7" w14:paraId="75AF73B2" w14:textId="77777777" w:rsidTr="00D22633">
        <w:tc>
          <w:tcPr>
            <w:tcW w:w="4675" w:type="dxa"/>
            <w:shd w:val="clear" w:color="auto" w:fill="FFD966" w:themeFill="accent4" w:themeFillTint="99"/>
          </w:tcPr>
          <w:p w14:paraId="21131D82" w14:textId="77777777" w:rsidR="002B4632" w:rsidRPr="002B4632" w:rsidRDefault="001E5E78" w:rsidP="00F75F8F">
            <w:pPr>
              <w:jc w:val="center"/>
              <w:rPr>
                <w:b/>
                <w:bCs/>
                <w:lang w:val="en-US"/>
              </w:rPr>
            </w:pPr>
            <w:r w:rsidRPr="002B4632">
              <w:rPr>
                <w:b/>
                <w:bCs/>
                <w:lang w:val="en-US"/>
              </w:rPr>
              <w:t>OPPORTUNITIES</w:t>
            </w:r>
          </w:p>
        </w:tc>
        <w:tc>
          <w:tcPr>
            <w:tcW w:w="4675" w:type="dxa"/>
            <w:shd w:val="clear" w:color="auto" w:fill="F4B083" w:themeFill="accent2" w:themeFillTint="99"/>
          </w:tcPr>
          <w:p w14:paraId="755FC257" w14:textId="77777777" w:rsidR="002B4632" w:rsidRPr="002B4632" w:rsidRDefault="001E5E78" w:rsidP="00F75F8F">
            <w:pPr>
              <w:jc w:val="center"/>
              <w:rPr>
                <w:b/>
                <w:bCs/>
                <w:lang w:val="en-US"/>
              </w:rPr>
            </w:pPr>
            <w:r w:rsidRPr="002B4632">
              <w:rPr>
                <w:b/>
                <w:bCs/>
                <w:lang w:val="en-US"/>
              </w:rPr>
              <w:t>THREATS</w:t>
            </w:r>
          </w:p>
        </w:tc>
      </w:tr>
      <w:tr w:rsidR="003A5BF7" w14:paraId="541D0AEB" w14:textId="77777777" w:rsidTr="00D22633">
        <w:tc>
          <w:tcPr>
            <w:tcW w:w="4675" w:type="dxa"/>
          </w:tcPr>
          <w:p w14:paraId="66F669AD" w14:textId="77777777" w:rsidR="002B4632" w:rsidRPr="002B4632" w:rsidRDefault="001E5E78" w:rsidP="00F75F8F">
            <w:pPr>
              <w:rPr>
                <w:lang w:val="en-US"/>
              </w:rPr>
            </w:pPr>
            <w:r w:rsidRPr="002B4632">
              <w:rPr>
                <w:lang w:val="en-US"/>
              </w:rPr>
              <w:t>Expanding luxury/lifestyle segments, experience economy</w:t>
            </w:r>
          </w:p>
        </w:tc>
        <w:tc>
          <w:tcPr>
            <w:tcW w:w="4675" w:type="dxa"/>
          </w:tcPr>
          <w:p w14:paraId="1640EEFD" w14:textId="77777777" w:rsidR="002B4632" w:rsidRPr="002B4632" w:rsidRDefault="001E5E78" w:rsidP="00F75F8F">
            <w:pPr>
              <w:rPr>
                <w:lang w:val="en-US"/>
              </w:rPr>
            </w:pPr>
            <w:r w:rsidRPr="002B4632">
              <w:rPr>
                <w:lang w:val="en-US"/>
              </w:rPr>
              <w:t>Non-traditional accommodation competition</w:t>
            </w:r>
          </w:p>
        </w:tc>
      </w:tr>
      <w:tr w:rsidR="003A5BF7" w14:paraId="5BCD8D9F" w14:textId="77777777" w:rsidTr="00D22633">
        <w:tc>
          <w:tcPr>
            <w:tcW w:w="4675" w:type="dxa"/>
          </w:tcPr>
          <w:p w14:paraId="7938BD3F" w14:textId="77777777" w:rsidR="002B4632" w:rsidRPr="002B4632" w:rsidRDefault="001E5E78" w:rsidP="00F75F8F">
            <w:pPr>
              <w:rPr>
                <w:lang w:val="en-US"/>
              </w:rPr>
            </w:pPr>
            <w:r w:rsidRPr="002B4632">
              <w:rPr>
                <w:lang w:val="en-US"/>
              </w:rPr>
              <w:t>Diversify through partnerships</w:t>
            </w:r>
          </w:p>
        </w:tc>
        <w:tc>
          <w:tcPr>
            <w:tcW w:w="4675" w:type="dxa"/>
          </w:tcPr>
          <w:p w14:paraId="10C11EF6" w14:textId="77777777" w:rsidR="002B4632" w:rsidRPr="002B4632" w:rsidRDefault="001E5E78" w:rsidP="00F75F8F">
            <w:pPr>
              <w:rPr>
                <w:lang w:val="en-US"/>
              </w:rPr>
            </w:pPr>
            <w:r w:rsidRPr="002B4632">
              <w:rPr>
                <w:lang w:val="en-US"/>
              </w:rPr>
              <w:t>Aggressive strategies from Marriott, IHG etc.</w:t>
            </w:r>
          </w:p>
        </w:tc>
      </w:tr>
      <w:tr w:rsidR="003A5BF7" w14:paraId="24B08B89" w14:textId="77777777" w:rsidTr="00D22633">
        <w:tc>
          <w:tcPr>
            <w:tcW w:w="4675" w:type="dxa"/>
          </w:tcPr>
          <w:p w14:paraId="77BEE6D3" w14:textId="77777777" w:rsidR="002B4632" w:rsidRPr="002B4632" w:rsidRDefault="001E5E78" w:rsidP="00F75F8F">
            <w:pPr>
              <w:rPr>
                <w:lang w:val="en-US"/>
              </w:rPr>
            </w:pPr>
            <w:r w:rsidRPr="002B4632">
              <w:rPr>
                <w:lang w:val="en-US"/>
              </w:rPr>
              <w:t>Innovate guest experience through IoT, digital tools</w:t>
            </w:r>
          </w:p>
        </w:tc>
        <w:tc>
          <w:tcPr>
            <w:tcW w:w="4675" w:type="dxa"/>
          </w:tcPr>
          <w:p w14:paraId="71AA133A" w14:textId="77777777" w:rsidR="002B4632" w:rsidRPr="002B4632" w:rsidRDefault="001E5E78" w:rsidP="00F75F8F">
            <w:pPr>
              <w:rPr>
                <w:lang w:val="en-US"/>
              </w:rPr>
            </w:pPr>
            <w:r w:rsidRPr="002B4632">
              <w:rPr>
                <w:lang w:val="en-US"/>
              </w:rPr>
              <w:t>Economic downturns hurting demand</w:t>
            </w:r>
          </w:p>
        </w:tc>
      </w:tr>
      <w:tr w:rsidR="003A5BF7" w14:paraId="0BE20C64" w14:textId="77777777" w:rsidTr="00D22633">
        <w:tc>
          <w:tcPr>
            <w:tcW w:w="4675" w:type="dxa"/>
          </w:tcPr>
          <w:p w14:paraId="23E5DD2A" w14:textId="77777777" w:rsidR="002B4632" w:rsidRPr="002B4632" w:rsidRDefault="001E5E78" w:rsidP="00F75F8F">
            <w:pPr>
              <w:rPr>
                <w:lang w:val="en-US"/>
              </w:rPr>
            </w:pPr>
            <w:r w:rsidRPr="002B4632">
              <w:rPr>
                <w:lang w:val="en-US"/>
              </w:rPr>
              <w:t>Demographic and travel trends supporting growth</w:t>
            </w:r>
          </w:p>
        </w:tc>
        <w:tc>
          <w:tcPr>
            <w:tcW w:w="4675" w:type="dxa"/>
          </w:tcPr>
          <w:p w14:paraId="4462584B" w14:textId="77777777" w:rsidR="002B4632" w:rsidRPr="002B4632" w:rsidRDefault="001E5E78" w:rsidP="00F75F8F">
            <w:pPr>
              <w:rPr>
                <w:lang w:val="en-US"/>
              </w:rPr>
            </w:pPr>
            <w:r w:rsidRPr="002B4632">
              <w:rPr>
                <w:lang w:val="en-US"/>
              </w:rPr>
              <w:t>Regulatory changes raising compliance costs</w:t>
            </w:r>
          </w:p>
        </w:tc>
      </w:tr>
      <w:tr w:rsidR="003A5BF7" w14:paraId="2DC76FCE" w14:textId="77777777" w:rsidTr="00D22633">
        <w:tc>
          <w:tcPr>
            <w:tcW w:w="4675" w:type="dxa"/>
          </w:tcPr>
          <w:p w14:paraId="7A021551" w14:textId="77777777" w:rsidR="002B4632" w:rsidRPr="002B4632" w:rsidRDefault="001E5E78" w:rsidP="00F75F8F">
            <w:pPr>
              <w:rPr>
                <w:lang w:val="en-US"/>
              </w:rPr>
            </w:pPr>
            <w:r w:rsidRPr="002B4632">
              <w:rPr>
                <w:lang w:val="en-US"/>
              </w:rPr>
              <w:lastRenderedPageBreak/>
              <w:t>Sustainability efforts enhance the reputation</w:t>
            </w:r>
          </w:p>
        </w:tc>
        <w:tc>
          <w:tcPr>
            <w:tcW w:w="4675" w:type="dxa"/>
          </w:tcPr>
          <w:p w14:paraId="3CF8BF15" w14:textId="77777777" w:rsidR="002B4632" w:rsidRPr="002B4632" w:rsidRDefault="001E5E78" w:rsidP="00F75F8F">
            <w:pPr>
              <w:rPr>
                <w:lang w:val="en-US"/>
              </w:rPr>
            </w:pPr>
            <w:r w:rsidRPr="002B4632">
              <w:rPr>
                <w:lang w:val="en-US"/>
              </w:rPr>
              <w:t>Changing customer expectations</w:t>
            </w:r>
          </w:p>
        </w:tc>
      </w:tr>
    </w:tbl>
    <w:p w14:paraId="5719103F" w14:textId="77777777" w:rsidR="002B4632" w:rsidRDefault="002B4632" w:rsidP="00F75F8F">
      <w:pPr>
        <w:spacing w:after="0"/>
        <w:rPr>
          <w:lang w:val="en-US"/>
        </w:rPr>
      </w:pPr>
    </w:p>
    <w:p w14:paraId="779115A1" w14:textId="77777777" w:rsidR="00685F32" w:rsidRPr="002B4632" w:rsidRDefault="001E5E78" w:rsidP="00F75F8F">
      <w:pPr>
        <w:pStyle w:val="Heading3"/>
        <w:spacing w:after="0"/>
        <w:rPr>
          <w:vanish/>
        </w:rPr>
      </w:pPr>
      <w:bookmarkStart w:id="7" w:name="_Toc168004018"/>
      <w:r>
        <w:t>2.5.1. Strength</w:t>
      </w:r>
      <w:bookmarkEnd w:id="7"/>
    </w:p>
    <w:p w14:paraId="13F7AC0A" w14:textId="77777777" w:rsidR="009B6D9B" w:rsidRDefault="009B6D9B" w:rsidP="00F75F8F">
      <w:pPr>
        <w:spacing w:after="0"/>
      </w:pPr>
    </w:p>
    <w:p w14:paraId="1F8FBA80" w14:textId="77777777" w:rsidR="0016528A" w:rsidRDefault="001E5E78" w:rsidP="00F75F8F">
      <w:pPr>
        <w:spacing w:after="0"/>
        <w:ind w:firstLine="720"/>
      </w:pPr>
      <w:r>
        <w:t>Hilton's key strengths include its global scale with over 6,800 properties worldwide, strong brand recognition, and loyalty program membership o</w:t>
      </w:r>
      <w:r w:rsidR="007875BB">
        <w:t>f over 100 million (Hilton, 2024</w:t>
      </w:r>
      <w:r>
        <w:t xml:space="preserve">). As one of the largest hotel companies, Hilton leverages economies of scale in areas like marketing and supply chain management. With 99 years of experience, the Hilton legacy brand is also highly valued among </w:t>
      </w:r>
      <w:r w:rsidR="00215ED8">
        <w:t>leisure and business travellers.</w:t>
      </w:r>
    </w:p>
    <w:p w14:paraId="67F2832F" w14:textId="77777777" w:rsidR="00685F32" w:rsidRDefault="00685F32" w:rsidP="00F75F8F">
      <w:pPr>
        <w:spacing w:after="0"/>
      </w:pPr>
    </w:p>
    <w:p w14:paraId="5D9F953D" w14:textId="77777777" w:rsidR="00685F32" w:rsidRDefault="001E5E78" w:rsidP="00F75F8F">
      <w:pPr>
        <w:pStyle w:val="Heading3"/>
        <w:spacing w:after="0"/>
      </w:pPr>
      <w:bookmarkStart w:id="8" w:name="_Toc168004019"/>
      <w:r>
        <w:t>2.5.2. Weaknesses</w:t>
      </w:r>
      <w:bookmarkEnd w:id="8"/>
    </w:p>
    <w:p w14:paraId="4E2D25F8" w14:textId="77777777" w:rsidR="0016528A" w:rsidRDefault="001E5E78" w:rsidP="00F75F8F">
      <w:pPr>
        <w:spacing w:after="0"/>
        <w:ind w:firstLine="720"/>
      </w:pPr>
      <w:r>
        <w:t xml:space="preserve">Hilton faces weaknesses such as rising operating costs. Inflationary pressures on </w:t>
      </w:r>
      <w:r w:rsidR="004E2EFF">
        <w:t>labour</w:t>
      </w:r>
      <w:r>
        <w:t>, food and energy have tightened margins industry-wide (</w:t>
      </w:r>
      <w:r w:rsidR="00132F5A" w:rsidRPr="00A365F0">
        <w:t>Zeng, 2021</w:t>
      </w:r>
      <w:r>
        <w:t>). Additionally, an ageing portfolio requires ongoing reinvestment</w:t>
      </w:r>
      <w:r w:rsidR="00E6525F">
        <w:t xml:space="preserve"> to maintain quality standards</w:t>
      </w:r>
      <w:r>
        <w:t>. Talent shortages also impact service levels at certain properties if positions cannot be quickly filled.</w:t>
      </w:r>
    </w:p>
    <w:p w14:paraId="351668A5" w14:textId="77777777" w:rsidR="00621FBE" w:rsidRDefault="00621FBE" w:rsidP="00F75F8F">
      <w:pPr>
        <w:spacing w:after="0"/>
      </w:pPr>
    </w:p>
    <w:p w14:paraId="37B95BB5" w14:textId="77777777" w:rsidR="00621FBE" w:rsidRDefault="001E5E78" w:rsidP="00F75F8F">
      <w:pPr>
        <w:pStyle w:val="Heading3"/>
        <w:spacing w:after="0"/>
      </w:pPr>
      <w:bookmarkStart w:id="9" w:name="_Toc168004020"/>
      <w:r>
        <w:t>2.5.3. Opportunities</w:t>
      </w:r>
      <w:bookmarkEnd w:id="9"/>
    </w:p>
    <w:p w14:paraId="5CFFF975" w14:textId="77777777" w:rsidR="0016528A" w:rsidRDefault="001E5E78" w:rsidP="00F75F8F">
      <w:pPr>
        <w:spacing w:after="0"/>
        <w:ind w:firstLine="720"/>
      </w:pPr>
      <w:r>
        <w:t>Opportunities exist in expanding the luxury and lifestyle segments which are growing faster than the economy (</w:t>
      </w:r>
      <w:r w:rsidR="00354AAF" w:rsidRPr="008764DD">
        <w:t xml:space="preserve">Yeoman </w:t>
      </w:r>
      <w:r w:rsidR="009D4D9F">
        <w:t>and</w:t>
      </w:r>
      <w:r w:rsidR="00354AAF" w:rsidRPr="008764DD">
        <w:t xml:space="preserve"> McMahon-Beattie, 2018</w:t>
      </w:r>
      <w:r>
        <w:t xml:space="preserve">). Hilton is well-positioned to tap into these markets with brands like Conrad and LXR Hotels </w:t>
      </w:r>
      <w:r w:rsidR="009D4D9F">
        <w:t>and</w:t>
      </w:r>
      <w:r>
        <w:t xml:space="preserve"> Resorts. The growing experience economy moreover presents chances to innovate amenities and event offerings. Partnerships with sports leagues and theme parks also diversify revenue streams.</w:t>
      </w:r>
    </w:p>
    <w:p w14:paraId="6311DB03" w14:textId="77777777" w:rsidR="00621FBE" w:rsidRDefault="00621FBE" w:rsidP="00F75F8F">
      <w:pPr>
        <w:spacing w:after="0"/>
        <w:ind w:firstLine="720"/>
      </w:pPr>
    </w:p>
    <w:p w14:paraId="3F0BF64E" w14:textId="77777777" w:rsidR="00621FBE" w:rsidRDefault="001E5E78" w:rsidP="00F75F8F">
      <w:pPr>
        <w:pStyle w:val="Heading3"/>
        <w:spacing w:after="0"/>
      </w:pPr>
      <w:bookmarkStart w:id="10" w:name="_Toc168004021"/>
      <w:r>
        <w:t>2.5.4. Threats</w:t>
      </w:r>
      <w:bookmarkEnd w:id="10"/>
    </w:p>
    <w:p w14:paraId="48F4DD9C" w14:textId="77777777" w:rsidR="0016528A" w:rsidRDefault="001E5E78" w:rsidP="00F75F8F">
      <w:pPr>
        <w:spacing w:after="0"/>
        <w:ind w:firstLine="720"/>
      </w:pPr>
      <w:r>
        <w:t>Threats include non-traditional accommodations like home-sharing grabbing market share due to lower rates and perceived value (</w:t>
      </w:r>
      <w:r w:rsidR="00E60940" w:rsidRPr="00B15953">
        <w:t>Malcheva, 2018</w:t>
      </w:r>
      <w:r>
        <w:t>). Remote work flexibility could curb business travel volumes, a major demand driver. Cybersecurity vulnerabilities and data privacy regulations also pose compliance challenges if not properly addressed. Competitive actions from Marriott, IHG and new digital entrants require continuous monitoring as well.</w:t>
      </w:r>
    </w:p>
    <w:p w14:paraId="74E68A40" w14:textId="77777777" w:rsidR="001B7FDD" w:rsidRDefault="001E5E78" w:rsidP="00F75F8F">
      <w:pPr>
        <w:spacing w:after="0"/>
        <w:ind w:firstLine="720"/>
      </w:pPr>
      <w:r>
        <w:t xml:space="preserve">Leveraging strengths and opportunities while mitigating weaknesses and threats, Hilton is focused on innovating the guest experience through technological upgrades and continuing to boost asset management returns. Prudent capital allocation and a disciplined expansion strategy </w:t>
      </w:r>
      <w:r>
        <w:lastRenderedPageBreak/>
        <w:t>into complementary areas also aim to diversify Hilton's portfolio and market reach over the long term.</w:t>
      </w:r>
    </w:p>
    <w:p w14:paraId="4B52BE9F" w14:textId="77777777" w:rsidR="009F546A" w:rsidRDefault="009F546A" w:rsidP="00F75F8F">
      <w:pPr>
        <w:spacing w:after="0"/>
      </w:pPr>
    </w:p>
    <w:p w14:paraId="4067BFE4" w14:textId="77777777" w:rsidR="00D4660B" w:rsidRDefault="001E5E78" w:rsidP="00F75F8F">
      <w:pPr>
        <w:pStyle w:val="Heading1"/>
        <w:spacing w:after="0"/>
      </w:pPr>
      <w:bookmarkStart w:id="11" w:name="_Toc168004022"/>
      <w:r>
        <w:t>3. Conclusion</w:t>
      </w:r>
      <w:bookmarkEnd w:id="11"/>
    </w:p>
    <w:p w14:paraId="67395768" w14:textId="77777777" w:rsidR="00D4660B" w:rsidRDefault="001E5E78" w:rsidP="00F75F8F">
      <w:pPr>
        <w:spacing w:after="0"/>
        <w:ind w:firstLine="720"/>
      </w:pPr>
      <w:r w:rsidRPr="009D4D9F">
        <w:t>In conclusion, Hilton has adopted a multi-divisional structure, a powerful task environment, and well-defined objectives in financial and non-financial performance measures to become a leading global hospitality company. Organi</w:t>
      </w:r>
      <w:r w:rsidR="0067694A">
        <w:t>s</w:t>
      </w:r>
      <w:r w:rsidRPr="009D4D9F">
        <w:t>ational change management strategies based on Kotter's model have underpinned the transformation of guest experience and competitive differentiation. Recommendations include improving operational efficiency through implementing standard operating procedures and data-driven asset management across different regions. Entering new and developing real estate sectors may help Hilton to tap into new markets. Collaborating with schools may assist in creating specific hospitality courses to overcome talent deficits. Further improvements in the products, talents, and transformation strategy will be critical for maintaining leadership as the industry continues to shift.</w:t>
      </w:r>
    </w:p>
    <w:p w14:paraId="1DDB18DC" w14:textId="77777777" w:rsidR="0026207F" w:rsidRDefault="0026207F" w:rsidP="00F75F8F">
      <w:pPr>
        <w:spacing w:after="0"/>
        <w:ind w:firstLine="720"/>
      </w:pPr>
    </w:p>
    <w:p w14:paraId="79556EDC" w14:textId="77777777" w:rsidR="0026207F" w:rsidRDefault="001E5E78" w:rsidP="00F75F8F">
      <w:pPr>
        <w:spacing w:after="0"/>
        <w:jc w:val="left"/>
      </w:pPr>
      <w:r>
        <w:br w:type="page"/>
      </w:r>
    </w:p>
    <w:p w14:paraId="5D8ADDF0" w14:textId="77777777" w:rsidR="0026207F" w:rsidRDefault="001E5E78" w:rsidP="00F75F8F">
      <w:pPr>
        <w:pStyle w:val="Heading1"/>
        <w:spacing w:after="0"/>
      </w:pPr>
      <w:bookmarkStart w:id="12" w:name="_Toc168004023"/>
      <w:r>
        <w:lastRenderedPageBreak/>
        <w:t>References</w:t>
      </w:r>
      <w:bookmarkEnd w:id="12"/>
    </w:p>
    <w:p w14:paraId="33712F4F" w14:textId="77777777" w:rsidR="00EB2C9E" w:rsidRPr="00F90C05" w:rsidRDefault="001E5E78" w:rsidP="00F75F8F">
      <w:pPr>
        <w:spacing w:after="0"/>
        <w:ind w:left="720" w:hanging="720"/>
        <w:rPr>
          <w:lang w:val="en-US"/>
        </w:rPr>
      </w:pPr>
      <w:r w:rsidRPr="00A13181">
        <w:rPr>
          <w:lang w:val="en-US"/>
        </w:rPr>
        <w:t>Bedard, A. (2023) </w:t>
      </w:r>
      <w:r w:rsidRPr="00A13181">
        <w:rPr>
          <w:i/>
          <w:iCs/>
          <w:lang w:val="en-US"/>
        </w:rPr>
        <w:t>The 8-Step Process for Leading Change: Dr. John Kotter</w:t>
      </w:r>
      <w:r w:rsidRPr="00A13181">
        <w:rPr>
          <w:lang w:val="en-US"/>
        </w:rPr>
        <w:t>, </w:t>
      </w:r>
      <w:r w:rsidRPr="00A13181">
        <w:rPr>
          <w:i/>
          <w:iCs/>
          <w:lang w:val="en-US"/>
        </w:rPr>
        <w:t>Kotter International Inc</w:t>
      </w:r>
      <w:r w:rsidRPr="00A13181">
        <w:rPr>
          <w:lang w:val="en-US"/>
        </w:rPr>
        <w:t>. Available at: https://www.kotterinc.com/methodology/8-steps/ (Accessed: 30 May 2024).</w:t>
      </w:r>
    </w:p>
    <w:p w14:paraId="1830AB7D" w14:textId="77777777" w:rsidR="00EB2C9E" w:rsidRDefault="001E5E78" w:rsidP="00F75F8F">
      <w:pPr>
        <w:spacing w:after="0"/>
        <w:ind w:left="720" w:hanging="720"/>
        <w:rPr>
          <w:i/>
          <w:iCs/>
        </w:rPr>
      </w:pPr>
      <w:r w:rsidRPr="000638A2">
        <w:t>Bhanji, M. D. (2022). </w:t>
      </w:r>
      <w:r w:rsidRPr="000638A2">
        <w:rPr>
          <w:i/>
          <w:iCs/>
        </w:rPr>
        <w:t>Equity Research-Hilton Worldwide Holdings INC</w:t>
      </w:r>
    </w:p>
    <w:p w14:paraId="1E2FA052" w14:textId="77777777" w:rsidR="00EB2C9E" w:rsidRDefault="001E5E78" w:rsidP="00F75F8F">
      <w:pPr>
        <w:spacing w:after="0"/>
        <w:ind w:left="720" w:hanging="720"/>
      </w:pPr>
      <w:r w:rsidRPr="008E7FC6">
        <w:t xml:space="preserve">de Boer, E. R., </w:t>
      </w:r>
      <w:r w:rsidR="009D4D9F">
        <w:t>and</w:t>
      </w:r>
      <w:r w:rsidRPr="008E7FC6">
        <w:t xml:space="preserve"> de Boer, E. R. (2018). Core Elements of the Frequent Flyer Program. </w:t>
      </w:r>
      <w:r w:rsidRPr="008E7FC6">
        <w:rPr>
          <w:i/>
          <w:iCs/>
        </w:rPr>
        <w:t>Strategy in Airline Loyalty: Frequent Flyer Programs</w:t>
      </w:r>
      <w:r w:rsidRPr="008E7FC6">
        <w:t>, 59-114.</w:t>
      </w:r>
    </w:p>
    <w:p w14:paraId="24262F53" w14:textId="77777777" w:rsidR="00EB2C9E" w:rsidRDefault="001E5E78" w:rsidP="00F75F8F">
      <w:pPr>
        <w:spacing w:after="0"/>
        <w:ind w:left="720" w:hanging="720"/>
      </w:pPr>
      <w:r w:rsidRPr="00AD1686">
        <w:t>DeYeso, K. L. (2019). </w:t>
      </w:r>
      <w:r w:rsidRPr="00AD1686">
        <w:rPr>
          <w:i/>
          <w:iCs/>
        </w:rPr>
        <w:t>The influence of social media on the Hilton brand</w:t>
      </w:r>
      <w:r w:rsidRPr="00AD1686">
        <w:t> </w:t>
      </w:r>
    </w:p>
    <w:p w14:paraId="67F24C35" w14:textId="77777777" w:rsidR="00EB2C9E" w:rsidRDefault="001E5E78" w:rsidP="00F75F8F">
      <w:pPr>
        <w:spacing w:after="0"/>
        <w:ind w:left="720" w:hanging="720"/>
      </w:pPr>
      <w:r w:rsidRPr="005A31A9">
        <w:t>Fachada, B. C. (2023). </w:t>
      </w:r>
      <w:r w:rsidRPr="005A31A9">
        <w:rPr>
          <w:i/>
          <w:iCs/>
        </w:rPr>
        <w:t>Business adaptive strategies in crisis: the case of Hilton Hotels Worldwide</w:t>
      </w:r>
      <w:r>
        <w:t> </w:t>
      </w:r>
    </w:p>
    <w:p w14:paraId="55626AEA" w14:textId="77777777" w:rsidR="00EB2C9E" w:rsidRDefault="001E5E78" w:rsidP="00F75F8F">
      <w:pPr>
        <w:spacing w:after="0"/>
        <w:ind w:left="720" w:hanging="720"/>
        <w:rPr>
          <w:i/>
          <w:iCs/>
        </w:rPr>
      </w:pPr>
      <w:r w:rsidRPr="006277BA">
        <w:rPr>
          <w:iCs/>
        </w:rPr>
        <w:t xml:space="preserve">Freeman, R. E., Harrison, J. S., </w:t>
      </w:r>
      <w:r w:rsidR="009D4D9F">
        <w:rPr>
          <w:iCs/>
        </w:rPr>
        <w:t>and</w:t>
      </w:r>
      <w:r w:rsidRPr="006277BA">
        <w:rPr>
          <w:iCs/>
        </w:rPr>
        <w:t xml:space="preserve"> Zyglidopoulos, S. (2018).</w:t>
      </w:r>
      <w:r w:rsidRPr="008B5D72">
        <w:rPr>
          <w:i/>
          <w:iCs/>
        </w:rPr>
        <w:t> Stakeholder theory: Concepts and strategies. Cambridge University Press.</w:t>
      </w:r>
    </w:p>
    <w:p w14:paraId="3BAC6ECC" w14:textId="77777777" w:rsidR="00EB2C9E" w:rsidRDefault="001E5E78" w:rsidP="00F75F8F">
      <w:pPr>
        <w:spacing w:after="0"/>
        <w:ind w:left="720" w:hanging="720"/>
      </w:pPr>
      <w:r w:rsidRPr="00C32377">
        <w:t xml:space="preserve">Guix, M., </w:t>
      </w:r>
      <w:r w:rsidR="009D4D9F">
        <w:t>and</w:t>
      </w:r>
      <w:r w:rsidRPr="00C32377">
        <w:t xml:space="preserve"> Font, X. (2020). The Materiality Balanced Scorecard: A framework for stakeholder-led integration of sustainable hospitality management and reporting. </w:t>
      </w:r>
      <w:r w:rsidRPr="00C32377">
        <w:rPr>
          <w:i/>
          <w:iCs/>
        </w:rPr>
        <w:t>International Journal of Hospitality Management</w:t>
      </w:r>
      <w:r w:rsidRPr="00C32377">
        <w:t>, </w:t>
      </w:r>
      <w:r w:rsidRPr="00C32377">
        <w:rPr>
          <w:i/>
          <w:iCs/>
        </w:rPr>
        <w:t>91</w:t>
      </w:r>
      <w:r w:rsidRPr="00C32377">
        <w:t>, 102634.</w:t>
      </w:r>
    </w:p>
    <w:p w14:paraId="61234F24" w14:textId="77777777" w:rsidR="00EB2C9E" w:rsidRDefault="001E5E78" w:rsidP="00F75F8F">
      <w:pPr>
        <w:spacing w:after="0"/>
        <w:ind w:left="720" w:hanging="720"/>
        <w:rPr>
          <w:lang w:val="en-US"/>
        </w:rPr>
      </w:pPr>
      <w:r>
        <w:rPr>
          <w:lang w:val="en-US"/>
        </w:rPr>
        <w:t xml:space="preserve">Hilton </w:t>
      </w:r>
      <w:r w:rsidRPr="00EE42EA">
        <w:rPr>
          <w:lang w:val="en-US"/>
        </w:rPr>
        <w:t>(</w:t>
      </w:r>
      <w:r>
        <w:rPr>
          <w:lang w:val="en-US"/>
        </w:rPr>
        <w:t>2023</w:t>
      </w:r>
      <w:r w:rsidRPr="00EE42EA">
        <w:rPr>
          <w:lang w:val="en-US"/>
        </w:rPr>
        <w:t>). Hilton 2022 Environmental, Social and Governance Report Available at: https://esg.hilton.com/wp-content/uploads/sites/4/2023/04/Hilton-2022-Environmental-Social-and-Governance-Report.pdf (Accessed: 30 May 2024).</w:t>
      </w:r>
    </w:p>
    <w:p w14:paraId="229FF969" w14:textId="77777777" w:rsidR="00EB2C9E" w:rsidRPr="003C2872" w:rsidRDefault="001E5E78" w:rsidP="00F75F8F">
      <w:pPr>
        <w:spacing w:after="0"/>
        <w:ind w:left="720" w:hanging="720"/>
        <w:rPr>
          <w:lang w:val="en-US"/>
        </w:rPr>
      </w:pPr>
      <w:r w:rsidRPr="003C2872">
        <w:rPr>
          <w:iCs/>
          <w:lang w:val="en-US"/>
        </w:rPr>
        <w:t xml:space="preserve">Hilton ESG (2024) </w:t>
      </w:r>
      <w:r w:rsidRPr="00105EB9">
        <w:rPr>
          <w:i/>
          <w:iCs/>
          <w:lang w:val="en-US"/>
        </w:rPr>
        <w:t>Our Progress: Travel with Purpose:</w:t>
      </w:r>
      <w:r w:rsidRPr="00105EB9">
        <w:rPr>
          <w:lang w:val="en-US"/>
        </w:rPr>
        <w:t> </w:t>
      </w:r>
      <w:r w:rsidRPr="00105EB9">
        <w:rPr>
          <w:i/>
          <w:iCs/>
          <w:lang w:val="en-US"/>
        </w:rPr>
        <w:t>Travel With Purpose | Hilton ESG</w:t>
      </w:r>
      <w:r w:rsidRPr="00105EB9">
        <w:rPr>
          <w:lang w:val="en-US"/>
        </w:rPr>
        <w:t>. Available at: https://esg.hilton.com/our-progress/ (Accessed: 30 May 2024).</w:t>
      </w:r>
    </w:p>
    <w:p w14:paraId="6E30091C" w14:textId="77777777" w:rsidR="00EB2C9E" w:rsidRDefault="001E5E78" w:rsidP="00F75F8F">
      <w:pPr>
        <w:spacing w:after="0"/>
        <w:ind w:left="720" w:hanging="720"/>
      </w:pPr>
      <w:r w:rsidRPr="00DA776A">
        <w:t xml:space="preserve">Hughes, J. C., </w:t>
      </w:r>
      <w:r w:rsidR="009D4D9F">
        <w:t>and</w:t>
      </w:r>
      <w:r w:rsidRPr="00DA776A">
        <w:t xml:space="preserve"> Christensen, J. D. (2021). Talent management innovation in a time of unprecedented disruption: implications for practice and research. In </w:t>
      </w:r>
      <w:r w:rsidRPr="00DA776A">
        <w:rPr>
          <w:i/>
          <w:iCs/>
        </w:rPr>
        <w:t>Talent Management Innovations in the International Hospitality Industry</w:t>
      </w:r>
      <w:r w:rsidRPr="00DA776A">
        <w:t> (pp. 153-179). Emerald Publishing Limited.</w:t>
      </w:r>
    </w:p>
    <w:p w14:paraId="43DA5A74" w14:textId="77777777" w:rsidR="00EB2C9E" w:rsidRDefault="001E5E78" w:rsidP="00F75F8F">
      <w:pPr>
        <w:spacing w:after="0"/>
        <w:ind w:left="720" w:hanging="720"/>
      </w:pPr>
      <w:r w:rsidRPr="00FE1415">
        <w:t xml:space="preserve">Hultman, M., Papadopoulou, C., Oghazi, P., </w:t>
      </w:r>
      <w:r w:rsidR="009D4D9F">
        <w:t>and</w:t>
      </w:r>
      <w:r w:rsidRPr="00FE1415">
        <w:t xml:space="preserve"> Opoku, R. (2021). Branding the hotel industry: The effect of step-up versus step-down brand extensions. </w:t>
      </w:r>
      <w:r w:rsidRPr="00FE1415">
        <w:rPr>
          <w:i/>
          <w:iCs/>
        </w:rPr>
        <w:t>Journal of business research</w:t>
      </w:r>
      <w:r w:rsidRPr="00FE1415">
        <w:t>, </w:t>
      </w:r>
      <w:r w:rsidRPr="00FE1415">
        <w:rPr>
          <w:i/>
          <w:iCs/>
        </w:rPr>
        <w:t>124</w:t>
      </w:r>
      <w:r w:rsidRPr="00FE1415">
        <w:t>, 560-570.</w:t>
      </w:r>
    </w:p>
    <w:p w14:paraId="2ACCE18B" w14:textId="77777777" w:rsidR="00EB2C9E" w:rsidRDefault="001E5E78" w:rsidP="00F75F8F">
      <w:pPr>
        <w:spacing w:after="0"/>
        <w:ind w:left="720" w:hanging="720"/>
      </w:pPr>
      <w:r w:rsidRPr="007360FA">
        <w:t>Lamo, E. G. (2019). The Center of Success: A Case Study on Hilton's Company Culture.</w:t>
      </w:r>
      <w:r>
        <w:t> </w:t>
      </w:r>
    </w:p>
    <w:p w14:paraId="10F55D54" w14:textId="77777777" w:rsidR="00EB2C9E" w:rsidRDefault="001E5E78" w:rsidP="00F75F8F">
      <w:pPr>
        <w:spacing w:after="0"/>
        <w:ind w:left="720" w:hanging="720"/>
      </w:pPr>
      <w:r w:rsidRPr="006B750B">
        <w:t xml:space="preserve">Maclean, M., Harvey, C., </w:t>
      </w:r>
      <w:r w:rsidR="009D4D9F">
        <w:t>and</w:t>
      </w:r>
      <w:r w:rsidRPr="006B750B">
        <w:t xml:space="preserve"> Suddaby, R. (2024). Institutional biography and the institutionalization of a new organizational template: Building the global branded hotel chain. </w:t>
      </w:r>
      <w:r w:rsidRPr="006B750B">
        <w:rPr>
          <w:i/>
          <w:iCs/>
        </w:rPr>
        <w:t>Business History</w:t>
      </w:r>
      <w:r w:rsidRPr="006B750B">
        <w:t>, </w:t>
      </w:r>
      <w:r w:rsidRPr="006B750B">
        <w:rPr>
          <w:i/>
          <w:iCs/>
        </w:rPr>
        <w:t>66</w:t>
      </w:r>
      <w:r w:rsidRPr="006B750B">
        <w:t>(1), 311-339.</w:t>
      </w:r>
    </w:p>
    <w:p w14:paraId="300A0C19" w14:textId="77777777" w:rsidR="00EB2C9E" w:rsidRDefault="001E5E78" w:rsidP="00F75F8F">
      <w:pPr>
        <w:spacing w:after="0"/>
        <w:ind w:left="720" w:hanging="720"/>
      </w:pPr>
      <w:r w:rsidRPr="00B15953">
        <w:lastRenderedPageBreak/>
        <w:t>Malcheva, M. (2018). Competitive advantages of boutique hotels in the context of a sharing economy. </w:t>
      </w:r>
      <w:r w:rsidRPr="00B15953">
        <w:rPr>
          <w:i/>
          <w:iCs/>
        </w:rPr>
        <w:t>Известия на Съюза на учените-Варна. Серия Икономически науки</w:t>
      </w:r>
      <w:r w:rsidRPr="00B15953">
        <w:t>, </w:t>
      </w:r>
      <w:r w:rsidRPr="00B15953">
        <w:rPr>
          <w:i/>
          <w:iCs/>
        </w:rPr>
        <w:t>7</w:t>
      </w:r>
      <w:r w:rsidRPr="00B15953">
        <w:t>(3), 71-83.</w:t>
      </w:r>
    </w:p>
    <w:p w14:paraId="0C7EF7D9" w14:textId="77777777" w:rsidR="00EB2C9E" w:rsidRPr="00EB2C9E" w:rsidRDefault="001E5E78" w:rsidP="00F75F8F">
      <w:pPr>
        <w:spacing w:after="0"/>
        <w:ind w:left="720" w:hanging="720"/>
        <w:rPr>
          <w:lang w:val="en-US"/>
        </w:rPr>
      </w:pPr>
      <w:r>
        <w:rPr>
          <w:iCs/>
          <w:lang w:val="en-US"/>
        </w:rPr>
        <w:t>MindTools</w:t>
      </w:r>
      <w:r w:rsidRPr="004E7CF8">
        <w:rPr>
          <w:lang w:val="en-US"/>
        </w:rPr>
        <w:t> (</w:t>
      </w:r>
      <w:r>
        <w:rPr>
          <w:lang w:val="en-US"/>
        </w:rPr>
        <w:t>2024</w:t>
      </w:r>
      <w:r w:rsidRPr="004E7CF8">
        <w:rPr>
          <w:lang w:val="en-US"/>
        </w:rPr>
        <w:t>) </w:t>
      </w:r>
      <w:r w:rsidRPr="00E81636">
        <w:rPr>
          <w:iCs/>
          <w:lang w:val="en-US"/>
        </w:rPr>
        <w:t>Handy's Four Types of Culture</w:t>
      </w:r>
      <w:r w:rsidRPr="004E7CF8">
        <w:rPr>
          <w:lang w:val="en-US"/>
        </w:rPr>
        <w:t>. Available at: https://www.mindtools.com/ass7geb/handys-four-types-of-culture (Accessed: 30 May 2024).</w:t>
      </w:r>
    </w:p>
    <w:p w14:paraId="7DF6EE5C" w14:textId="77777777" w:rsidR="00EB2C9E" w:rsidRPr="00EE42EA" w:rsidRDefault="001E5E78" w:rsidP="00F75F8F">
      <w:pPr>
        <w:spacing w:after="0"/>
        <w:ind w:left="720" w:hanging="720"/>
        <w:rPr>
          <w:lang w:val="en-US"/>
        </w:rPr>
      </w:pPr>
      <w:r w:rsidRPr="00F02843">
        <w:t xml:space="preserve">Paraskevas, A., </w:t>
      </w:r>
      <w:r w:rsidR="009D4D9F">
        <w:t>and</w:t>
      </w:r>
      <w:r w:rsidRPr="00F02843">
        <w:t xml:space="preserve"> Quek, M. (2019). When Castro seized the Hilton: Risk and crisis management lessons from the past. </w:t>
      </w:r>
      <w:r w:rsidRPr="00F02843">
        <w:rPr>
          <w:i/>
          <w:iCs/>
        </w:rPr>
        <w:t>Tourism Management</w:t>
      </w:r>
      <w:r w:rsidRPr="00F02843">
        <w:t>, </w:t>
      </w:r>
      <w:r w:rsidRPr="00F02843">
        <w:rPr>
          <w:i/>
          <w:iCs/>
        </w:rPr>
        <w:t>70</w:t>
      </w:r>
      <w:r w:rsidRPr="00F02843">
        <w:t>, 419-429.</w:t>
      </w:r>
    </w:p>
    <w:p w14:paraId="052337E9" w14:textId="77777777" w:rsidR="00EB2C9E" w:rsidRDefault="001E5E78" w:rsidP="00F75F8F">
      <w:pPr>
        <w:spacing w:after="0"/>
        <w:ind w:left="720" w:hanging="720"/>
      </w:pPr>
      <w:r w:rsidRPr="005E0F9A">
        <w:t xml:space="preserve">Perepelytsia, A., </w:t>
      </w:r>
      <w:r w:rsidR="009D4D9F">
        <w:t>and</w:t>
      </w:r>
      <w:r w:rsidRPr="005E0F9A">
        <w:t xml:space="preserve"> Yurchenko, Y. (2019). Modern hotel tecnology trends for hospitality industry. </w:t>
      </w:r>
      <w:r w:rsidRPr="005E0F9A">
        <w:rPr>
          <w:i/>
          <w:iCs/>
        </w:rPr>
        <w:t>Вісник Харківського національного університету імені ВН Каразіна. Серія: Міжнародні відносини. Економіка. Країнознавство. Туризм</w:t>
      </w:r>
      <w:r w:rsidRPr="005E0F9A">
        <w:t>, (9), 197-202.</w:t>
      </w:r>
    </w:p>
    <w:p w14:paraId="33249C1E" w14:textId="77777777" w:rsidR="00EB2C9E" w:rsidRDefault="001E5E78" w:rsidP="00F75F8F">
      <w:pPr>
        <w:spacing w:after="0"/>
        <w:ind w:left="720" w:hanging="720"/>
      </w:pPr>
      <w:r w:rsidRPr="00FA5C47">
        <w:t>Rakic, K</w:t>
      </w:r>
      <w:r>
        <w:t xml:space="preserve"> (2019)</w:t>
      </w:r>
      <w:r w:rsidRPr="00FA5C47">
        <w:t>. Psychological Influences of Organizational Culture on Young Employees at Upscale Hotels.</w:t>
      </w:r>
    </w:p>
    <w:p w14:paraId="1E8606C3" w14:textId="77777777" w:rsidR="00EB2C9E" w:rsidRDefault="001E5E78" w:rsidP="00F75F8F">
      <w:pPr>
        <w:spacing w:after="0"/>
        <w:ind w:left="720" w:hanging="720"/>
      </w:pPr>
      <w:r w:rsidRPr="00335795">
        <w:t>Reidhead, C. (2020). Impact of organizational culture on employee satisfaction: A case of Hilton hotel, United Kingdom. </w:t>
      </w:r>
      <w:r w:rsidRPr="00335795">
        <w:rPr>
          <w:i/>
          <w:iCs/>
        </w:rPr>
        <w:t>Journal of Economics and Business</w:t>
      </w:r>
      <w:r w:rsidRPr="00335795">
        <w:t>, </w:t>
      </w:r>
      <w:r w:rsidRPr="00335795">
        <w:rPr>
          <w:i/>
          <w:iCs/>
        </w:rPr>
        <w:t>3</w:t>
      </w:r>
      <w:r w:rsidRPr="00335795">
        <w:t>(1).</w:t>
      </w:r>
    </w:p>
    <w:p w14:paraId="16BE34D8" w14:textId="77777777" w:rsidR="00EB2C9E" w:rsidRDefault="001E5E78" w:rsidP="00F75F8F">
      <w:pPr>
        <w:spacing w:after="0"/>
        <w:ind w:left="720" w:hanging="720"/>
      </w:pPr>
      <w:r w:rsidRPr="00C00254">
        <w:t xml:space="preserve">Sharma, A., Shin, H., Santa-María, M. J., </w:t>
      </w:r>
      <w:r w:rsidR="009D4D9F">
        <w:t>and</w:t>
      </w:r>
      <w:r w:rsidRPr="00C00254">
        <w:t xml:space="preserve"> Nicolau, J. L. (2021). Hotels' COVID-19 innovation and performance. </w:t>
      </w:r>
      <w:r w:rsidRPr="00C00254">
        <w:rPr>
          <w:i/>
          <w:iCs/>
        </w:rPr>
        <w:t>Annals of Tourism Research</w:t>
      </w:r>
      <w:r w:rsidRPr="00C00254">
        <w:t>, </w:t>
      </w:r>
      <w:r w:rsidRPr="00C00254">
        <w:rPr>
          <w:i/>
          <w:iCs/>
        </w:rPr>
        <w:t>88</w:t>
      </w:r>
      <w:r w:rsidRPr="00C00254">
        <w:t>, 103180.</w:t>
      </w:r>
    </w:p>
    <w:p w14:paraId="19FDF952" w14:textId="77777777" w:rsidR="00EB2C9E" w:rsidRDefault="001E5E78" w:rsidP="00F75F8F">
      <w:pPr>
        <w:spacing w:after="0"/>
        <w:ind w:left="720" w:hanging="720"/>
      </w:pPr>
      <w:r w:rsidRPr="0080338F">
        <w:t xml:space="preserve">SÖNMEZ, N. K., AYDEĞER, İ. A., SAYILIR, E., DÜLGAROĞLU, O., KARADENİZ, Y., OFLAZ, M., ... </w:t>
      </w:r>
      <w:r w:rsidR="009D4D9F">
        <w:t>and</w:t>
      </w:r>
      <w:r w:rsidRPr="0080338F">
        <w:t xml:space="preserve"> KÖSE, B. Ç. (2022). </w:t>
      </w:r>
      <w:r w:rsidRPr="0080338F">
        <w:rPr>
          <w:i/>
          <w:iCs/>
        </w:rPr>
        <w:t>Analysis of New Applications in Hotel Enterprises Main Departments</w:t>
      </w:r>
      <w:r w:rsidRPr="0080338F">
        <w:t>. Livre de Lyon.</w:t>
      </w:r>
    </w:p>
    <w:p w14:paraId="3F5270C4" w14:textId="77777777" w:rsidR="00EB2C9E" w:rsidRPr="00C35157" w:rsidRDefault="001E5E78" w:rsidP="00F75F8F">
      <w:pPr>
        <w:spacing w:after="0"/>
        <w:ind w:left="720" w:hanging="720"/>
        <w:rPr>
          <w:lang w:val="en-US"/>
        </w:rPr>
      </w:pPr>
      <w:r w:rsidRPr="00C35157">
        <w:rPr>
          <w:lang w:val="en-US"/>
        </w:rPr>
        <w:t xml:space="preserve">Stories From Hilton </w:t>
      </w:r>
      <w:r w:rsidRPr="009A06FC">
        <w:rPr>
          <w:lang w:val="en-US"/>
        </w:rPr>
        <w:t>(2023)</w:t>
      </w:r>
      <w:r>
        <w:rPr>
          <w:lang w:val="en-US"/>
        </w:rPr>
        <w:t xml:space="preserve"> </w:t>
      </w:r>
      <w:r w:rsidRPr="009A06FC">
        <w:rPr>
          <w:i/>
          <w:iCs/>
          <w:lang w:val="en-US"/>
        </w:rPr>
        <w:t>How Hilton’s Tech Innovations Deliver Frictionless Travel</w:t>
      </w:r>
      <w:r w:rsidRPr="009A06FC">
        <w:rPr>
          <w:lang w:val="en-US"/>
        </w:rPr>
        <w:t>  . Available at: https://stories.hilton.com/innovation/hiltons-consumer-centric-tech-innovations-delivering-frictionless-travel-experience (Accessed: 30 May 2024).</w:t>
      </w:r>
    </w:p>
    <w:p w14:paraId="58BCEEF6" w14:textId="77777777" w:rsidR="00EB2C9E" w:rsidRDefault="001E5E78" w:rsidP="00F75F8F">
      <w:pPr>
        <w:spacing w:after="0"/>
        <w:ind w:left="720" w:hanging="720"/>
      </w:pPr>
      <w:r w:rsidRPr="000136C0">
        <w:t xml:space="preserve">Tark, J., </w:t>
      </w:r>
      <w:r w:rsidR="009D4D9F">
        <w:t>and</w:t>
      </w:r>
      <w:r w:rsidRPr="000136C0">
        <w:t xml:space="preserve"> Oh, W. Y. (2021). Hilton Faces Greenwashing Challenge. In </w:t>
      </w:r>
      <w:r w:rsidRPr="000136C0">
        <w:rPr>
          <w:i/>
          <w:iCs/>
        </w:rPr>
        <w:t>Social and Sustainability Marketing</w:t>
      </w:r>
      <w:r w:rsidRPr="000136C0">
        <w:t> (pp. 865-868). Productivity Press.</w:t>
      </w:r>
    </w:p>
    <w:p w14:paraId="63283273" w14:textId="77777777" w:rsidR="00EB2C9E" w:rsidRDefault="001E5E78" w:rsidP="00F75F8F">
      <w:pPr>
        <w:spacing w:after="0"/>
        <w:ind w:left="720" w:hanging="720"/>
      </w:pPr>
      <w:r w:rsidRPr="008764DD">
        <w:t xml:space="preserve">Yeoman, I., </w:t>
      </w:r>
      <w:r w:rsidR="009D4D9F">
        <w:t>and</w:t>
      </w:r>
      <w:r w:rsidRPr="008764DD">
        <w:t xml:space="preserve"> McMahon-Beattie, U. (2018). The future of luxury: mega drivers, new faces and scenarios. </w:t>
      </w:r>
      <w:r w:rsidRPr="008764DD">
        <w:rPr>
          <w:i/>
          <w:iCs/>
        </w:rPr>
        <w:t>Journal of Revenue and Pricing Management</w:t>
      </w:r>
      <w:r w:rsidRPr="008764DD">
        <w:t>, </w:t>
      </w:r>
      <w:r w:rsidRPr="008764DD">
        <w:rPr>
          <w:i/>
          <w:iCs/>
        </w:rPr>
        <w:t>17</w:t>
      </w:r>
      <w:r w:rsidRPr="008764DD">
        <w:t>, 204-217.</w:t>
      </w:r>
    </w:p>
    <w:p w14:paraId="182452E0" w14:textId="77777777" w:rsidR="00EB2C9E" w:rsidRDefault="001E5E78" w:rsidP="00F75F8F">
      <w:pPr>
        <w:spacing w:after="0"/>
        <w:ind w:left="720" w:hanging="720"/>
      </w:pPr>
      <w:r w:rsidRPr="0026207F">
        <w:t>Young, M. (</w:t>
      </w:r>
      <w:r>
        <w:t>2024</w:t>
      </w:r>
      <w:r w:rsidRPr="0026207F">
        <w:t>), Stories From Hilton. Available at: https://stories.hilton.com/history (Accessed: 30 May 2024).</w:t>
      </w:r>
    </w:p>
    <w:p w14:paraId="448C20D5" w14:textId="77777777" w:rsidR="00EB2C9E" w:rsidRDefault="001E5E78" w:rsidP="00F75F8F">
      <w:pPr>
        <w:spacing w:after="0"/>
        <w:ind w:left="720" w:hanging="720"/>
      </w:pPr>
      <w:r w:rsidRPr="00A365F0">
        <w:t>Zeng, L. (2021). Analysis of Hilton Worldwide Hotel Group’s Transnational Operation Strategy. </w:t>
      </w:r>
      <w:r w:rsidRPr="00A365F0">
        <w:rPr>
          <w:i/>
          <w:iCs/>
        </w:rPr>
        <w:t xml:space="preserve">Academic Journal of Business </w:t>
      </w:r>
      <w:r w:rsidR="009D4D9F">
        <w:rPr>
          <w:i/>
          <w:iCs/>
        </w:rPr>
        <w:t>and</w:t>
      </w:r>
      <w:r w:rsidRPr="00A365F0">
        <w:rPr>
          <w:i/>
          <w:iCs/>
        </w:rPr>
        <w:t xml:space="preserve"> Management</w:t>
      </w:r>
      <w:r w:rsidRPr="00A365F0">
        <w:t>, </w:t>
      </w:r>
      <w:r w:rsidRPr="00A365F0">
        <w:rPr>
          <w:i/>
          <w:iCs/>
        </w:rPr>
        <w:t>3</w:t>
      </w:r>
      <w:r w:rsidRPr="00A365F0">
        <w:t>(11), 20-27.</w:t>
      </w:r>
    </w:p>
    <w:p w14:paraId="4ED473D4" w14:textId="77777777" w:rsidR="00EB2C9E" w:rsidRDefault="001E5E78" w:rsidP="00F75F8F">
      <w:pPr>
        <w:spacing w:after="0"/>
        <w:ind w:left="720" w:hanging="720"/>
      </w:pPr>
      <w:r w:rsidRPr="002D36A9">
        <w:lastRenderedPageBreak/>
        <w:t xml:space="preserve">Zientara, P., Bohdanowicz-Godfrey, P., Whitely, C., </w:t>
      </w:r>
      <w:r w:rsidR="009D4D9F">
        <w:t>and</w:t>
      </w:r>
      <w:r w:rsidRPr="002D36A9">
        <w:t xml:space="preserve"> Maciejewski, G. (2020). A case study of LightStay (2010–2017)—Hilton’s corporate responsibility management system. </w:t>
      </w:r>
      <w:r w:rsidRPr="002D36A9">
        <w:rPr>
          <w:i/>
          <w:iCs/>
        </w:rPr>
        <w:t>Energies</w:t>
      </w:r>
      <w:r w:rsidRPr="002D36A9">
        <w:t>, </w:t>
      </w:r>
      <w:r w:rsidRPr="002D36A9">
        <w:rPr>
          <w:i/>
          <w:iCs/>
        </w:rPr>
        <w:t>13</w:t>
      </w:r>
      <w:r w:rsidRPr="002D36A9">
        <w:t>(9), 2303.</w:t>
      </w:r>
    </w:p>
    <w:p w14:paraId="476C6DCC" w14:textId="77777777" w:rsidR="00EE42EA" w:rsidRPr="0026207F" w:rsidRDefault="00EE42EA" w:rsidP="00F75F8F">
      <w:pPr>
        <w:spacing w:after="0"/>
      </w:pPr>
    </w:p>
    <w:sectPr w:rsidR="00EE42EA" w:rsidRPr="0026207F" w:rsidSect="000D79EB">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C0777" w14:textId="77777777" w:rsidR="00F37BE8" w:rsidRDefault="00F37BE8">
      <w:pPr>
        <w:spacing w:after="0" w:line="240" w:lineRule="auto"/>
      </w:pPr>
      <w:r>
        <w:separator/>
      </w:r>
    </w:p>
  </w:endnote>
  <w:endnote w:type="continuationSeparator" w:id="0">
    <w:p w14:paraId="4C438DEF" w14:textId="77777777" w:rsidR="00F37BE8" w:rsidRDefault="00F37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A7E80" w14:textId="77777777" w:rsidR="00F37BE8" w:rsidRDefault="00F37BE8">
      <w:pPr>
        <w:spacing w:after="0" w:line="240" w:lineRule="auto"/>
      </w:pPr>
      <w:r>
        <w:separator/>
      </w:r>
    </w:p>
  </w:footnote>
  <w:footnote w:type="continuationSeparator" w:id="0">
    <w:p w14:paraId="137C2985" w14:textId="77777777" w:rsidR="00F37BE8" w:rsidRDefault="00F37B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398858"/>
      <w:docPartObj>
        <w:docPartGallery w:val="Page Numbers (Top of Page)"/>
        <w:docPartUnique/>
      </w:docPartObj>
    </w:sdtPr>
    <w:sdtEndPr>
      <w:rPr>
        <w:noProof/>
      </w:rPr>
    </w:sdtEndPr>
    <w:sdtContent>
      <w:p w14:paraId="7EE62241" w14:textId="77777777" w:rsidR="000D79EB" w:rsidRDefault="001E5E78">
        <w:pPr>
          <w:pStyle w:val="Header"/>
          <w:jc w:val="right"/>
        </w:pPr>
        <w:r>
          <w:fldChar w:fldCharType="begin"/>
        </w:r>
        <w:r>
          <w:instrText xml:space="preserve"> PAGE   \* MERGEFORMAT </w:instrText>
        </w:r>
        <w:r>
          <w:fldChar w:fldCharType="separate"/>
        </w:r>
        <w:r w:rsidR="00E73494">
          <w:rPr>
            <w:noProof/>
          </w:rPr>
          <w:t>2</w:t>
        </w:r>
        <w:r>
          <w:rPr>
            <w:noProof/>
          </w:rPr>
          <w:fldChar w:fldCharType="end"/>
        </w:r>
      </w:p>
    </w:sdtContent>
  </w:sdt>
  <w:p w14:paraId="5DBD2108" w14:textId="77777777" w:rsidR="000D79EB" w:rsidRDefault="000D79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1Mzc0szS3NDMyNLVQ0lEKTi0uzszPAykwqgUAaZlDBiwAAAA="/>
  </w:docVars>
  <w:rsids>
    <w:rsidRoot w:val="001B7FDD"/>
    <w:rsid w:val="000136C0"/>
    <w:rsid w:val="000568A0"/>
    <w:rsid w:val="000570F8"/>
    <w:rsid w:val="0006333F"/>
    <w:rsid w:val="000638A2"/>
    <w:rsid w:val="00072B15"/>
    <w:rsid w:val="00073C52"/>
    <w:rsid w:val="000810C7"/>
    <w:rsid w:val="000A1526"/>
    <w:rsid w:val="000D79EB"/>
    <w:rsid w:val="00105AE0"/>
    <w:rsid w:val="00105EB9"/>
    <w:rsid w:val="00120918"/>
    <w:rsid w:val="00132F5A"/>
    <w:rsid w:val="001334C7"/>
    <w:rsid w:val="001463A9"/>
    <w:rsid w:val="00147869"/>
    <w:rsid w:val="00155271"/>
    <w:rsid w:val="00163D0B"/>
    <w:rsid w:val="0016528A"/>
    <w:rsid w:val="00187CC6"/>
    <w:rsid w:val="00197266"/>
    <w:rsid w:val="001A171C"/>
    <w:rsid w:val="001B7FDD"/>
    <w:rsid w:val="001C3C7A"/>
    <w:rsid w:val="001E5E78"/>
    <w:rsid w:val="0021196B"/>
    <w:rsid w:val="00215ED8"/>
    <w:rsid w:val="00242CAF"/>
    <w:rsid w:val="00256BC8"/>
    <w:rsid w:val="0026207F"/>
    <w:rsid w:val="00262656"/>
    <w:rsid w:val="00291D0D"/>
    <w:rsid w:val="00297872"/>
    <w:rsid w:val="002A6C4C"/>
    <w:rsid w:val="002B4632"/>
    <w:rsid w:val="002D36A9"/>
    <w:rsid w:val="002F5BF7"/>
    <w:rsid w:val="003313D3"/>
    <w:rsid w:val="00334A30"/>
    <w:rsid w:val="00335795"/>
    <w:rsid w:val="003507B9"/>
    <w:rsid w:val="00354AAF"/>
    <w:rsid w:val="00373C29"/>
    <w:rsid w:val="00381EBD"/>
    <w:rsid w:val="003950F4"/>
    <w:rsid w:val="003A5BF7"/>
    <w:rsid w:val="003C2872"/>
    <w:rsid w:val="003D0DBC"/>
    <w:rsid w:val="00427867"/>
    <w:rsid w:val="00430A37"/>
    <w:rsid w:val="0044170B"/>
    <w:rsid w:val="004D7D42"/>
    <w:rsid w:val="004E2EFF"/>
    <w:rsid w:val="004E7CF8"/>
    <w:rsid w:val="00557A4B"/>
    <w:rsid w:val="0058754B"/>
    <w:rsid w:val="00590A59"/>
    <w:rsid w:val="005974CB"/>
    <w:rsid w:val="005A31A9"/>
    <w:rsid w:val="005E0F9A"/>
    <w:rsid w:val="006102B8"/>
    <w:rsid w:val="00621FBE"/>
    <w:rsid w:val="006277BA"/>
    <w:rsid w:val="006312A5"/>
    <w:rsid w:val="00640861"/>
    <w:rsid w:val="00640F8C"/>
    <w:rsid w:val="00653319"/>
    <w:rsid w:val="0067694A"/>
    <w:rsid w:val="00685F32"/>
    <w:rsid w:val="00694860"/>
    <w:rsid w:val="00697F31"/>
    <w:rsid w:val="006B60FF"/>
    <w:rsid w:val="006B692A"/>
    <w:rsid w:val="006B750B"/>
    <w:rsid w:val="006C128B"/>
    <w:rsid w:val="006C1B5F"/>
    <w:rsid w:val="006E1E6D"/>
    <w:rsid w:val="006E590C"/>
    <w:rsid w:val="006E5D31"/>
    <w:rsid w:val="00706D9F"/>
    <w:rsid w:val="00710CAA"/>
    <w:rsid w:val="00715EAF"/>
    <w:rsid w:val="007360FA"/>
    <w:rsid w:val="007871C8"/>
    <w:rsid w:val="007875BB"/>
    <w:rsid w:val="0080338F"/>
    <w:rsid w:val="00862842"/>
    <w:rsid w:val="00863F49"/>
    <w:rsid w:val="008764DD"/>
    <w:rsid w:val="00890207"/>
    <w:rsid w:val="008B5D72"/>
    <w:rsid w:val="008B5DF9"/>
    <w:rsid w:val="008C1249"/>
    <w:rsid w:val="008C1ACD"/>
    <w:rsid w:val="008C4DB5"/>
    <w:rsid w:val="008E7FC6"/>
    <w:rsid w:val="0091530F"/>
    <w:rsid w:val="009261CC"/>
    <w:rsid w:val="00945CD5"/>
    <w:rsid w:val="0098663C"/>
    <w:rsid w:val="009A068A"/>
    <w:rsid w:val="009A06FC"/>
    <w:rsid w:val="009B5C6E"/>
    <w:rsid w:val="009B6D9B"/>
    <w:rsid w:val="009C2327"/>
    <w:rsid w:val="009D4D9F"/>
    <w:rsid w:val="009F546A"/>
    <w:rsid w:val="00A13181"/>
    <w:rsid w:val="00A267BC"/>
    <w:rsid w:val="00A365F0"/>
    <w:rsid w:val="00A532AB"/>
    <w:rsid w:val="00AD1686"/>
    <w:rsid w:val="00AD17C0"/>
    <w:rsid w:val="00AD5073"/>
    <w:rsid w:val="00B15953"/>
    <w:rsid w:val="00B219F1"/>
    <w:rsid w:val="00B366B7"/>
    <w:rsid w:val="00B55D65"/>
    <w:rsid w:val="00BD6A17"/>
    <w:rsid w:val="00C00254"/>
    <w:rsid w:val="00C15AA9"/>
    <w:rsid w:val="00C22A55"/>
    <w:rsid w:val="00C32377"/>
    <w:rsid w:val="00C35157"/>
    <w:rsid w:val="00C61F51"/>
    <w:rsid w:val="00C66F16"/>
    <w:rsid w:val="00CD0931"/>
    <w:rsid w:val="00CF5B01"/>
    <w:rsid w:val="00D10314"/>
    <w:rsid w:val="00D20EC9"/>
    <w:rsid w:val="00D22633"/>
    <w:rsid w:val="00D310C6"/>
    <w:rsid w:val="00D4660B"/>
    <w:rsid w:val="00D9116B"/>
    <w:rsid w:val="00D91F22"/>
    <w:rsid w:val="00DA776A"/>
    <w:rsid w:val="00E12F8D"/>
    <w:rsid w:val="00E36A7E"/>
    <w:rsid w:val="00E60940"/>
    <w:rsid w:val="00E6525F"/>
    <w:rsid w:val="00E70CFD"/>
    <w:rsid w:val="00E73494"/>
    <w:rsid w:val="00E734FB"/>
    <w:rsid w:val="00E73BD3"/>
    <w:rsid w:val="00E81636"/>
    <w:rsid w:val="00E82695"/>
    <w:rsid w:val="00EB2C9E"/>
    <w:rsid w:val="00EB7C21"/>
    <w:rsid w:val="00EE0EB8"/>
    <w:rsid w:val="00EE42EA"/>
    <w:rsid w:val="00F02843"/>
    <w:rsid w:val="00F269D4"/>
    <w:rsid w:val="00F339B7"/>
    <w:rsid w:val="00F37BE8"/>
    <w:rsid w:val="00F47606"/>
    <w:rsid w:val="00F5542C"/>
    <w:rsid w:val="00F62D54"/>
    <w:rsid w:val="00F72624"/>
    <w:rsid w:val="00F75F8F"/>
    <w:rsid w:val="00F90C05"/>
    <w:rsid w:val="00FA5C47"/>
    <w:rsid w:val="00FD50B9"/>
    <w:rsid w:val="00FE1415"/>
    <w:rsid w:val="00FF50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9F21E"/>
  <w15:chartTrackingRefBased/>
  <w15:docId w15:val="{1DC80295-3411-4C1E-B204-28BBFA2EE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16B"/>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16528A"/>
    <w:pPr>
      <w:outlineLvl w:val="0"/>
    </w:pPr>
    <w:rPr>
      <w:b/>
    </w:rPr>
  </w:style>
  <w:style w:type="paragraph" w:styleId="Heading2">
    <w:name w:val="heading 2"/>
    <w:basedOn w:val="Normal"/>
    <w:next w:val="Normal"/>
    <w:link w:val="Heading2Char"/>
    <w:uiPriority w:val="9"/>
    <w:unhideWhenUsed/>
    <w:qFormat/>
    <w:rsid w:val="00297872"/>
    <w:pPr>
      <w:outlineLvl w:val="1"/>
    </w:pPr>
    <w:rPr>
      <w:b/>
      <w:i/>
    </w:rPr>
  </w:style>
  <w:style w:type="paragraph" w:styleId="Heading3">
    <w:name w:val="heading 3"/>
    <w:basedOn w:val="Normal"/>
    <w:next w:val="Normal"/>
    <w:link w:val="Heading3Char"/>
    <w:uiPriority w:val="9"/>
    <w:unhideWhenUsed/>
    <w:qFormat/>
    <w:rsid w:val="00685F32"/>
    <w:pPr>
      <w:outlineLvl w:val="2"/>
    </w:pPr>
    <w:rPr>
      <w:i/>
      <w:lang w:val="en-US"/>
    </w:rPr>
  </w:style>
  <w:style w:type="paragraph" w:styleId="Heading4">
    <w:name w:val="heading 4"/>
    <w:basedOn w:val="Normal"/>
    <w:next w:val="Normal"/>
    <w:link w:val="Heading4Char"/>
    <w:uiPriority w:val="9"/>
    <w:semiHidden/>
    <w:unhideWhenUsed/>
    <w:qFormat/>
    <w:rsid w:val="0026207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28A"/>
    <w:rPr>
      <w:rFonts w:ascii="Times New Roman" w:hAnsi="Times New Roman" w:cs="Times New Roman"/>
      <w:b/>
      <w:sz w:val="24"/>
      <w:lang w:val="en-GB"/>
    </w:rPr>
  </w:style>
  <w:style w:type="paragraph" w:styleId="TOCHeading">
    <w:name w:val="TOC Heading"/>
    <w:basedOn w:val="Heading1"/>
    <w:next w:val="Normal"/>
    <w:uiPriority w:val="39"/>
    <w:unhideWhenUsed/>
    <w:qFormat/>
    <w:rsid w:val="00710CAA"/>
    <w:pPr>
      <w:spacing w:line="259" w:lineRule="auto"/>
      <w:jc w:val="left"/>
      <w:outlineLvl w:val="9"/>
    </w:pPr>
    <w:rPr>
      <w:lang w:val="en-US"/>
    </w:rPr>
  </w:style>
  <w:style w:type="character" w:customStyle="1" w:styleId="Heading2Char">
    <w:name w:val="Heading 2 Char"/>
    <w:basedOn w:val="DefaultParagraphFont"/>
    <w:link w:val="Heading2"/>
    <w:uiPriority w:val="9"/>
    <w:rsid w:val="00297872"/>
    <w:rPr>
      <w:rFonts w:ascii="Times New Roman" w:hAnsi="Times New Roman" w:cs="Times New Roman"/>
      <w:b/>
      <w:i/>
      <w:sz w:val="24"/>
      <w:lang w:val="en-GB"/>
    </w:rPr>
  </w:style>
  <w:style w:type="table" w:styleId="TableGrid">
    <w:name w:val="Table Grid"/>
    <w:basedOn w:val="TableNormal"/>
    <w:uiPriority w:val="39"/>
    <w:rsid w:val="002B4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57A4B"/>
    <w:pPr>
      <w:spacing w:after="100"/>
    </w:pPr>
  </w:style>
  <w:style w:type="paragraph" w:styleId="TOC2">
    <w:name w:val="toc 2"/>
    <w:basedOn w:val="Normal"/>
    <w:next w:val="Normal"/>
    <w:autoRedefine/>
    <w:uiPriority w:val="39"/>
    <w:unhideWhenUsed/>
    <w:rsid w:val="00557A4B"/>
    <w:pPr>
      <w:spacing w:after="100"/>
      <w:ind w:left="240"/>
    </w:pPr>
  </w:style>
  <w:style w:type="character" w:styleId="Hyperlink">
    <w:name w:val="Hyperlink"/>
    <w:basedOn w:val="DefaultParagraphFont"/>
    <w:uiPriority w:val="99"/>
    <w:unhideWhenUsed/>
    <w:rsid w:val="00557A4B"/>
    <w:rPr>
      <w:color w:val="0563C1" w:themeColor="hyperlink"/>
      <w:u w:val="single"/>
    </w:rPr>
  </w:style>
  <w:style w:type="character" w:customStyle="1" w:styleId="Heading4Char">
    <w:name w:val="Heading 4 Char"/>
    <w:basedOn w:val="DefaultParagraphFont"/>
    <w:link w:val="Heading4"/>
    <w:uiPriority w:val="9"/>
    <w:semiHidden/>
    <w:rsid w:val="0026207F"/>
    <w:rPr>
      <w:rFonts w:asciiTheme="majorHAnsi" w:eastAsiaTheme="majorEastAsia" w:hAnsiTheme="majorHAnsi" w:cstheme="majorBidi"/>
      <w:i/>
      <w:iCs/>
      <w:color w:val="2E74B5" w:themeColor="accent1" w:themeShade="BF"/>
      <w:sz w:val="24"/>
      <w:lang w:val="en-GB"/>
    </w:rPr>
  </w:style>
  <w:style w:type="character" w:customStyle="1" w:styleId="Heading3Char">
    <w:name w:val="Heading 3 Char"/>
    <w:basedOn w:val="DefaultParagraphFont"/>
    <w:link w:val="Heading3"/>
    <w:uiPriority w:val="9"/>
    <w:rsid w:val="00685F32"/>
    <w:rPr>
      <w:rFonts w:ascii="Times New Roman" w:hAnsi="Times New Roman" w:cs="Times New Roman"/>
      <w:i/>
      <w:sz w:val="24"/>
    </w:rPr>
  </w:style>
  <w:style w:type="paragraph" w:styleId="ListParagraph">
    <w:name w:val="List Paragraph"/>
    <w:basedOn w:val="Normal"/>
    <w:uiPriority w:val="34"/>
    <w:qFormat/>
    <w:rsid w:val="00EB2C9E"/>
    <w:pPr>
      <w:ind w:left="720"/>
      <w:contextualSpacing/>
    </w:pPr>
  </w:style>
  <w:style w:type="paragraph" w:styleId="TOC3">
    <w:name w:val="toc 3"/>
    <w:basedOn w:val="Normal"/>
    <w:next w:val="Normal"/>
    <w:autoRedefine/>
    <w:uiPriority w:val="39"/>
    <w:unhideWhenUsed/>
    <w:rsid w:val="000D79EB"/>
    <w:pPr>
      <w:spacing w:after="100"/>
      <w:ind w:left="480"/>
    </w:pPr>
  </w:style>
  <w:style w:type="paragraph" w:styleId="Header">
    <w:name w:val="header"/>
    <w:basedOn w:val="Normal"/>
    <w:link w:val="HeaderChar"/>
    <w:uiPriority w:val="99"/>
    <w:unhideWhenUsed/>
    <w:rsid w:val="000D79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79EB"/>
    <w:rPr>
      <w:rFonts w:ascii="Times New Roman" w:hAnsi="Times New Roman" w:cs="Times New Roman"/>
      <w:sz w:val="24"/>
      <w:lang w:val="en-GB"/>
    </w:rPr>
  </w:style>
  <w:style w:type="paragraph" w:styleId="Footer">
    <w:name w:val="footer"/>
    <w:basedOn w:val="Normal"/>
    <w:link w:val="FooterChar"/>
    <w:uiPriority w:val="99"/>
    <w:unhideWhenUsed/>
    <w:rsid w:val="000D79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79EB"/>
    <w:rPr>
      <w:rFonts w:ascii="Times New Roman" w:hAnsi="Times New Roman" w:cs="Times New Roman"/>
      <w:sz w:val="24"/>
      <w:lang w:val="en-GB"/>
    </w:rPr>
  </w:style>
  <w:style w:type="paragraph" w:styleId="Caption">
    <w:name w:val="caption"/>
    <w:basedOn w:val="Normal"/>
    <w:next w:val="Normal"/>
    <w:uiPriority w:val="35"/>
    <w:unhideWhenUsed/>
    <w:qFormat/>
    <w:rsid w:val="00706D9F"/>
    <w:pPr>
      <w:spacing w:after="200" w:line="240" w:lineRule="auto"/>
      <w:jc w:val="center"/>
    </w:pPr>
    <w:rPr>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BD363-4D4E-4319-90FE-8539E414B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3229</Words>
  <Characters>18408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1199</dc:creator>
  <cp:lastModifiedBy>ANA</cp:lastModifiedBy>
  <cp:revision>5</cp:revision>
  <dcterms:created xsi:type="dcterms:W3CDTF">2024-05-30T18:29:00Z</dcterms:created>
  <dcterms:modified xsi:type="dcterms:W3CDTF">2024-05-31T12:10:00Z</dcterms:modified>
</cp:coreProperties>
</file>