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ADE0F" w14:textId="77777777" w:rsidR="00D875D9" w:rsidRDefault="00000000">
      <w:pPr>
        <w:spacing w:line="360" w:lineRule="auto"/>
        <w:rPr>
          <w:rFonts w:cs="Arial"/>
          <w:szCs w:val="24"/>
        </w:rPr>
      </w:pPr>
      <w:r>
        <w:rPr>
          <w:rFonts w:cs="Arial"/>
          <w:noProof/>
        </w:rPr>
        <w:drawing>
          <wp:anchor distT="0" distB="0" distL="114300" distR="114300" simplePos="0" relativeHeight="251659264" behindDoc="0" locked="0" layoutInCell="1" allowOverlap="1" wp14:anchorId="198512B1" wp14:editId="212ABE9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pic:spPr>
                </pic:pic>
              </a:graphicData>
            </a:graphic>
          </wp:anchor>
        </w:drawing>
      </w:r>
    </w:p>
    <w:p w14:paraId="53C5C0B6" w14:textId="77777777" w:rsidR="00D875D9" w:rsidRDefault="00D875D9">
      <w:pPr>
        <w:spacing w:line="360" w:lineRule="auto"/>
        <w:rPr>
          <w:rFonts w:cs="Arial"/>
          <w:szCs w:val="24"/>
        </w:rPr>
      </w:pPr>
    </w:p>
    <w:p w14:paraId="647EE918" w14:textId="77777777" w:rsidR="00D875D9" w:rsidRDefault="00D875D9">
      <w:pPr>
        <w:spacing w:line="360" w:lineRule="auto"/>
        <w:rPr>
          <w:rFonts w:cs="Arial"/>
          <w:szCs w:val="24"/>
        </w:rPr>
      </w:pPr>
    </w:p>
    <w:p w14:paraId="73C13BE5" w14:textId="77777777" w:rsidR="00D875D9" w:rsidRDefault="00D875D9">
      <w:pPr>
        <w:spacing w:line="360" w:lineRule="auto"/>
        <w:rPr>
          <w:rFonts w:cs="Arial"/>
          <w:szCs w:val="24"/>
        </w:rPr>
      </w:pPr>
    </w:p>
    <w:p w14:paraId="5723BBE6" w14:textId="77777777" w:rsidR="00D875D9" w:rsidRDefault="00D875D9">
      <w:pPr>
        <w:spacing w:before="400" w:line="360" w:lineRule="auto"/>
        <w:rPr>
          <w:b/>
        </w:rPr>
      </w:pPr>
    </w:p>
    <w:p w14:paraId="10EC3C33" w14:textId="77777777" w:rsidR="00D875D9" w:rsidRDefault="00000000">
      <w:pPr>
        <w:spacing w:before="400" w:line="360" w:lineRule="auto"/>
        <w:jc w:val="center"/>
      </w:pPr>
      <w:r>
        <w:rPr>
          <w:b/>
        </w:rPr>
        <w:t>University of Wales Trinity Saint David</w:t>
      </w:r>
    </w:p>
    <w:p w14:paraId="51CE3B9B" w14:textId="77777777" w:rsidR="00D875D9" w:rsidRDefault="00000000">
      <w:pPr>
        <w:spacing w:line="360" w:lineRule="auto"/>
        <w:jc w:val="center"/>
      </w:pPr>
      <w:r>
        <w:rPr>
          <w:b/>
        </w:rPr>
        <w:t>BSc (Hons) Health and Social Care</w:t>
      </w:r>
    </w:p>
    <w:p w14:paraId="6FD1834B" w14:textId="77777777" w:rsidR="00D875D9" w:rsidRDefault="00000000">
      <w:pPr>
        <w:spacing w:line="360" w:lineRule="auto"/>
        <w:jc w:val="center"/>
      </w:pPr>
      <w:r>
        <w:rPr>
          <w:b/>
        </w:rPr>
        <w:t>BMHP5016 – Principles of Health and Social Care Practice</w:t>
      </w:r>
    </w:p>
    <w:p w14:paraId="53A6DA38" w14:textId="77777777" w:rsidR="00D875D9" w:rsidRDefault="00000000">
      <w:pPr>
        <w:spacing w:before="500" w:line="360" w:lineRule="auto"/>
        <w:jc w:val="center"/>
      </w:pPr>
      <w:r>
        <w:rPr>
          <w:b/>
        </w:rPr>
        <w:t xml:space="preserve">Component 1: </w:t>
      </w:r>
      <w:r w:rsidRPr="00F17710">
        <w:rPr>
          <w:bCs/>
        </w:rPr>
        <w:t>Reflective Report</w:t>
      </w:r>
    </w:p>
    <w:p w14:paraId="430E677E" w14:textId="77777777" w:rsidR="00D875D9" w:rsidRDefault="00000000">
      <w:pPr>
        <w:spacing w:before="200" w:line="360" w:lineRule="auto"/>
        <w:jc w:val="center"/>
      </w:pPr>
      <w:r>
        <w:rPr>
          <w:b/>
        </w:rPr>
        <w:t xml:space="preserve">Student Name: </w:t>
      </w:r>
      <w:r>
        <w:t>Esther Okunuga</w:t>
      </w:r>
    </w:p>
    <w:p w14:paraId="1AA51BC0" w14:textId="77777777" w:rsidR="00D875D9" w:rsidRDefault="00000000">
      <w:pPr>
        <w:spacing w:before="200" w:line="360" w:lineRule="auto"/>
        <w:jc w:val="center"/>
      </w:pPr>
      <w:r>
        <w:rPr>
          <w:b/>
        </w:rPr>
        <w:t xml:space="preserve">Student ID: </w:t>
      </w:r>
      <w:r>
        <w:t>2509873</w:t>
      </w:r>
    </w:p>
    <w:p w14:paraId="4B265975" w14:textId="2266CD8F" w:rsidR="00D875D9" w:rsidRDefault="00000000">
      <w:pPr>
        <w:spacing w:before="200" w:line="360" w:lineRule="auto"/>
        <w:jc w:val="center"/>
      </w:pPr>
      <w:r>
        <w:rPr>
          <w:b/>
          <w:bCs/>
        </w:rPr>
        <w:t xml:space="preserve">Lecturer name: </w:t>
      </w:r>
      <w:r w:rsidR="005E7A16" w:rsidRPr="005E7A16">
        <w:t>Dr Arif Ahmed</w:t>
      </w:r>
    </w:p>
    <w:p w14:paraId="1942CD00" w14:textId="77777777" w:rsidR="00D875D9" w:rsidRDefault="00000000">
      <w:pPr>
        <w:spacing w:after="0" w:line="240" w:lineRule="auto"/>
        <w:rPr>
          <w:b/>
          <w:bCs/>
        </w:rPr>
      </w:pPr>
      <w:r>
        <w:rPr>
          <w:b/>
          <w:bCs/>
        </w:rPr>
        <w:br w:type="page"/>
      </w:r>
    </w:p>
    <w:p w14:paraId="32BF3744" w14:textId="77777777" w:rsidR="00D875D9" w:rsidRDefault="00000000">
      <w:pPr>
        <w:spacing w:before="480" w:after="120" w:line="360" w:lineRule="auto"/>
      </w:pPr>
      <w:r>
        <w:rPr>
          <w:b/>
          <w:bCs/>
        </w:rPr>
        <w:lastRenderedPageBreak/>
        <w:t>Table of contents</w:t>
      </w:r>
    </w:p>
    <w:p w14:paraId="6CB8035E" w14:textId="77777777" w:rsidR="00D875D9" w:rsidRDefault="00000000">
      <w:pPr>
        <w:pStyle w:val="TOC1"/>
        <w:tabs>
          <w:tab w:val="right" w:leader="dot" w:pos="9350"/>
        </w:tabs>
      </w:pPr>
      <w:r>
        <w:fldChar w:fldCharType="begin"/>
      </w:r>
      <w:r>
        <w:instrText xml:space="preserve"> TOC \o "1-1" \h \z \u </w:instrText>
      </w:r>
      <w:r>
        <w:fldChar w:fldCharType="separate"/>
      </w:r>
      <w:hyperlink w:anchor="_Toc243644798" w:history="1">
        <w:r>
          <w:rPr>
            <w:rStyle w:val="Hyperlink"/>
          </w:rPr>
          <w:t>Introduction</w:t>
        </w:r>
        <w:r>
          <w:tab/>
        </w:r>
        <w:r>
          <w:fldChar w:fldCharType="begin"/>
        </w:r>
        <w:r>
          <w:instrText xml:space="preserve"> PAGEREF _Toc243644798 \h </w:instrText>
        </w:r>
        <w:r>
          <w:fldChar w:fldCharType="separate"/>
        </w:r>
        <w:r>
          <w:t>3</w:t>
        </w:r>
        <w:r>
          <w:fldChar w:fldCharType="end"/>
        </w:r>
      </w:hyperlink>
    </w:p>
    <w:p w14:paraId="6A661AEB" w14:textId="3FA255DD" w:rsidR="00D875D9" w:rsidRDefault="00000000">
      <w:pPr>
        <w:pStyle w:val="TOC1"/>
        <w:tabs>
          <w:tab w:val="right" w:leader="dot" w:pos="9350"/>
        </w:tabs>
      </w:pPr>
      <w:hyperlink w:anchor="_Toc243644799" w:history="1">
        <w:r>
          <w:rPr>
            <w:rStyle w:val="Hyperlink"/>
          </w:rPr>
          <w:t xml:space="preserve">Task 1: </w:t>
        </w:r>
        <w:r w:rsidR="00F17710">
          <w:rPr>
            <w:rStyle w:val="Hyperlink"/>
          </w:rPr>
          <w:t>Reflect and de</w:t>
        </w:r>
        <w:r>
          <w:rPr>
            <w:rStyle w:val="Hyperlink"/>
          </w:rPr>
          <w:t>monstrate a strong understanding of person-centred care, partnership working, and ethics, and discuss their relevance to UK health and social care practice</w:t>
        </w:r>
        <w:r>
          <w:tab/>
        </w:r>
        <w:r>
          <w:fldChar w:fldCharType="begin"/>
        </w:r>
        <w:r>
          <w:instrText xml:space="preserve"> PAGEREF _Toc243644799 \h </w:instrText>
        </w:r>
        <w:r>
          <w:fldChar w:fldCharType="separate"/>
        </w:r>
        <w:r>
          <w:t>3</w:t>
        </w:r>
        <w:r>
          <w:fldChar w:fldCharType="end"/>
        </w:r>
      </w:hyperlink>
    </w:p>
    <w:p w14:paraId="6A238741" w14:textId="77777777" w:rsidR="00D875D9" w:rsidRDefault="00000000">
      <w:pPr>
        <w:pStyle w:val="TOC1"/>
        <w:tabs>
          <w:tab w:val="right" w:leader="dot" w:pos="9350"/>
        </w:tabs>
      </w:pPr>
      <w:hyperlink w:anchor="_Toc243644800" w:history="1">
        <w:r>
          <w:rPr>
            <w:rStyle w:val="Hyperlink"/>
          </w:rPr>
          <w:t>Task 2: Provide practical examples from personal or professional experience to illustrate how these principles improve care and health outcomes</w:t>
        </w:r>
        <w:r>
          <w:tab/>
        </w:r>
        <w:r>
          <w:fldChar w:fldCharType="begin"/>
        </w:r>
        <w:r>
          <w:instrText xml:space="preserve"> PAGEREF _Toc243644800 \h </w:instrText>
        </w:r>
        <w:r>
          <w:fldChar w:fldCharType="separate"/>
        </w:r>
        <w:r>
          <w:t>4</w:t>
        </w:r>
        <w:r>
          <w:fldChar w:fldCharType="end"/>
        </w:r>
      </w:hyperlink>
    </w:p>
    <w:p w14:paraId="7008B94E" w14:textId="0A027BA4" w:rsidR="00D875D9" w:rsidRDefault="00000000">
      <w:pPr>
        <w:pStyle w:val="TOC1"/>
        <w:tabs>
          <w:tab w:val="right" w:leader="dot" w:pos="9350"/>
        </w:tabs>
      </w:pPr>
      <w:hyperlink w:anchor="_Toc243644801" w:history="1">
        <w:r>
          <w:rPr>
            <w:rStyle w:val="Hyperlink"/>
          </w:rPr>
          <w:t xml:space="preserve">Task 3: </w:t>
        </w:r>
        <w:r w:rsidR="00F17710">
          <w:rPr>
            <w:rStyle w:val="Hyperlink"/>
          </w:rPr>
          <w:t>Critical self-reflection</w:t>
        </w:r>
        <w:r>
          <w:rPr>
            <w:rStyle w:val="Hyperlink"/>
          </w:rPr>
          <w:t xml:space="preserve"> as a Health and Social Care Professional</w:t>
        </w:r>
        <w:r>
          <w:tab/>
        </w:r>
        <w:r>
          <w:fldChar w:fldCharType="begin"/>
        </w:r>
        <w:r>
          <w:instrText xml:space="preserve"> PAGEREF _Toc243644801 \h </w:instrText>
        </w:r>
        <w:r>
          <w:fldChar w:fldCharType="separate"/>
        </w:r>
        <w:r>
          <w:t>5</w:t>
        </w:r>
        <w:r>
          <w:fldChar w:fldCharType="end"/>
        </w:r>
      </w:hyperlink>
    </w:p>
    <w:p w14:paraId="19B9C65F" w14:textId="77777777" w:rsidR="00D875D9" w:rsidRDefault="00000000">
      <w:pPr>
        <w:pStyle w:val="TOC1"/>
        <w:tabs>
          <w:tab w:val="right" w:leader="dot" w:pos="9350"/>
        </w:tabs>
      </w:pPr>
      <w:hyperlink w:anchor="_Toc243644802" w:history="1">
        <w:r>
          <w:rPr>
            <w:rStyle w:val="Hyperlink"/>
          </w:rPr>
          <w:t>Conclusion</w:t>
        </w:r>
        <w:r>
          <w:tab/>
        </w:r>
        <w:r>
          <w:fldChar w:fldCharType="begin"/>
        </w:r>
        <w:r>
          <w:instrText xml:space="preserve"> PAGEREF _Toc243644802 \h </w:instrText>
        </w:r>
        <w:r>
          <w:fldChar w:fldCharType="separate"/>
        </w:r>
        <w:r>
          <w:t>8</w:t>
        </w:r>
        <w:r>
          <w:fldChar w:fldCharType="end"/>
        </w:r>
      </w:hyperlink>
    </w:p>
    <w:p w14:paraId="06FBE6AF" w14:textId="77777777" w:rsidR="00D875D9" w:rsidRDefault="00000000">
      <w:pPr>
        <w:pStyle w:val="TOC1"/>
        <w:tabs>
          <w:tab w:val="right" w:leader="dot" w:pos="9350"/>
        </w:tabs>
      </w:pPr>
      <w:hyperlink w:anchor="_Toc243644803" w:history="1">
        <w:r>
          <w:rPr>
            <w:rStyle w:val="Hyperlink"/>
          </w:rPr>
          <w:t>References</w:t>
        </w:r>
        <w:r>
          <w:tab/>
        </w:r>
        <w:r>
          <w:fldChar w:fldCharType="begin"/>
        </w:r>
        <w:r>
          <w:instrText xml:space="preserve"> PAGEREF _Toc243644803 \h </w:instrText>
        </w:r>
        <w:r>
          <w:fldChar w:fldCharType="separate"/>
        </w:r>
        <w:r>
          <w:t>9</w:t>
        </w:r>
        <w:r>
          <w:fldChar w:fldCharType="end"/>
        </w:r>
      </w:hyperlink>
    </w:p>
    <w:p w14:paraId="08CD7595" w14:textId="77777777" w:rsidR="00D875D9" w:rsidRDefault="00000000">
      <w:pPr>
        <w:tabs>
          <w:tab w:val="right" w:leader="dot" w:pos="9350"/>
        </w:tabs>
        <w:spacing w:after="60" w:line="360" w:lineRule="auto"/>
        <w:ind w:right="600"/>
      </w:pPr>
      <w:r>
        <w:fldChar w:fldCharType="end"/>
      </w:r>
    </w:p>
    <w:p w14:paraId="4D249CD6" w14:textId="77777777" w:rsidR="00D875D9" w:rsidRDefault="00000000">
      <w:pPr>
        <w:spacing w:line="360" w:lineRule="auto"/>
      </w:pPr>
      <w:r>
        <w:br w:type="page"/>
      </w:r>
    </w:p>
    <w:p w14:paraId="10A19111" w14:textId="77777777" w:rsidR="00D875D9" w:rsidRDefault="00000000">
      <w:pPr>
        <w:pStyle w:val="Heading1"/>
        <w:spacing w:before="240" w:after="120" w:line="360" w:lineRule="auto"/>
      </w:pPr>
      <w:bookmarkStart w:id="0" w:name="_Toc243644798"/>
      <w:r>
        <w:lastRenderedPageBreak/>
        <w:t>Introduction</w:t>
      </w:r>
      <w:bookmarkEnd w:id="0"/>
    </w:p>
    <w:p w14:paraId="2146EC0E" w14:textId="7DC1FD3E" w:rsidR="00D875D9" w:rsidRDefault="00000000">
      <w:pPr>
        <w:spacing w:after="120" w:line="360" w:lineRule="auto"/>
        <w:ind w:firstLine="357"/>
      </w:pPr>
      <w:r>
        <w:t>Dignity, choice, safety and wellbeing should be safeguarded by health and social care. This report is a reflection on person-</w:t>
      </w:r>
      <w:proofErr w:type="spellStart"/>
      <w:r>
        <w:t>centred</w:t>
      </w:r>
      <w:proofErr w:type="spellEnd"/>
      <w:r>
        <w:t xml:space="preserve"> care, partnership working and ethics, and what each of these means to my </w:t>
      </w:r>
      <w:r w:rsidR="005E7A16">
        <w:t>practice [</w:t>
      </w:r>
      <w:r>
        <w:t xml:space="preserve">1.1]. I consider these values interdependent, as safe care means that I need to know the individual, cooperate with others and make responsible decisions. My reflection is based on my experience as a Support Worker with vulnerable children based on one </w:t>
      </w:r>
      <w:proofErr w:type="spellStart"/>
      <w:r>
        <w:t>anonymised</w:t>
      </w:r>
      <w:proofErr w:type="spellEnd"/>
      <w:r>
        <w:t xml:space="preserve"> experience. I have a history of more than three years working in support positions and I am interested in a career in health and social care.</w:t>
      </w:r>
    </w:p>
    <w:p w14:paraId="38DA9560" w14:textId="77777777" w:rsidR="00D875D9" w:rsidRDefault="00000000">
      <w:pPr>
        <w:pStyle w:val="Heading1"/>
        <w:spacing w:before="240" w:after="120" w:line="360" w:lineRule="auto"/>
      </w:pPr>
      <w:bookmarkStart w:id="1" w:name="_Toc243644799"/>
      <w:r>
        <w:t>Task 1: Demonstrate a strong understanding of person-</w:t>
      </w:r>
      <w:proofErr w:type="spellStart"/>
      <w:r>
        <w:t>centred</w:t>
      </w:r>
      <w:proofErr w:type="spellEnd"/>
      <w:r>
        <w:t xml:space="preserve"> care, partnership working, and ethics, and discuss their relevance to UK health and social care practice</w:t>
      </w:r>
      <w:bookmarkEnd w:id="1"/>
    </w:p>
    <w:p w14:paraId="34A157DF" w14:textId="77777777" w:rsidR="00D875D9" w:rsidRDefault="00000000">
      <w:pPr>
        <w:pStyle w:val="Heading2"/>
        <w:spacing w:before="160" w:after="80" w:line="360" w:lineRule="auto"/>
      </w:pPr>
      <w:r>
        <w:t>Reflecting on person-</w:t>
      </w:r>
      <w:proofErr w:type="spellStart"/>
      <w:r>
        <w:t>centred</w:t>
      </w:r>
      <w:proofErr w:type="spellEnd"/>
      <w:r>
        <w:t xml:space="preserve"> care</w:t>
      </w:r>
    </w:p>
    <w:p w14:paraId="2CB4D13E" w14:textId="77777777" w:rsidR="00D875D9" w:rsidRDefault="00000000">
      <w:pPr>
        <w:spacing w:after="120" w:line="360" w:lineRule="auto"/>
        <w:ind w:firstLine="357"/>
      </w:pPr>
      <w:r>
        <w:t>I reflect that person-</w:t>
      </w:r>
      <w:proofErr w:type="spellStart"/>
      <w:r>
        <w:t>centred</w:t>
      </w:r>
      <w:proofErr w:type="spellEnd"/>
      <w:r>
        <w:t xml:space="preserve"> care involves engagement with people as opposed to doing to them. This approach is associated with the humanistic theory of Rogers (Rogers, 1961). Rogers stressed the importance of empathy, unconditional positive regard and authentic relationships. I </w:t>
      </w:r>
      <w:proofErr w:type="spellStart"/>
      <w:r>
        <w:t>recognise</w:t>
      </w:r>
      <w:proofErr w:type="spellEnd"/>
      <w:r>
        <w:t xml:space="preserve"> that such conditions may make people feel respected and more able to engage in care (Chapman, 2017). According to CQC, care must be personalized to the needs and preferences (CQC, 2026), which is the standard I hold my own practice </w:t>
      </w:r>
      <w:proofErr w:type="gramStart"/>
      <w:r>
        <w:t>to</w:t>
      </w:r>
      <w:proofErr w:type="gramEnd"/>
      <w:r>
        <w:t>.</w:t>
      </w:r>
    </w:p>
    <w:p w14:paraId="2FCBF916" w14:textId="77777777" w:rsidR="00D875D9" w:rsidRDefault="00000000">
      <w:pPr>
        <w:spacing w:after="120" w:line="360" w:lineRule="auto"/>
        <w:ind w:firstLine="357"/>
      </w:pPr>
      <w:r>
        <w:t>In my reflection, this approach is also supported by Maslow's hierarchy of needs (Maslow, 1943). It reminds me that emotional and social wellbeing can be impacted by physical safety. The model is however not to be taken as a strict order since individuals can undergo multiple needs simultaneously. In practice, I therefore ask what the individual cares about and not only what I think they need. The Care Act 2014 reinforces wellbeing, dignity, control and individual wishes (Care Act, 2014).</w:t>
      </w:r>
    </w:p>
    <w:p w14:paraId="3F1F985C" w14:textId="77777777" w:rsidR="00D875D9" w:rsidRDefault="00000000">
      <w:pPr>
        <w:pStyle w:val="Heading2"/>
        <w:spacing w:before="160" w:after="80" w:line="360" w:lineRule="auto"/>
      </w:pPr>
      <w:r>
        <w:t>Reflecting on partnership working</w:t>
      </w:r>
    </w:p>
    <w:p w14:paraId="3A24D352" w14:textId="77777777" w:rsidR="00D875D9" w:rsidRDefault="00000000">
      <w:pPr>
        <w:spacing w:after="120" w:line="360" w:lineRule="auto"/>
        <w:ind w:firstLine="357"/>
      </w:pPr>
      <w:r>
        <w:t xml:space="preserve">I reflect that partnership working </w:t>
      </w:r>
      <w:proofErr w:type="gramStart"/>
      <w:r>
        <w:t>implies</w:t>
      </w:r>
      <w:proofErr w:type="gramEnd"/>
      <w:r>
        <w:t xml:space="preserve"> knowledge sharing, responsibilities </w:t>
      </w:r>
      <w:proofErr w:type="gramStart"/>
      <w:r>
        <w:t>and</w:t>
      </w:r>
      <w:proofErr w:type="gramEnd"/>
      <w:r>
        <w:t xml:space="preserve"> decisions with the person, family, carers and other involved professionals. Integrated care partnerships were also created by the Health and Care Act 2022 (Health and Care Act, 2022), so that services collaborate around local needs. This demonstrates that teamwork is within the fabric of UK health and care.</w:t>
      </w:r>
    </w:p>
    <w:p w14:paraId="31CBB8B9" w14:textId="77777777" w:rsidR="00D875D9" w:rsidRDefault="00000000">
      <w:pPr>
        <w:spacing w:after="120" w:line="360" w:lineRule="auto"/>
        <w:ind w:firstLine="357"/>
      </w:pPr>
      <w:r>
        <w:lastRenderedPageBreak/>
        <w:t>I reflect that the continuity and gaps between services can be enhanced through partnership. Good partnership does not imply that we are always in agreement. I have sometimes hesitated to raise differences with colleagues, and my action plan addresses this.</w:t>
      </w:r>
    </w:p>
    <w:p w14:paraId="6F7A5311" w14:textId="77777777" w:rsidR="00D875D9" w:rsidRDefault="00000000">
      <w:pPr>
        <w:pStyle w:val="Heading2"/>
        <w:spacing w:before="160" w:after="80" w:line="360" w:lineRule="auto"/>
      </w:pPr>
      <w:r>
        <w:t>Reflecting on ethics</w:t>
      </w:r>
    </w:p>
    <w:p w14:paraId="42D1A66A" w14:textId="760AA713" w:rsidR="00D875D9" w:rsidRDefault="00000000">
      <w:pPr>
        <w:spacing w:after="120" w:line="360" w:lineRule="auto"/>
        <w:ind w:firstLine="357"/>
      </w:pPr>
      <w:r>
        <w:t xml:space="preserve">When considering ethics, I find that it helps professionals to make judgement on what is right in the event of conflict of values or duties. Some of the key principles include autonomy, beneficence, non-maleficence and justice (Beauchamp and Childress, 2019). Autonomy means the justification of informed decisions. Beneficence is promoting the wellbeing of the person. Non-maleficence means that there is no harm. Equality in treatment and access is a requirement of justice. In the case of children, these principles might be conflicting, such as the desires of a child and my obligation to ensure his safety. I also consider that </w:t>
      </w:r>
      <w:r w:rsidR="00F17710">
        <w:t>ethics</w:t>
      </w:r>
      <w:r>
        <w:t xml:space="preserve"> of care emphasizes </w:t>
      </w:r>
      <w:r w:rsidR="005E7A16">
        <w:t>vulnerability</w:t>
      </w:r>
      <w:r>
        <w:t xml:space="preserve"> and dependency as human conditions (Nguyen, </w:t>
      </w:r>
      <w:proofErr w:type="spellStart"/>
      <w:r>
        <w:t>Zavoretti</w:t>
      </w:r>
      <w:proofErr w:type="spellEnd"/>
      <w:r>
        <w:t xml:space="preserve"> and </w:t>
      </w:r>
      <w:proofErr w:type="spellStart"/>
      <w:r>
        <w:t>Tronto</w:t>
      </w:r>
      <w:proofErr w:type="spellEnd"/>
      <w:r>
        <w:t>, 2017), which also makes me view the need of a child to be supported as a part of care and not weakness.</w:t>
      </w:r>
    </w:p>
    <w:p w14:paraId="7FEA186E" w14:textId="3A1A28AC" w:rsidR="00D875D9" w:rsidRDefault="00000000">
      <w:pPr>
        <w:spacing w:after="120" w:line="360" w:lineRule="auto"/>
        <w:ind w:firstLine="357"/>
      </w:pPr>
      <w:r>
        <w:t xml:space="preserve">Ethical practice with confidentiality, dignity and safeguarding is also necessary and I consider </w:t>
      </w:r>
      <w:r w:rsidR="005E7A16">
        <w:t>it</w:t>
      </w:r>
      <w:r>
        <w:t xml:space="preserve"> my professional practice. Mental Capacity Act 2005 assumes that the capacity is presumed unless it is proved otherwise (Mental Capacity Act, 2005). It promotes least restrictive practice and decision making. Respect, compassion, equality and involvement are supported by the NHS Constitution (DHSC, 2023).</w:t>
      </w:r>
    </w:p>
    <w:p w14:paraId="52B831B1" w14:textId="77777777" w:rsidR="00D875D9" w:rsidRDefault="00000000">
      <w:pPr>
        <w:pStyle w:val="Heading1"/>
        <w:spacing w:before="240" w:after="120" w:line="360" w:lineRule="auto"/>
      </w:pPr>
      <w:bookmarkStart w:id="2" w:name="_Toc243644800"/>
      <w:r>
        <w:t>Task 2: Provide practical examples from personal or professional experience to illustrate how these principles improve care and health outcomes</w:t>
      </w:r>
      <w:bookmarkEnd w:id="2"/>
    </w:p>
    <w:p w14:paraId="7F572558" w14:textId="77777777" w:rsidR="00D875D9" w:rsidRDefault="00000000">
      <w:pPr>
        <w:spacing w:after="120" w:line="360" w:lineRule="auto"/>
        <w:ind w:firstLine="357"/>
      </w:pPr>
      <w:r>
        <w:t xml:space="preserve">A fictitious case of my support work was of a vulnerable child who required some assistance in daily routines, emotional health and interest in education. The key issues were distress </w:t>
      </w:r>
      <w:proofErr w:type="gramStart"/>
      <w:r>
        <w:t>in the area of</w:t>
      </w:r>
      <w:proofErr w:type="gramEnd"/>
      <w:r>
        <w:t xml:space="preserve"> routines, mood variations and uneven participation in learning. I adhered to the care plan and applied calm communication to find out what the child struggled with. I provided the correct options concerning the sequence of actions and activities and maintained the required safety limits. The information has been </w:t>
      </w:r>
      <w:proofErr w:type="spellStart"/>
      <w:r>
        <w:t>anonymised</w:t>
      </w:r>
      <w:proofErr w:type="spellEnd"/>
      <w:r>
        <w:t xml:space="preserve"> by removing identifiable details and </w:t>
      </w:r>
      <w:proofErr w:type="spellStart"/>
      <w:r>
        <w:t>generalised</w:t>
      </w:r>
      <w:proofErr w:type="spellEnd"/>
      <w:r>
        <w:t xml:space="preserve"> the context information to ensure confidentiality.</w:t>
      </w:r>
    </w:p>
    <w:p w14:paraId="4D409D33" w14:textId="72C5FB2B" w:rsidR="00D875D9" w:rsidRDefault="00000000">
      <w:pPr>
        <w:spacing w:after="120" w:line="360" w:lineRule="auto"/>
        <w:ind w:firstLine="357"/>
        <w:rPr>
          <w:bCs/>
        </w:rPr>
      </w:pPr>
      <w:r>
        <w:t>Person-</w:t>
      </w:r>
      <w:proofErr w:type="spellStart"/>
      <w:r>
        <w:t>centred</w:t>
      </w:r>
      <w:proofErr w:type="spellEnd"/>
      <w:r>
        <w:t xml:space="preserve"> care </w:t>
      </w:r>
      <w:r w:rsidR="005E7A16">
        <w:t>entails</w:t>
      </w:r>
      <w:r>
        <w:t xml:space="preserve"> addressing the needs of the child instead of applying the same strategy to all children. I listened to responses of the child and observed </w:t>
      </w:r>
      <w:r w:rsidR="005E7A16">
        <w:t>behavioral</w:t>
      </w:r>
      <w:r>
        <w:t xml:space="preserve"> changes and then determined the level of support required. The concepts of Rogers are applicable since trust can be enabled by empathy and </w:t>
      </w:r>
      <w:r w:rsidR="005E7A16">
        <w:t>non-judgmental</w:t>
      </w:r>
      <w:r>
        <w:t xml:space="preserve"> relationships (Chapman, 2017). </w:t>
      </w:r>
      <w:r>
        <w:rPr>
          <w:bCs/>
        </w:rPr>
        <w:t xml:space="preserve">Maslow’s </w:t>
      </w:r>
      <w:r>
        <w:rPr>
          <w:bCs/>
        </w:rPr>
        <w:lastRenderedPageBreak/>
        <w:t xml:space="preserve">hierarchy is also applicable </w:t>
      </w:r>
      <w:proofErr w:type="gramStart"/>
      <w:r>
        <w:rPr>
          <w:bCs/>
        </w:rPr>
        <w:t>due to the fact that</w:t>
      </w:r>
      <w:proofErr w:type="gramEnd"/>
      <w:r>
        <w:rPr>
          <w:bCs/>
        </w:rPr>
        <w:t xml:space="preserve"> safety and emotional needs might influence </w:t>
      </w:r>
      <w:proofErr w:type="gramStart"/>
      <w:r>
        <w:rPr>
          <w:bCs/>
        </w:rPr>
        <w:t>the interest</w:t>
      </w:r>
      <w:proofErr w:type="gramEnd"/>
      <w:r>
        <w:rPr>
          <w:bCs/>
        </w:rPr>
        <w:t xml:space="preserve"> in education (Maslow, 1943).</w:t>
      </w:r>
    </w:p>
    <w:p w14:paraId="42DB8DA9" w14:textId="277D41AF" w:rsidR="00D875D9" w:rsidRDefault="00000000">
      <w:pPr>
        <w:spacing w:after="120" w:line="360" w:lineRule="auto"/>
        <w:ind w:firstLine="357"/>
      </w:pPr>
      <w:r>
        <w:t xml:space="preserve">Partnership </w:t>
      </w:r>
      <w:r w:rsidR="00F17710">
        <w:t>work</w:t>
      </w:r>
      <w:r>
        <w:t xml:space="preserve"> entailed interaction with the carers and other professionals involved with the child such as social care and education staff. Communication was done through the right channels </w:t>
      </w:r>
      <w:proofErr w:type="gramStart"/>
      <w:r>
        <w:t>in order to</w:t>
      </w:r>
      <w:proofErr w:type="gramEnd"/>
      <w:r>
        <w:t xml:space="preserve"> have continuity in support. Working Together to Safeguard Children 2026 emphasizes child-</w:t>
      </w:r>
      <w:proofErr w:type="spellStart"/>
      <w:r>
        <w:t>centred</w:t>
      </w:r>
      <w:proofErr w:type="spellEnd"/>
      <w:r>
        <w:t xml:space="preserve"> approach, multi-agency working and sharing information accordingly (DFE, 2026). I reflect that clear communication supports teamwork and shared responsibility. The result was </w:t>
      </w:r>
      <w:r w:rsidR="00F17710">
        <w:t>more</w:t>
      </w:r>
      <w:r>
        <w:t xml:space="preserve"> reliable support since adults were better informed about the needs and responses of the child.</w:t>
      </w:r>
    </w:p>
    <w:p w14:paraId="7BD667F4" w14:textId="08813A68" w:rsidR="00D875D9" w:rsidRDefault="00000000">
      <w:pPr>
        <w:spacing w:after="120" w:line="360" w:lineRule="auto"/>
        <w:ind w:firstLine="357"/>
      </w:pPr>
      <w:r>
        <w:t xml:space="preserve">Some of the ethical concerns raised were confidentiality, safeguarding, respect </w:t>
      </w:r>
      <w:r w:rsidR="00F17710">
        <w:t>for</w:t>
      </w:r>
      <w:r>
        <w:t xml:space="preserve"> the voice of the child and the boundaries of my role. I was not obliged to keep confidential when there was information that a danger of injury existed. I would document the issues in a factual manner and communicate </w:t>
      </w:r>
      <w:r w:rsidR="00F17710">
        <w:t>them</w:t>
      </w:r>
      <w:r>
        <w:t xml:space="preserve"> via the safeguarding process. The Children Act 1989 imposes responsibilities on the local authorities to protect and advance the good of children in need. They also demand that their wishes and feelings should be taken into consideration where necessary (Children Act</w:t>
      </w:r>
      <w:r>
        <w:rPr>
          <w:b/>
        </w:rPr>
        <w:t>,</w:t>
      </w:r>
      <w:r>
        <w:t xml:space="preserve"> 1989).</w:t>
      </w:r>
    </w:p>
    <w:p w14:paraId="6B5EFA7E" w14:textId="77777777" w:rsidR="00D875D9" w:rsidRDefault="00000000">
      <w:pPr>
        <w:spacing w:after="120" w:line="360" w:lineRule="auto"/>
        <w:ind w:firstLine="357"/>
      </w:pPr>
      <w:r>
        <w:t xml:space="preserve">The positive aspects were effective communication through calmness, routine, correct choice and communication on time with other adults. The child was better able to engage when support was predictable and respectful. Nevertheless, I might have requested other professionals to provide me with feedback concerning </w:t>
      </w:r>
      <w:proofErr w:type="spellStart"/>
      <w:r>
        <w:t>behaviour</w:t>
      </w:r>
      <w:proofErr w:type="spellEnd"/>
      <w:r>
        <w:t xml:space="preserve"> changes earlier. Person-</w:t>
      </w:r>
      <w:proofErr w:type="spellStart"/>
      <w:r>
        <w:t>centred</w:t>
      </w:r>
      <w:proofErr w:type="spellEnd"/>
      <w:r>
        <w:t xml:space="preserve"> practice may be constrained by the presence of staff time and communication barriers.  To improve outcomes and address challenges such as limited staff time, I would use shared written routines and regular multi-agency updates, in line with current safeguarding guidance (DFE, 2026).</w:t>
      </w:r>
    </w:p>
    <w:p w14:paraId="35BCA18B" w14:textId="77777777" w:rsidR="00D875D9" w:rsidRDefault="00000000">
      <w:pPr>
        <w:pStyle w:val="Heading1"/>
        <w:spacing w:before="240" w:after="120" w:line="360" w:lineRule="auto"/>
      </w:pPr>
      <w:bookmarkStart w:id="3" w:name="_Toc243644801"/>
      <w:r>
        <w:t>Task 3: Self-Reflection as a Health and Social Care Professional</w:t>
      </w:r>
      <w:bookmarkEnd w:id="3"/>
    </w:p>
    <w:p w14:paraId="208E2F62" w14:textId="77777777" w:rsidR="00D875D9" w:rsidRDefault="00000000">
      <w:pPr>
        <w:spacing w:after="120" w:line="360" w:lineRule="auto"/>
        <w:ind w:firstLine="357"/>
        <w:rPr>
          <w:bCs/>
        </w:rPr>
      </w:pPr>
      <w:r>
        <w:rPr>
          <w:bCs/>
        </w:rPr>
        <w:t>This reflection follows Gibbs’ (1988) reflective cycle: description, feelings, evaluation, analysis, conclusion and action plan.</w:t>
      </w:r>
    </w:p>
    <w:p w14:paraId="09BC8CEF" w14:textId="77777777" w:rsidR="00D875D9" w:rsidRDefault="00000000">
      <w:pPr>
        <w:pStyle w:val="Heading2"/>
        <w:spacing w:before="160" w:after="80" w:line="360" w:lineRule="auto"/>
      </w:pPr>
      <w:r>
        <w:t>Description</w:t>
      </w:r>
    </w:p>
    <w:p w14:paraId="2177677F" w14:textId="3C02CA11" w:rsidR="00D875D9" w:rsidRDefault="00000000">
      <w:pPr>
        <w:spacing w:after="120" w:line="360" w:lineRule="auto"/>
        <w:ind w:firstLine="357"/>
      </w:pPr>
      <w:r>
        <w:t xml:space="preserve">The </w:t>
      </w:r>
      <w:proofErr w:type="spellStart"/>
      <w:r>
        <w:t>anonymised</w:t>
      </w:r>
      <w:proofErr w:type="spellEnd"/>
      <w:r>
        <w:t xml:space="preserve"> child-support scenario that I consider in the Task 2 is the same. I was obliged to make the environment peaceful and at the same time allow the child to choose. I </w:t>
      </w:r>
      <w:r>
        <w:lastRenderedPageBreak/>
        <w:t xml:space="preserve">employed the care plan, monitored </w:t>
      </w:r>
      <w:r w:rsidR="00F17710">
        <w:t>behavior</w:t>
      </w:r>
      <w:r>
        <w:t>, documented pertinent data and reported issues to the relevant adults.</w:t>
      </w:r>
    </w:p>
    <w:p w14:paraId="7CCA2F3A" w14:textId="77777777" w:rsidR="00D875D9" w:rsidRDefault="00000000">
      <w:pPr>
        <w:pStyle w:val="Heading2"/>
        <w:spacing w:before="160" w:after="80" w:line="360" w:lineRule="auto"/>
      </w:pPr>
      <w:r>
        <w:t>Feelings</w:t>
      </w:r>
    </w:p>
    <w:p w14:paraId="7382B7D5" w14:textId="2A12A27A" w:rsidR="00D875D9" w:rsidRDefault="00000000">
      <w:pPr>
        <w:spacing w:after="120" w:line="360" w:lineRule="auto"/>
        <w:ind w:firstLine="357"/>
        <w:rPr>
          <w:bCs/>
        </w:rPr>
      </w:pPr>
      <w:r>
        <w:rPr>
          <w:bCs/>
        </w:rPr>
        <w:t xml:space="preserve">I felt uncertain when </w:t>
      </w:r>
      <w:r w:rsidR="00F17710">
        <w:rPr>
          <w:bCs/>
        </w:rPr>
        <w:t>behavior</w:t>
      </w:r>
      <w:r>
        <w:rPr>
          <w:bCs/>
        </w:rPr>
        <w:t xml:space="preserve"> altered, because I had to decide whether it was a sign of distress, routine difficulty or a protective concern. I also felt responsible for keeping the child safe while respecting their choices.</w:t>
      </w:r>
    </w:p>
    <w:p w14:paraId="78D358A4" w14:textId="77777777" w:rsidR="00D875D9" w:rsidRDefault="00000000">
      <w:pPr>
        <w:pStyle w:val="Heading2"/>
        <w:spacing w:before="160" w:after="80" w:line="360" w:lineRule="auto"/>
      </w:pPr>
      <w:r>
        <w:t>Evaluation</w:t>
      </w:r>
    </w:p>
    <w:p w14:paraId="5EFC8BEE" w14:textId="77777777" w:rsidR="00D875D9" w:rsidRDefault="00000000">
      <w:pPr>
        <w:spacing w:after="120" w:line="360" w:lineRule="auto"/>
        <w:ind w:firstLine="357"/>
      </w:pPr>
      <w:r>
        <w:t>I excelled at being compassionate, patient, listening, respecting and remaining calm when under pressure. These strengths reflect the empathy described by Rogers (1961) and helped me to earn trust and prevent escalating distress. I should also be able to speak up in case there is a pattern that could impact on safety or wellbeing.</w:t>
      </w:r>
    </w:p>
    <w:p w14:paraId="19910926" w14:textId="77777777" w:rsidR="00D875D9" w:rsidRDefault="00000000">
      <w:pPr>
        <w:spacing w:after="120" w:line="360" w:lineRule="auto"/>
        <w:ind w:firstLine="357"/>
      </w:pPr>
      <w:r>
        <w:t xml:space="preserve">I should develop an ability to be confident in challenging discussions, computer skills and additional clinical or administrative practice. The next thing I would do is to prepare some important facts prior to talking to a colleague instead of postponing an issue as I am afraid of disagreement. </w:t>
      </w:r>
    </w:p>
    <w:p w14:paraId="6C18A88E" w14:textId="77777777" w:rsidR="00D875D9" w:rsidRDefault="00000000">
      <w:pPr>
        <w:pStyle w:val="Heading2"/>
        <w:spacing w:before="160" w:after="80" w:line="360" w:lineRule="auto"/>
      </w:pPr>
      <w:r>
        <w:t>Analysis</w:t>
      </w:r>
    </w:p>
    <w:p w14:paraId="090740CE" w14:textId="77777777" w:rsidR="00D875D9" w:rsidRDefault="00000000">
      <w:pPr>
        <w:spacing w:after="120" w:line="360" w:lineRule="auto"/>
        <w:ind w:firstLine="357"/>
        <w:rPr>
          <w:bCs/>
        </w:rPr>
      </w:pPr>
      <w:r>
        <w:rPr>
          <w:bCs/>
        </w:rPr>
        <w:t xml:space="preserve">According to Gibbs (1988), reflection moves beyond describing an experience to </w:t>
      </w:r>
      <w:proofErr w:type="spellStart"/>
      <w:r>
        <w:rPr>
          <w:bCs/>
        </w:rPr>
        <w:t>analysing</w:t>
      </w:r>
      <w:proofErr w:type="spellEnd"/>
      <w:r>
        <w:rPr>
          <w:bCs/>
        </w:rPr>
        <w:t xml:space="preserve"> it, learning from it and planning action. On reflection, I was able to maintain </w:t>
      </w:r>
      <w:proofErr w:type="gramStart"/>
      <w:r>
        <w:rPr>
          <w:bCs/>
        </w:rPr>
        <w:t>a calm</w:t>
      </w:r>
      <w:proofErr w:type="gramEnd"/>
      <w:r>
        <w:rPr>
          <w:bCs/>
        </w:rPr>
        <w:t xml:space="preserve"> communication that facilitated engagement, however, my confidence in escalating issues could have been better.</w:t>
      </w:r>
    </w:p>
    <w:p w14:paraId="764DE3FE" w14:textId="2CEC11A3" w:rsidR="00D875D9" w:rsidRDefault="00000000">
      <w:pPr>
        <w:spacing w:after="120" w:line="360" w:lineRule="auto"/>
        <w:ind w:firstLine="357"/>
      </w:pPr>
      <w:r>
        <w:rPr>
          <w:bCs/>
        </w:rPr>
        <w:t xml:space="preserve">It was a strength that I was </w:t>
      </w:r>
      <w:proofErr w:type="gramStart"/>
      <w:r>
        <w:rPr>
          <w:bCs/>
        </w:rPr>
        <w:t>person-</w:t>
      </w:r>
      <w:proofErr w:type="spellStart"/>
      <w:r>
        <w:rPr>
          <w:bCs/>
        </w:rPr>
        <w:t>centred</w:t>
      </w:r>
      <w:proofErr w:type="spellEnd"/>
      <w:proofErr w:type="gramEnd"/>
      <w:r>
        <w:rPr>
          <w:bCs/>
        </w:rPr>
        <w:t xml:space="preserve"> since I always listened first and did not make any assumptions about the </w:t>
      </w:r>
      <w:proofErr w:type="spellStart"/>
      <w:r w:rsidR="00F17710">
        <w:rPr>
          <w:bCs/>
        </w:rPr>
        <w:t>behaviour</w:t>
      </w:r>
      <w:proofErr w:type="spellEnd"/>
      <w:r>
        <w:rPr>
          <w:bCs/>
        </w:rPr>
        <w:t xml:space="preserve"> of the child. This reflects the empathy and unconditional positive regard described by Rogers (1961). Nevertheless, the decisions of the child were not allowed to prevail over the guardian duties. I got to know that person-</w:t>
      </w:r>
      <w:proofErr w:type="spellStart"/>
      <w:r>
        <w:rPr>
          <w:bCs/>
        </w:rPr>
        <w:t>centred</w:t>
      </w:r>
      <w:proofErr w:type="spellEnd"/>
      <w:r>
        <w:rPr>
          <w:bCs/>
        </w:rPr>
        <w:t xml:space="preserve"> care does not merely mean giving all the choices. It entails providing meaningful</w:t>
      </w:r>
      <w:r>
        <w:t xml:space="preserve"> options within acceptable limits and justification of required limits.</w:t>
      </w:r>
    </w:p>
    <w:p w14:paraId="25307A37" w14:textId="03B5168E" w:rsidR="00D875D9" w:rsidRDefault="00000000">
      <w:pPr>
        <w:spacing w:after="120" w:line="360" w:lineRule="auto"/>
        <w:ind w:firstLine="357"/>
      </w:pPr>
      <w:r>
        <w:t xml:space="preserve">The hierarchy of Maslow (1943) also aids me in the analysis of the </w:t>
      </w:r>
      <w:proofErr w:type="spellStart"/>
      <w:r w:rsidR="00F17710">
        <w:t>behaviour</w:t>
      </w:r>
      <w:proofErr w:type="spellEnd"/>
      <w:r>
        <w:t xml:space="preserve"> of the child. In areas where the child struggled with routines, the child was not getting their safety and predictability needs met which influenced their interest in learning. I now look back and think that I need to ensure that my basic needs like safety and routine are taken care of before I </w:t>
      </w:r>
      <w:r>
        <w:lastRenderedPageBreak/>
        <w:t xml:space="preserve">anticipate </w:t>
      </w:r>
      <w:r w:rsidR="00F17710">
        <w:t>being</w:t>
      </w:r>
      <w:r>
        <w:t xml:space="preserve"> engaged in education. This emphasis on wellbeing, dignity and control (Care Act, 2014) is supported by the Care Act 2014, which is predominantly an adult legislation.</w:t>
      </w:r>
    </w:p>
    <w:p w14:paraId="4FCD5C08" w14:textId="77777777" w:rsidR="00D875D9" w:rsidRDefault="00000000">
      <w:pPr>
        <w:spacing w:after="120" w:line="360" w:lineRule="auto"/>
        <w:ind w:firstLine="357"/>
      </w:pPr>
      <w:r>
        <w:t xml:space="preserve">The importance of partnership working was that the needs of the child were daily support, education and safeguarding. Working Together to Safeguard Children 2026 envisages collaboration between agencies and sharing information respectively with children (DFE, 2026). </w:t>
      </w:r>
    </w:p>
    <w:p w14:paraId="145086C3" w14:textId="77777777" w:rsidR="00D875D9" w:rsidRDefault="00000000">
      <w:pPr>
        <w:spacing w:after="120" w:line="360" w:lineRule="auto"/>
        <w:ind w:firstLine="357"/>
      </w:pPr>
      <w:r>
        <w:t xml:space="preserve">Associating this with the Health and Care Act 2022 (Health and Care Act, 2022), I consider that my work is one among the aspects of joined-up working, thus, time-sensitive, factual information-sharing issues. The wishes and feelings of the child are also to be </w:t>
      </w:r>
      <w:proofErr w:type="gramStart"/>
      <w:r>
        <w:t>taken into account</w:t>
      </w:r>
      <w:proofErr w:type="gramEnd"/>
      <w:r>
        <w:t xml:space="preserve"> </w:t>
      </w:r>
      <w:proofErr w:type="gramStart"/>
      <w:r>
        <w:t>( Children</w:t>
      </w:r>
      <w:proofErr w:type="gramEnd"/>
      <w:r>
        <w:t xml:space="preserve"> Act, 1989) and therefore, partnership should be with the voice of the child.</w:t>
      </w:r>
    </w:p>
    <w:p w14:paraId="704E90DF" w14:textId="77777777" w:rsidR="00D875D9" w:rsidRDefault="00000000">
      <w:pPr>
        <w:spacing w:after="120" w:line="360" w:lineRule="auto"/>
        <w:ind w:firstLine="357"/>
      </w:pPr>
      <w:r>
        <w:t xml:space="preserve">Ethical practice challenges me to be aware of my limits. I cannot do something that is beyond my capability or explore issues that are not my responsibility. The Skills for Care Code of Conduct is a document outlining what is expected of adult social care and healthcare support workers in England (Skills for Care, n.d.). </w:t>
      </w:r>
    </w:p>
    <w:p w14:paraId="1118B765" w14:textId="21DC10CE" w:rsidR="00D875D9" w:rsidRDefault="00000000">
      <w:pPr>
        <w:spacing w:after="120" w:line="360" w:lineRule="auto"/>
        <w:ind w:firstLine="357"/>
      </w:pPr>
      <w:r>
        <w:t xml:space="preserve">Considering the Skills for Care Code of Conduct, I </w:t>
      </w:r>
      <w:proofErr w:type="spellStart"/>
      <w:r>
        <w:t>realise</w:t>
      </w:r>
      <w:proofErr w:type="spellEnd"/>
      <w:r>
        <w:t xml:space="preserve"> that such expectations include accountability, respect </w:t>
      </w:r>
      <w:proofErr w:type="gramStart"/>
      <w:r>
        <w:t>towards</w:t>
      </w:r>
      <w:proofErr w:type="gramEnd"/>
      <w:r>
        <w:t xml:space="preserve"> dignity and privacy, and reporting. I scored highly on respect and confidentiality but should have more confidence in reporting and challenging. With Beauchamp and Childress (2019), respect </w:t>
      </w:r>
      <w:r w:rsidR="00F17710">
        <w:t>for</w:t>
      </w:r>
      <w:r>
        <w:t xml:space="preserve"> the autonomy of the child was forced to be balanced with non-maleficence. The Mental Capacity Act 2005 primarily applies to individuals aged 16 and above, but its focus on assisting in decision making informs my explanation of the boundaries to a child (Mental Capacity Act, 2005).</w:t>
      </w:r>
    </w:p>
    <w:p w14:paraId="7C40653F" w14:textId="77777777" w:rsidR="00D875D9" w:rsidRDefault="00000000">
      <w:pPr>
        <w:spacing w:after="120" w:line="360" w:lineRule="auto"/>
        <w:ind w:firstLine="357"/>
      </w:pPr>
      <w:r>
        <w:t xml:space="preserve">Diversity and equality concepts impact my perception of </w:t>
      </w:r>
      <w:proofErr w:type="spellStart"/>
      <w:r>
        <w:t>behaviour</w:t>
      </w:r>
      <w:proofErr w:type="spellEnd"/>
      <w:r>
        <w:t xml:space="preserve"> and how I deal with children and families. According to Equality Act 2010, the public authorities are supposed to consider equality and reduce discrimination (Equality Act, 2010). I thus do not make assumptions regarding </w:t>
      </w:r>
      <w:proofErr w:type="spellStart"/>
      <w:r>
        <w:t>behaviour</w:t>
      </w:r>
      <w:proofErr w:type="spellEnd"/>
      <w:r>
        <w:t xml:space="preserve"> based on culture or background. </w:t>
      </w:r>
    </w:p>
    <w:p w14:paraId="4D790DA2" w14:textId="77777777" w:rsidR="00D875D9" w:rsidRDefault="00000000">
      <w:pPr>
        <w:pStyle w:val="Heading2"/>
        <w:spacing w:before="160" w:after="80" w:line="360" w:lineRule="auto"/>
      </w:pPr>
      <w:r>
        <w:t>Conclusion</w:t>
      </w:r>
    </w:p>
    <w:p w14:paraId="380CE17C" w14:textId="77777777" w:rsidR="00D875D9" w:rsidRDefault="00000000">
      <w:pPr>
        <w:spacing w:after="120" w:line="360" w:lineRule="auto"/>
        <w:ind w:firstLine="357"/>
        <w:rPr>
          <w:bCs/>
        </w:rPr>
      </w:pPr>
      <w:r>
        <w:rPr>
          <w:bCs/>
        </w:rPr>
        <w:t xml:space="preserve">I conclude that calm communication, clear options and timely information sharing supported the child’s engagement. However, I could have asked colleagues for feedback on </w:t>
      </w:r>
      <w:proofErr w:type="spellStart"/>
      <w:r>
        <w:rPr>
          <w:bCs/>
        </w:rPr>
        <w:t>behaviour</w:t>
      </w:r>
      <w:proofErr w:type="spellEnd"/>
      <w:r>
        <w:rPr>
          <w:bCs/>
        </w:rPr>
        <w:t xml:space="preserve"> changes earlier and escalated concerns with more confidence.</w:t>
      </w:r>
    </w:p>
    <w:p w14:paraId="61331F85" w14:textId="77777777" w:rsidR="00D875D9" w:rsidRDefault="00000000">
      <w:pPr>
        <w:pStyle w:val="Heading2"/>
        <w:spacing w:before="160" w:after="80" w:line="360" w:lineRule="auto"/>
      </w:pPr>
      <w:r>
        <w:lastRenderedPageBreak/>
        <w:t>Action plan</w:t>
      </w:r>
    </w:p>
    <w:p w14:paraId="014D2A7B" w14:textId="77777777" w:rsidR="00D875D9" w:rsidRDefault="00000000">
      <w:pPr>
        <w:spacing w:after="120" w:line="360" w:lineRule="auto"/>
        <w:ind w:firstLine="357"/>
      </w:pPr>
      <w:r>
        <w:t xml:space="preserve">The first objective I have is to become more confident in challenging conversations. During the six months period, I will </w:t>
      </w:r>
      <w:proofErr w:type="spellStart"/>
      <w:r>
        <w:t>practise</w:t>
      </w:r>
      <w:proofErr w:type="spellEnd"/>
      <w:r>
        <w:t xml:space="preserve"> the raising of concerns in supervision, placement and group work. The progress will be assessed by the feedback of the supervisors and my reflective log.</w:t>
      </w:r>
    </w:p>
    <w:p w14:paraId="08635926" w14:textId="6FBB6286" w:rsidR="00D875D9" w:rsidRDefault="00000000">
      <w:pPr>
        <w:spacing w:after="120" w:line="360" w:lineRule="auto"/>
        <w:ind w:firstLine="357"/>
      </w:pPr>
      <w:r>
        <w:t xml:space="preserve">The second objective that I have is to empower digital skills. Six months later I will be able to practice in Word, Excel and Outlook in a structured way with the help of university resources and brief online learning. I will maintain a journal of learning </w:t>
      </w:r>
      <w:r w:rsidR="00F17710">
        <w:t>done and</w:t>
      </w:r>
      <w:r>
        <w:t xml:space="preserve"> self-evaluate every month. </w:t>
      </w:r>
    </w:p>
    <w:p w14:paraId="665FBD94" w14:textId="77777777" w:rsidR="00D875D9" w:rsidRDefault="00000000">
      <w:pPr>
        <w:spacing w:after="120" w:line="360" w:lineRule="auto"/>
        <w:ind w:firstLine="357"/>
      </w:pPr>
      <w:r>
        <w:t xml:space="preserve">My third objective is to earn the Care Certificate or any other </w:t>
      </w:r>
      <w:proofErr w:type="spellStart"/>
      <w:r>
        <w:t>recognised</w:t>
      </w:r>
      <w:proofErr w:type="spellEnd"/>
      <w:r>
        <w:t xml:space="preserve"> </w:t>
      </w:r>
      <w:proofErr w:type="spellStart"/>
      <w:r>
        <w:t>programme</w:t>
      </w:r>
      <w:proofErr w:type="spellEnd"/>
      <w:r>
        <w:t xml:space="preserve"> in a year. This will enhance my understanding of safe practice, safeguarding, communication and professional responsibility. Checked progress will be done using modules completed and discussion with the supervisor.</w:t>
      </w:r>
    </w:p>
    <w:p w14:paraId="01F8B3A5" w14:textId="3375C579" w:rsidR="00D875D9" w:rsidRDefault="00000000">
      <w:pPr>
        <w:spacing w:after="120" w:line="360" w:lineRule="auto"/>
        <w:ind w:firstLine="357"/>
      </w:pPr>
      <w:r>
        <w:t xml:space="preserve">The fourth objective I have is to acquire at least three months of more clinical, reception or health support experience in 12 to 24 months. I will pursue appropriate employment, placement or shadowing. I will review the goal every three months. This ought to raise </w:t>
      </w:r>
      <w:r w:rsidR="00F17710">
        <w:t>confidence</w:t>
      </w:r>
      <w:r>
        <w:t xml:space="preserve"> in communication, documentation and multidisciplinary </w:t>
      </w:r>
      <w:r w:rsidR="00F17710">
        <w:t>work</w:t>
      </w:r>
      <w:r>
        <w:t>.</w:t>
      </w:r>
    </w:p>
    <w:p w14:paraId="3D1066B5" w14:textId="5F922E14" w:rsidR="00D875D9" w:rsidRDefault="00000000">
      <w:pPr>
        <w:spacing w:after="120" w:line="360" w:lineRule="auto"/>
        <w:ind w:firstLine="357"/>
      </w:pPr>
      <w:r>
        <w:t xml:space="preserve">These objectives are after </w:t>
      </w:r>
      <w:r w:rsidR="00F17710">
        <w:t>continuous</w:t>
      </w:r>
      <w:r>
        <w:t xml:space="preserve"> professional development. I will conduct supervision and records to determine whether my practice has become safer, more explicit and </w:t>
      </w:r>
      <w:proofErr w:type="gramStart"/>
      <w:r>
        <w:t>person-</w:t>
      </w:r>
      <w:proofErr w:type="spellStart"/>
      <w:r>
        <w:t>centred</w:t>
      </w:r>
      <w:proofErr w:type="spellEnd"/>
      <w:proofErr w:type="gramEnd"/>
      <w:r>
        <w:t>.</w:t>
      </w:r>
    </w:p>
    <w:p w14:paraId="3940F636" w14:textId="77777777" w:rsidR="00D875D9" w:rsidRDefault="00000000">
      <w:pPr>
        <w:pStyle w:val="Heading1"/>
        <w:spacing w:before="240" w:after="120" w:line="360" w:lineRule="auto"/>
      </w:pPr>
      <w:bookmarkStart w:id="4" w:name="_Toc243644802"/>
      <w:r>
        <w:t>Conclusion</w:t>
      </w:r>
      <w:bookmarkEnd w:id="4"/>
    </w:p>
    <w:p w14:paraId="0C3258E7" w14:textId="77777777" w:rsidR="00D875D9" w:rsidRDefault="00000000">
      <w:pPr>
        <w:spacing w:after="120" w:line="360" w:lineRule="auto"/>
        <w:ind w:firstLine="357"/>
      </w:pPr>
      <w:r>
        <w:t>My future practice will be determined by person-</w:t>
      </w:r>
      <w:proofErr w:type="spellStart"/>
      <w:r>
        <w:t>centred</w:t>
      </w:r>
      <w:proofErr w:type="spellEnd"/>
      <w:r>
        <w:t xml:space="preserve"> care, partnership working and ethics. The experience with child-support revealed that engagement could be enhanced through listening, making the correct decision and communicating calmly. It also demonstrated that protection involves reporting in time, having boundaries and collaboration with services. These measures will assist me to make reflection safer, more consistent and more person-</w:t>
      </w:r>
      <w:proofErr w:type="spellStart"/>
      <w:r>
        <w:t>centred</w:t>
      </w:r>
      <w:proofErr w:type="spellEnd"/>
      <w:r>
        <w:t xml:space="preserve"> practice.</w:t>
      </w:r>
    </w:p>
    <w:p w14:paraId="02893CE2" w14:textId="77777777" w:rsidR="00D875D9" w:rsidRDefault="00000000">
      <w:pPr>
        <w:spacing w:line="360" w:lineRule="auto"/>
      </w:pPr>
      <w:r>
        <w:br w:type="page"/>
      </w:r>
    </w:p>
    <w:p w14:paraId="65F16EF5" w14:textId="77777777" w:rsidR="00D875D9" w:rsidRDefault="00000000">
      <w:pPr>
        <w:pStyle w:val="Heading1"/>
        <w:spacing w:line="360" w:lineRule="auto"/>
      </w:pPr>
      <w:bookmarkStart w:id="5" w:name="_Toc243644803"/>
      <w:r>
        <w:lastRenderedPageBreak/>
        <w:t>References</w:t>
      </w:r>
      <w:bookmarkEnd w:id="5"/>
    </w:p>
    <w:p w14:paraId="7A3AAA6F" w14:textId="77777777" w:rsidR="00D875D9" w:rsidRDefault="00000000">
      <w:pPr>
        <w:rPr>
          <w:bCs/>
        </w:rPr>
      </w:pPr>
      <w:r>
        <w:rPr>
          <w:bCs/>
        </w:rPr>
        <w:t xml:space="preserve">Beauchamp, T.L. and Childress, J.F. (2019) Principles of Biomedical Ethics. 8th </w:t>
      </w:r>
      <w:proofErr w:type="spellStart"/>
      <w:r>
        <w:rPr>
          <w:bCs/>
        </w:rPr>
        <w:t>edn</w:t>
      </w:r>
      <w:proofErr w:type="spellEnd"/>
      <w:r>
        <w:rPr>
          <w:bCs/>
        </w:rPr>
        <w:t>. New York: Oxford University Press.</w:t>
      </w:r>
    </w:p>
    <w:p w14:paraId="37A957B7" w14:textId="77777777" w:rsidR="00D875D9" w:rsidRDefault="00000000">
      <w:r>
        <w:t>Care Act 2014 (c.23). Available at: https://www.legislation.gov.uk/ukpga/2014/23/part/1/enacted (Accessed: 8 October 2026).</w:t>
      </w:r>
    </w:p>
    <w:p w14:paraId="7696D6D4" w14:textId="145432FF" w:rsidR="00D875D9" w:rsidRDefault="00000000">
      <w:r>
        <w:t>Chapman, H. (</w:t>
      </w:r>
      <w:r w:rsidR="00F17710">
        <w:t xml:space="preserve">2017) </w:t>
      </w:r>
      <w:r>
        <w:t>Nursing theories 1: person-</w:t>
      </w:r>
      <w:proofErr w:type="spellStart"/>
      <w:r>
        <w:t>centred</w:t>
      </w:r>
      <w:proofErr w:type="spellEnd"/>
      <w:r>
        <w:t xml:space="preserve"> care’, Nursing Times, 113(10), p.59. Available at: https://cdn.ps.emap.com/wp-content/uploads/sites/3/2017/10/171025-Nursing-theories-1-person-centred-care.pdf (Accessed: 8 October 2026).</w:t>
      </w:r>
    </w:p>
    <w:p w14:paraId="13BC6A92" w14:textId="77777777" w:rsidR="00D875D9" w:rsidRDefault="00000000">
      <w:r>
        <w:t>Care Quality Commission (CQC) (2026) The fundamental standards of care. Available at: https://www.cqc.org.uk/about-us/fundamental-standards (Accessed: 8 October 2026).</w:t>
      </w:r>
    </w:p>
    <w:p w14:paraId="3E5117B7" w14:textId="77777777" w:rsidR="00D875D9" w:rsidRDefault="00000000">
      <w:r>
        <w:t>Children Act 1989 (c.41), section 17. Available at: https://www.legislation.gov.uk/ukpga/1989/41/section/17 (Accessed: 8 October 2026).</w:t>
      </w:r>
    </w:p>
    <w:p w14:paraId="4807958E" w14:textId="77777777" w:rsidR="00D875D9" w:rsidRDefault="00000000">
      <w:r>
        <w:t>Department for Education (DFE) (2026) Working together to safeguard children: a guide to multi-agency working to help, protect and promote the welfare of children. Available at: https://www.gov.uk/government/publications/working-together-to-safeguard-children--2 (Accessed: 10 October 2026).</w:t>
      </w:r>
    </w:p>
    <w:p w14:paraId="66014CC3" w14:textId="77777777" w:rsidR="00D875D9" w:rsidRDefault="00000000">
      <w:r>
        <w:t>Department of Health and Social Care (DHSC) (2023) The NHS Constitution for England. Available at: https://www.gov.uk/government/publications/the-nhs-constitution-for-england/the-nhs-constitution-for-england (Accessed: 8 October 2026).</w:t>
      </w:r>
    </w:p>
    <w:p w14:paraId="5AEACF6C" w14:textId="77777777" w:rsidR="00D875D9" w:rsidRDefault="00000000">
      <w:r>
        <w:t>Equality Act 2010 (c.15), section 149. Available at: https://www.legislation.gov.uk/ukpga/2010/15/section/149/enacted (Accessed: 8 October 2026).</w:t>
      </w:r>
    </w:p>
    <w:p w14:paraId="7D24425D" w14:textId="77777777" w:rsidR="00D875D9" w:rsidRDefault="00000000">
      <w:r>
        <w:t>Gibbs, G. (1988) Learning by Doing: A Guide to Teaching and Learning Methods. London: Further Education Unit. Available at: https://books.google.com/books/about/Learning_by_Doing.html?id=z2CxAAAACAAJ (Accessed: 8 October 2026).</w:t>
      </w:r>
    </w:p>
    <w:p w14:paraId="7312EBB5" w14:textId="77777777" w:rsidR="00D875D9" w:rsidRDefault="00000000">
      <w:r>
        <w:t>Health and Care Act 2022 (c.31), section 26. Available at: https://www.legislation.gov.uk/ukpga/2022/31/section/26 (Accessed: 8 October 2026).</w:t>
      </w:r>
    </w:p>
    <w:p w14:paraId="37E97DC2" w14:textId="77777777" w:rsidR="00D875D9" w:rsidRDefault="00000000">
      <w:r>
        <w:t>Maslow, A.H. (1943) ‘A theory of human motivation’, Psychological Review, 50(4), pp.370–396. Available at: https://doi.org/10.1037/h0054346 (Accessed: 15 October 2026).</w:t>
      </w:r>
    </w:p>
    <w:p w14:paraId="138A50D3" w14:textId="77777777" w:rsidR="00D875D9" w:rsidRDefault="00000000">
      <w:r>
        <w:t>Mental Capacity Act 2005 (c.9). Available at: https://www.legislation.gov.uk/ukpga/2005/9/contents (Accessed: 15 October 2026).</w:t>
      </w:r>
    </w:p>
    <w:p w14:paraId="3C4B5DDC" w14:textId="77777777" w:rsidR="00D875D9" w:rsidRDefault="00000000">
      <w:pPr>
        <w:rPr>
          <w:bCs/>
        </w:rPr>
      </w:pPr>
      <w:r>
        <w:rPr>
          <w:bCs/>
        </w:rPr>
        <w:t xml:space="preserve">Nguyen, M.T.N., Zavoretti, R. and </w:t>
      </w:r>
      <w:proofErr w:type="spellStart"/>
      <w:r>
        <w:rPr>
          <w:bCs/>
        </w:rPr>
        <w:t>Tronto</w:t>
      </w:r>
      <w:proofErr w:type="spellEnd"/>
      <w:r>
        <w:rPr>
          <w:bCs/>
        </w:rPr>
        <w:t>, J. (2017) ‘Beyond the Global Care Chain: Boundaries, Institutions and Ethics of Care’, Ethics and Social Welfare, 11(3), pp.199–212. Available at: https://doi.org/10.1080/17496535.2017.1300308 (Accessed: 10 October 2026).</w:t>
      </w:r>
    </w:p>
    <w:p w14:paraId="325C8508" w14:textId="77777777" w:rsidR="00D875D9" w:rsidRDefault="00000000">
      <w:r>
        <w:lastRenderedPageBreak/>
        <w:t>Rogers, C.R. (1961) On Becoming a Person: A Therapist’s View of Psychotherapy. Boston: Houghton Mifflin.</w:t>
      </w:r>
    </w:p>
    <w:p w14:paraId="22686205" w14:textId="77777777" w:rsidR="00D875D9" w:rsidRDefault="00000000">
      <w:r>
        <w:t>Skills for Care (n.d.) Code of Conduct. Available at: https://www.skillsforcare.org.uk/Support-for-leaders-and-managers/Managing-people/Code-of-Conduct.aspx (Accessed: 8 October 2026).</w:t>
      </w:r>
    </w:p>
    <w:sectPr w:rsidR="00D875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D9696" w14:textId="77777777" w:rsidR="00BE4BF7" w:rsidRDefault="00BE4BF7">
      <w:pPr>
        <w:spacing w:line="240" w:lineRule="auto"/>
      </w:pPr>
      <w:r>
        <w:separator/>
      </w:r>
    </w:p>
  </w:endnote>
  <w:endnote w:type="continuationSeparator" w:id="0">
    <w:p w14:paraId="0F1EEA33" w14:textId="77777777" w:rsidR="00BE4BF7" w:rsidRDefault="00BE4B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default"/>
    <w:sig w:usb0="00000000"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47F1B" w14:textId="77777777" w:rsidR="00D875D9" w:rsidRDefault="00000000">
    <w:pPr>
      <w:pStyle w:val="Footer"/>
      <w:jc w:val="center"/>
    </w:pPr>
    <w:r>
      <w:rPr>
        <w:sz w:val="18"/>
      </w:rPr>
      <w:t xml:space="preserve">Page </w:t>
    </w:r>
    <w:r>
      <w:rPr>
        <w:sz w:val="18"/>
      </w:rPr>
      <w:fldChar w:fldCharType="begin"/>
    </w:r>
    <w:r>
      <w:rPr>
        <w:sz w:val="18"/>
      </w:rPr>
      <w:instrText xml:space="preserve"> PAGE </w:instrText>
    </w:r>
    <w:r>
      <w:rPr>
        <w:sz w:val="18"/>
      </w:rPr>
      <w:fldChar w:fldCharType="separate"/>
    </w:r>
    <w:r>
      <w:rPr>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A8F73" w14:textId="77777777" w:rsidR="00BE4BF7" w:rsidRDefault="00BE4BF7">
      <w:pPr>
        <w:spacing w:after="0"/>
      </w:pPr>
      <w:r>
        <w:separator/>
      </w:r>
    </w:p>
  </w:footnote>
  <w:footnote w:type="continuationSeparator" w:id="0">
    <w:p w14:paraId="06E65BE2" w14:textId="77777777" w:rsidR="00BE4BF7" w:rsidRDefault="00BE4BF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16cid:durableId="1189100235">
    <w:abstractNumId w:val="5"/>
  </w:num>
  <w:num w:numId="2" w16cid:durableId="1873028166">
    <w:abstractNumId w:val="3"/>
  </w:num>
  <w:num w:numId="3" w16cid:durableId="664015738">
    <w:abstractNumId w:val="2"/>
  </w:num>
  <w:num w:numId="4" w16cid:durableId="623540091">
    <w:abstractNumId w:val="4"/>
  </w:num>
  <w:num w:numId="5" w16cid:durableId="2047557267">
    <w:abstractNumId w:val="1"/>
  </w:num>
  <w:num w:numId="6" w16cid:durableId="2059544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740A6"/>
    <w:rsid w:val="001C02BB"/>
    <w:rsid w:val="001F25D9"/>
    <w:rsid w:val="002605BB"/>
    <w:rsid w:val="00282796"/>
    <w:rsid w:val="0029639D"/>
    <w:rsid w:val="00326F90"/>
    <w:rsid w:val="00350C87"/>
    <w:rsid w:val="004041D1"/>
    <w:rsid w:val="00503963"/>
    <w:rsid w:val="005E7A16"/>
    <w:rsid w:val="005F2C30"/>
    <w:rsid w:val="006B63E1"/>
    <w:rsid w:val="006C1A2A"/>
    <w:rsid w:val="007330AB"/>
    <w:rsid w:val="00817DD8"/>
    <w:rsid w:val="00AA1D8D"/>
    <w:rsid w:val="00B47730"/>
    <w:rsid w:val="00BB67FA"/>
    <w:rsid w:val="00BE4BF7"/>
    <w:rsid w:val="00C22513"/>
    <w:rsid w:val="00CB0664"/>
    <w:rsid w:val="00D57C78"/>
    <w:rsid w:val="00D875D9"/>
    <w:rsid w:val="00F17710"/>
    <w:rsid w:val="00F41208"/>
    <w:rsid w:val="00F575AB"/>
    <w:rsid w:val="00F7439A"/>
    <w:rsid w:val="00FB1214"/>
    <w:rsid w:val="00FC693F"/>
    <w:rsid w:val="36E760A3"/>
    <w:rsid w:val="689B7F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fillcolor="white">
      <v:fill color="white"/>
    </o:shapedefaults>
    <o:shapelayout v:ext="edit">
      <o:idmap v:ext="edit" data="1"/>
    </o:shapelayout>
  </w:shapeDefaults>
  <w:decimalSymbol w:val="."/>
  <w:listSeparator w:val=","/>
  <w14:docId w14:val="6799D562"/>
  <w14:defaultImageDpi w14:val="300"/>
  <w15:docId w15:val="{7985F355-6096-4D49-8832-32D6BFB01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qFormat="1"/>
    <w:lsdException w:name="toa heading" w:semiHidden="1" w:unhideWhenUsed="1"/>
    <w:lsdException w:name="List" w:unhideWhenUsed="1" w:qFormat="1"/>
    <w:lsdException w:name="List Bullet" w:unhideWhenUsed="1" w:qFormat="1"/>
    <w:lsdException w:name="List Number" w:unhideWhenUsed="1" w:qFormat="1"/>
    <w:lsdException w:name="List 2" w:unhideWhenUsed="1" w:qFormat="1"/>
    <w:lsdException w:name="List 3" w:unhideWhenUsed="1" w:qFormat="1"/>
    <w:lsdException w:name="List 4" w:semiHidden="1" w:unhideWhenUsed="1"/>
    <w:lsdException w:name="List 5" w:semiHidden="1" w:unhideWhenUsed="1"/>
    <w:lsdException w:name="List Bullet 2" w:unhideWhenUsed="1" w:qFormat="1"/>
    <w:lsdException w:name="List Bullet 3" w:unhideWhenUsed="1" w:qFormat="1"/>
    <w:lsdException w:name="List Bullet 4" w:semiHidden="1" w:unhideWhenUsed="1"/>
    <w:lsdException w:name="List Bullet 5" w:semiHidden="1" w:unhideWhenUsed="1"/>
    <w:lsdException w:name="List Number 2" w:unhideWhenUsed="1" w:qFormat="1"/>
    <w:lsdException w:name="List Number 3" w:unhideWhenUsed="1" w:qFormat="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nhideWhenUsed="1" w:qFormat="1"/>
    <w:lsdException w:name="Body Text Indent" w:semiHidden="1" w:unhideWhenUsed="1"/>
    <w:lsdException w:name="List Continue" w:unhideWhenUsed="1" w:qFormat="1"/>
    <w:lsdException w:name="List Continue 2" w:unhideWhenUsed="1" w:qFormat="1"/>
    <w:lsdException w:name="List Continue 3" w:unhideWhenUsed="1" w:qFormat="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qFormat="1"/>
    <w:lsdException w:name="Body Text 3" w:unhideWhenUsed="1" w:qFormat="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lsdException w:name="Medium Shading 2 Accent 1" w:uiPriority="64" w:qFormat="1"/>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lsdException w:name="Medium Shading 2 Accent 2" w:uiPriority="64" w:qFormat="1"/>
    <w:lsdException w:name="Medium List 1 Accent 2" w:uiPriority="65" w:qFormat="1"/>
    <w:lsdException w:name="Medium List 2 Accent 2" w:uiPriority="66"/>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lsdException w:name="Light Shading Accent 6" w:uiPriority="60" w:qFormat="1"/>
    <w:lsdException w:name="Light List Accent 6" w:uiPriority="61" w:qFormat="1"/>
    <w:lsdException w:name="Light Grid Accent 6" w:uiPriority="62"/>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Arial" w:eastAsia="Arial" w:hAnsi="Arial"/>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cs="Arial"/>
      <w:b/>
      <w:bCs/>
      <w:color w:val="365F91" w:themeColor="accent1" w:themeShade="BF"/>
    </w:rPr>
  </w:style>
  <w:style w:type="paragraph" w:styleId="Heading2">
    <w:name w:val="heading 2"/>
    <w:basedOn w:val="Normal"/>
    <w:next w:val="Normal"/>
    <w:link w:val="Heading2Char"/>
    <w:uiPriority w:val="9"/>
    <w:unhideWhenUsed/>
    <w:qFormat/>
    <w:pPr>
      <w:keepNext/>
      <w:keepLines/>
      <w:spacing w:before="200" w:after="0"/>
      <w:outlineLvl w:val="1"/>
    </w:pPr>
    <w:rPr>
      <w:rFonts w:cs="Arial"/>
      <w:b/>
      <w:bCs/>
      <w:color w:val="4F81BD" w:themeColor="accent1"/>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pPr>
      <w:spacing w:after="120"/>
    </w:pPr>
  </w:style>
  <w:style w:type="paragraph" w:styleId="BodyText2">
    <w:name w:val="Body Text 2"/>
    <w:basedOn w:val="Normal"/>
    <w:link w:val="BodyText2Char"/>
    <w:uiPriority w:val="99"/>
    <w:unhideWhenUsed/>
    <w:qFormat/>
    <w:pPr>
      <w:spacing w:after="120" w:line="480" w:lineRule="auto"/>
    </w:pPr>
  </w:style>
  <w:style w:type="paragraph" w:styleId="BodyText3">
    <w:name w:val="Body Text 3"/>
    <w:basedOn w:val="Normal"/>
    <w:link w:val="BodyText3Char"/>
    <w:uiPriority w:val="99"/>
    <w:unhideWhenUsed/>
    <w:qFormat/>
    <w:pPr>
      <w:spacing w:after="120"/>
    </w:pPr>
    <w:rPr>
      <w:sz w:val="16"/>
      <w:szCs w:val="16"/>
    </w:rPr>
  </w:style>
  <w:style w:type="paragraph" w:styleId="Caption">
    <w:name w:val="caption"/>
    <w:basedOn w:val="Normal"/>
    <w:next w:val="Normal"/>
    <w:uiPriority w:val="35"/>
    <w:semiHidden/>
    <w:unhideWhenUsed/>
    <w:qFormat/>
    <w:pPr>
      <w:spacing w:line="240" w:lineRule="auto"/>
    </w:pPr>
    <w:rPr>
      <w:b/>
      <w:bCs/>
      <w:color w:val="4F81BD" w:themeColor="accent1"/>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uiPriority w:val="99"/>
    <w:semiHidden/>
    <w:unhideWhenUsed/>
    <w:qFormat/>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List">
    <w:name w:val="List"/>
    <w:basedOn w:val="Normal"/>
    <w:uiPriority w:val="99"/>
    <w:unhideWhenUsed/>
    <w:qFormat/>
    <w:pPr>
      <w:ind w:left="360" w:hanging="360"/>
      <w:contextualSpacing/>
    </w:pPr>
  </w:style>
  <w:style w:type="paragraph" w:styleId="List2">
    <w:name w:val="List 2"/>
    <w:basedOn w:val="Normal"/>
    <w:uiPriority w:val="99"/>
    <w:unhideWhenUsed/>
    <w:qFormat/>
    <w:pPr>
      <w:ind w:left="720" w:hanging="360"/>
      <w:contextualSpacing/>
    </w:pPr>
  </w:style>
  <w:style w:type="paragraph" w:styleId="List3">
    <w:name w:val="List 3"/>
    <w:basedOn w:val="Normal"/>
    <w:uiPriority w:val="99"/>
    <w:unhideWhenUsed/>
    <w:qFormat/>
    <w:pPr>
      <w:ind w:left="1080" w:hanging="360"/>
      <w:contextualSpacing/>
    </w:pPr>
  </w:style>
  <w:style w:type="paragraph" w:styleId="ListBullet">
    <w:name w:val="List Bullet"/>
    <w:basedOn w:val="Normal"/>
    <w:uiPriority w:val="99"/>
    <w:unhideWhenUsed/>
    <w:qFormat/>
    <w:pPr>
      <w:numPr>
        <w:numId w:val="1"/>
      </w:numPr>
      <w:contextualSpacing/>
    </w:pPr>
  </w:style>
  <w:style w:type="paragraph" w:styleId="ListBullet2">
    <w:name w:val="List Bullet 2"/>
    <w:basedOn w:val="Normal"/>
    <w:uiPriority w:val="99"/>
    <w:unhideWhenUsed/>
    <w:qFormat/>
    <w:pPr>
      <w:numPr>
        <w:numId w:val="2"/>
      </w:numPr>
      <w:contextualSpacing/>
    </w:pPr>
  </w:style>
  <w:style w:type="paragraph" w:styleId="ListBullet3">
    <w:name w:val="List Bullet 3"/>
    <w:basedOn w:val="Normal"/>
    <w:uiPriority w:val="99"/>
    <w:unhideWhenUsed/>
    <w:qFormat/>
    <w:pPr>
      <w:numPr>
        <w:numId w:val="3"/>
      </w:numPr>
      <w:contextualSpacing/>
    </w:pPr>
  </w:style>
  <w:style w:type="paragraph" w:styleId="ListContinue">
    <w:name w:val="List Continue"/>
    <w:basedOn w:val="Normal"/>
    <w:uiPriority w:val="99"/>
    <w:unhideWhenUsed/>
    <w:qFormat/>
    <w:pPr>
      <w:spacing w:after="120"/>
      <w:ind w:left="360"/>
      <w:contextualSpacing/>
    </w:pPr>
  </w:style>
  <w:style w:type="paragraph" w:styleId="ListContinue2">
    <w:name w:val="List Continue 2"/>
    <w:basedOn w:val="Normal"/>
    <w:uiPriority w:val="99"/>
    <w:unhideWhenUsed/>
    <w:qFormat/>
    <w:pPr>
      <w:spacing w:after="120"/>
      <w:ind w:left="720"/>
      <w:contextualSpacing/>
    </w:pPr>
  </w:style>
  <w:style w:type="paragraph" w:styleId="ListContinue3">
    <w:name w:val="List Continue 3"/>
    <w:basedOn w:val="Normal"/>
    <w:uiPriority w:val="99"/>
    <w:unhideWhenUsed/>
    <w:qFormat/>
    <w:pPr>
      <w:spacing w:after="120"/>
      <w:ind w:left="1080"/>
      <w:contextualSpacing/>
    </w:pPr>
  </w:style>
  <w:style w:type="paragraph" w:styleId="ListNumber">
    <w:name w:val="List Number"/>
    <w:basedOn w:val="Normal"/>
    <w:uiPriority w:val="99"/>
    <w:unhideWhenUsed/>
    <w:qFormat/>
    <w:pPr>
      <w:numPr>
        <w:numId w:val="4"/>
      </w:numPr>
      <w:contextualSpacing/>
    </w:pPr>
  </w:style>
  <w:style w:type="paragraph" w:styleId="ListNumber2">
    <w:name w:val="List Number 2"/>
    <w:basedOn w:val="Normal"/>
    <w:uiPriority w:val="99"/>
    <w:unhideWhenUsed/>
    <w:qFormat/>
    <w:pPr>
      <w:numPr>
        <w:numId w:val="5"/>
      </w:numPr>
      <w:contextualSpacing/>
    </w:pPr>
  </w:style>
  <w:style w:type="paragraph" w:styleId="ListNumber3">
    <w:name w:val="List Number 3"/>
    <w:basedOn w:val="Normal"/>
    <w:uiPriority w:val="99"/>
    <w:unhideWhenUsed/>
    <w:qFormat/>
    <w:pPr>
      <w:numPr>
        <w:numId w:val="6"/>
      </w:numPr>
      <w:contextualSpacing/>
    </w:pPr>
  </w:style>
  <w:style w:type="paragraph" w:styleId="MacroText">
    <w:name w:val="macro"/>
    <w:link w:val="MacroTextChar"/>
    <w:uiPriority w:val="99"/>
    <w:unhideWhenUsed/>
    <w:qFormat/>
    <w:pPr>
      <w:tabs>
        <w:tab w:val="left" w:pos="576"/>
        <w:tab w:val="left" w:pos="1152"/>
        <w:tab w:val="left" w:pos="1728"/>
        <w:tab w:val="left" w:pos="2304"/>
        <w:tab w:val="left" w:pos="2880"/>
        <w:tab w:val="left" w:pos="3456"/>
        <w:tab w:val="left" w:pos="4032"/>
      </w:tabs>
      <w:spacing w:after="200" w:line="276" w:lineRule="auto"/>
    </w:pPr>
    <w:rPr>
      <w:rFonts w:ascii="Courier" w:hAnsi="Courier"/>
      <w:lang w:val="en-US" w:eastAsia="en-U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6"/>
      <w:szCs w:val="52"/>
    </w:rPr>
  </w:style>
  <w:style w:type="paragraph" w:styleId="TOC1">
    <w:name w:val="toc 1"/>
    <w:basedOn w:val="Normal"/>
    <w:next w:val="Normal"/>
    <w:autoRedefine/>
    <w:uiPriority w:val="39"/>
    <w:unhideWhenUsed/>
    <w:pPr>
      <w:spacing w:after="100"/>
    </w:pPr>
  </w:style>
  <w:style w:type="table" w:styleId="LightShading">
    <w:name w:val="Light Shading"/>
    <w:basedOn w:val="TableNormal"/>
    <w:uiPriority w:val="60"/>
    <w:qFormat/>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qFormat/>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qFormat/>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qFormat/>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qFormat/>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qFormat/>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qFormat/>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qFormat/>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qFormat/>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qFormat/>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qFormat/>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qFormat/>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qFormat/>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qFormat/>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qFormat/>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qFormat/>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qFormat/>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qFormat/>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qFormat/>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qFormat/>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qFormat/>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qFormat/>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qFormat/>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qFormat/>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qFormat/>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qFormat/>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qFormat/>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qFormat/>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qFormat/>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qFormat/>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qFormat/>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qFormat/>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qFormat/>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qFormat/>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qFormat/>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qFormat/>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qFormat/>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qFormat/>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qFormat/>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qFormat/>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qFormat/>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qFormat/>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qFormat/>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qFormat/>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qFormat/>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qFormat/>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qFormat/>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qFormat/>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qFormat/>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qFormat/>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qFormat/>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qFormat/>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qFormat/>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qFormat/>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qFormat/>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qFormat/>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qFormat/>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qFormat/>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qFormat/>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qFormat/>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qFormat/>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qFormat/>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qFormat/>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uiPriority w:val="1"/>
    <w:qFormat/>
    <w:rPr>
      <w:sz w:val="22"/>
      <w:szCs w:val="22"/>
      <w:lang w:val="en-US" w:eastAsia="en-US"/>
    </w:r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qFormat/>
  </w:style>
  <w:style w:type="character" w:customStyle="1" w:styleId="BodyText2Char">
    <w:name w:val="Body Text 2 Char"/>
    <w:basedOn w:val="DefaultParagraphFont"/>
    <w:link w:val="BodyText2"/>
    <w:uiPriority w:val="99"/>
    <w:qFormat/>
  </w:style>
  <w:style w:type="character" w:customStyle="1" w:styleId="BodyText3Char">
    <w:name w:val="Body Text 3 Char"/>
    <w:basedOn w:val="DefaultParagraphFont"/>
    <w:link w:val="BodyText3"/>
    <w:uiPriority w:val="99"/>
    <w:qFormat/>
    <w:rPr>
      <w:sz w:val="16"/>
      <w:szCs w:val="16"/>
    </w:rPr>
  </w:style>
  <w:style w:type="character" w:customStyle="1" w:styleId="MacroTextChar">
    <w:name w:val="Macro Text Char"/>
    <w:basedOn w:val="DefaultParagraphFont"/>
    <w:link w:val="MacroText"/>
    <w:uiPriority w:val="99"/>
    <w:qFormat/>
    <w:rPr>
      <w:rFonts w:ascii="Courier" w:hAnsi="Courier"/>
      <w:sz w:val="20"/>
      <w:szCs w:val="20"/>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qFormat/>
    <w:rPr>
      <w:i/>
      <w:i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qFormat/>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semiHidden/>
    <w:unhideWhenUsed/>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2608</Words>
  <Characters>14868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44757</dc:creator>
  <cp:lastModifiedBy>Esther Okunuga (2509873)</cp:lastModifiedBy>
  <cp:revision>2</cp:revision>
  <dcterms:created xsi:type="dcterms:W3CDTF">2026-10-24T14:47:00Z</dcterms:created>
  <dcterms:modified xsi:type="dcterms:W3CDTF">2026-10-24T14:47:00Z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eyJoZGlkIjoiMWM4MmVkOTA1MjFjYzMwZWNmZGFhODliZDBjZWU4YWMiLCJ1c2VySWQiOiI1Njc0MzYwNjQzMjEifQ==</vt:lpwstr>
  </property>
  <property fmtid="{D5CDD505-2E9C-101B-9397-08002B2CF9AE}" pid="3" name="KSOProductBuildVer">
    <vt:lpwstr>1033-12.1.0.29162</vt:lpwstr>
  </property>
  <property fmtid="{D5CDD505-2E9C-101B-9397-08002B2CF9AE}" pid="4" name="ICV">
    <vt:lpwstr>EE2360B8A52F445F9690910276947AAC_12</vt:lpwstr>
  </property>
</Properties>
</file>