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46DD5"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6E18850" wp14:editId="4537621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424D5B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886171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6E1885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424D5B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8861717"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8BBF8E1" wp14:editId="5E47C3B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F5816B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16C39C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BBF8E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F5816B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16C39C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7668183"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22C974F" wp14:editId="03B551EC">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8AC68AD" w14:textId="77777777" w:rsidR="00530E16" w:rsidRDefault="004468F8">
                            <w:pPr>
                              <w:spacing w:after="0" w:line="240" w:lineRule="auto"/>
                              <w:textDirection w:val="btLr"/>
                            </w:pPr>
                            <w:r>
                              <w:rPr>
                                <w:rFonts w:ascii="Play" w:eastAsia="Play" w:hAnsi="Play" w:cs="Play"/>
                                <w:color w:val="262626"/>
                                <w:sz w:val="72"/>
                              </w:rPr>
                              <w:t>Individual Report</w:t>
                            </w:r>
                          </w:p>
                          <w:p w14:paraId="2938749D" w14:textId="77777777" w:rsidR="00530E16" w:rsidRDefault="004468F8">
                            <w:pPr>
                              <w:spacing w:before="120" w:line="277" w:lineRule="auto"/>
                              <w:textDirection w:val="btLr"/>
                            </w:pPr>
                            <w:r>
                              <w:rPr>
                                <w:color w:val="404040"/>
                                <w:sz w:val="36"/>
                              </w:rPr>
                              <w:t>Module Name: Digital Skills and Research Methods</w:t>
                            </w:r>
                          </w:p>
                          <w:p w14:paraId="75DE749D" w14:textId="77777777" w:rsidR="00530E16" w:rsidRDefault="004468F8">
                            <w:pPr>
                              <w:spacing w:before="120" w:line="277" w:lineRule="auto"/>
                              <w:textDirection w:val="btLr"/>
                            </w:pPr>
                            <w:r>
                              <w:rPr>
                                <w:color w:val="404040"/>
                                <w:sz w:val="36"/>
                              </w:rPr>
                              <w:t>Module Code: LCHS 4007</w:t>
                            </w:r>
                          </w:p>
                          <w:p w14:paraId="722C931C" w14:textId="60BE7241" w:rsidR="00530E16" w:rsidRDefault="004468F8">
                            <w:pPr>
                              <w:spacing w:before="120" w:line="277" w:lineRule="auto"/>
                              <w:textDirection w:val="btLr"/>
                            </w:pPr>
                            <w:r>
                              <w:rPr>
                                <w:color w:val="404040"/>
                                <w:sz w:val="36"/>
                              </w:rPr>
                              <w:t xml:space="preserve">Student name: </w:t>
                            </w:r>
                            <w:r w:rsidR="005516A1">
                              <w:rPr>
                                <w:color w:val="404040"/>
                                <w:sz w:val="36"/>
                              </w:rPr>
                              <w:t>Catherine Tambot Catacutan</w:t>
                            </w:r>
                          </w:p>
                          <w:p w14:paraId="33147E8D" w14:textId="6CBC930A" w:rsidR="00530E16" w:rsidRDefault="004468F8">
                            <w:pPr>
                              <w:spacing w:before="120" w:line="277" w:lineRule="auto"/>
                              <w:textDirection w:val="btLr"/>
                            </w:pPr>
                            <w:r>
                              <w:rPr>
                                <w:color w:val="404040"/>
                                <w:sz w:val="36"/>
                              </w:rPr>
                              <w:t>Student ID:</w:t>
                            </w:r>
                            <w:r w:rsidR="005516A1">
                              <w:rPr>
                                <w:color w:val="404040"/>
                                <w:sz w:val="36"/>
                              </w:rPr>
                              <w:t xml:space="preserve"> </w:t>
                            </w:r>
                            <w:r w:rsidR="0095567F">
                              <w:rPr>
                                <w:color w:val="404040"/>
                                <w:sz w:val="36"/>
                              </w:rPr>
                              <w:t>2530824</w:t>
                            </w:r>
                          </w:p>
                          <w:p w14:paraId="3447B7EC" w14:textId="2AAD2A10" w:rsidR="00530E16" w:rsidRDefault="004468F8">
                            <w:pPr>
                              <w:spacing w:before="120" w:line="277" w:lineRule="auto"/>
                              <w:textDirection w:val="btLr"/>
                            </w:pPr>
                            <w:r>
                              <w:rPr>
                                <w:color w:val="404040"/>
                                <w:sz w:val="36"/>
                              </w:rPr>
                              <w:t xml:space="preserve">Lecturer’s Name: </w:t>
                            </w:r>
                            <w:r w:rsidR="0095567F">
                              <w:rPr>
                                <w:color w:val="404040"/>
                                <w:sz w:val="36"/>
                              </w:rPr>
                              <w:t xml:space="preserve">MD Sadeque Imam </w:t>
                            </w:r>
                            <w:r w:rsidR="00F841E6">
                              <w:rPr>
                                <w:color w:val="404040"/>
                                <w:sz w:val="36"/>
                              </w:rPr>
                              <w:t>Shaikh</w:t>
                            </w:r>
                          </w:p>
                        </w:txbxContent>
                      </wps:txbx>
                      <wps:bodyPr spcFirstLastPara="1" wrap="square" lIns="0" tIns="0" rIns="0" bIns="0" anchor="t" anchorCtr="0">
                        <a:noAutofit/>
                      </wps:bodyPr>
                    </wps:wsp>
                  </a:graphicData>
                </a:graphic>
              </wp:anchor>
            </w:drawing>
          </mc:Choice>
          <mc:Fallback>
            <w:pict>
              <v:rect w14:anchorId="022C974F"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8AC68AD" w14:textId="77777777" w:rsidR="00530E16" w:rsidRDefault="004468F8">
                      <w:pPr>
                        <w:spacing w:after="0" w:line="240" w:lineRule="auto"/>
                        <w:textDirection w:val="btLr"/>
                      </w:pPr>
                      <w:r>
                        <w:rPr>
                          <w:rFonts w:ascii="Play" w:eastAsia="Play" w:hAnsi="Play" w:cs="Play"/>
                          <w:color w:val="262626"/>
                          <w:sz w:val="72"/>
                        </w:rPr>
                        <w:t>Individual Report</w:t>
                      </w:r>
                    </w:p>
                    <w:p w14:paraId="2938749D" w14:textId="77777777" w:rsidR="00530E16" w:rsidRDefault="004468F8">
                      <w:pPr>
                        <w:spacing w:before="120" w:line="277" w:lineRule="auto"/>
                        <w:textDirection w:val="btLr"/>
                      </w:pPr>
                      <w:r>
                        <w:rPr>
                          <w:color w:val="404040"/>
                          <w:sz w:val="36"/>
                        </w:rPr>
                        <w:t>Module Name: Digital Skills and Research Methods</w:t>
                      </w:r>
                    </w:p>
                    <w:p w14:paraId="75DE749D" w14:textId="77777777" w:rsidR="00530E16" w:rsidRDefault="004468F8">
                      <w:pPr>
                        <w:spacing w:before="120" w:line="277" w:lineRule="auto"/>
                        <w:textDirection w:val="btLr"/>
                      </w:pPr>
                      <w:r>
                        <w:rPr>
                          <w:color w:val="404040"/>
                          <w:sz w:val="36"/>
                        </w:rPr>
                        <w:t>Module Code: LCHS 4007</w:t>
                      </w:r>
                    </w:p>
                    <w:p w14:paraId="722C931C" w14:textId="60BE7241" w:rsidR="00530E16" w:rsidRDefault="004468F8">
                      <w:pPr>
                        <w:spacing w:before="120" w:line="277" w:lineRule="auto"/>
                        <w:textDirection w:val="btLr"/>
                      </w:pPr>
                      <w:r>
                        <w:rPr>
                          <w:color w:val="404040"/>
                          <w:sz w:val="36"/>
                        </w:rPr>
                        <w:t xml:space="preserve">Student name: </w:t>
                      </w:r>
                      <w:r w:rsidR="005516A1">
                        <w:rPr>
                          <w:color w:val="404040"/>
                          <w:sz w:val="36"/>
                        </w:rPr>
                        <w:t>Catherine Tambot Catacutan</w:t>
                      </w:r>
                    </w:p>
                    <w:p w14:paraId="33147E8D" w14:textId="6CBC930A" w:rsidR="00530E16" w:rsidRDefault="004468F8">
                      <w:pPr>
                        <w:spacing w:before="120" w:line="277" w:lineRule="auto"/>
                        <w:textDirection w:val="btLr"/>
                      </w:pPr>
                      <w:r>
                        <w:rPr>
                          <w:color w:val="404040"/>
                          <w:sz w:val="36"/>
                        </w:rPr>
                        <w:t>Student ID:</w:t>
                      </w:r>
                      <w:r w:rsidR="005516A1">
                        <w:rPr>
                          <w:color w:val="404040"/>
                          <w:sz w:val="36"/>
                        </w:rPr>
                        <w:t xml:space="preserve"> </w:t>
                      </w:r>
                      <w:r w:rsidR="0095567F">
                        <w:rPr>
                          <w:color w:val="404040"/>
                          <w:sz w:val="36"/>
                        </w:rPr>
                        <w:t>2530824</w:t>
                      </w:r>
                    </w:p>
                    <w:p w14:paraId="3447B7EC" w14:textId="2AAD2A10" w:rsidR="00530E16" w:rsidRDefault="004468F8">
                      <w:pPr>
                        <w:spacing w:before="120" w:line="277" w:lineRule="auto"/>
                        <w:textDirection w:val="btLr"/>
                      </w:pPr>
                      <w:r>
                        <w:rPr>
                          <w:color w:val="404040"/>
                          <w:sz w:val="36"/>
                        </w:rPr>
                        <w:t xml:space="preserve">Lecturer’s Name: </w:t>
                      </w:r>
                      <w:r w:rsidR="0095567F">
                        <w:rPr>
                          <w:color w:val="404040"/>
                          <w:sz w:val="36"/>
                        </w:rPr>
                        <w:t xml:space="preserve">MD Sadeque Imam </w:t>
                      </w:r>
                      <w:r w:rsidR="00F841E6">
                        <w:rPr>
                          <w:color w:val="404040"/>
                          <w:sz w:val="36"/>
                        </w:rPr>
                        <w:t>Shaikh</w:t>
                      </w:r>
                    </w:p>
                  </w:txbxContent>
                </v:textbox>
                <w10:wrap anchorx="page" anchory="page"/>
              </v:rect>
            </w:pict>
          </mc:Fallback>
        </mc:AlternateContent>
      </w:r>
      <w:r>
        <w:br w:type="page"/>
      </w:r>
    </w:p>
    <w:p w14:paraId="22833F1B" w14:textId="77777777" w:rsidR="00530E16" w:rsidRDefault="00530E16">
      <w:pPr>
        <w:rPr>
          <w:rFonts w:ascii="Arial" w:eastAsia="Arial" w:hAnsi="Arial" w:cs="Arial"/>
        </w:rPr>
      </w:pPr>
    </w:p>
    <w:p w14:paraId="2018B15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E586232"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FBC0137"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A8767E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37AB043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36CD2AB7"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77EC709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44A74C7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612CFFF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166584C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4FA4519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6DD9D7C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5937DEA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4F65CC7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0F62C21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ABD78D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31D1098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3B672F7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0950DF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7145DB33" w14:textId="77777777" w:rsidR="00530E16" w:rsidRPr="00CF650B" w:rsidRDefault="004468F8">
          <w:r>
            <w:fldChar w:fldCharType="end"/>
          </w:r>
        </w:p>
      </w:sdtContent>
    </w:sdt>
    <w:p w14:paraId="1FF73A40" w14:textId="77777777" w:rsidR="00530E16" w:rsidRDefault="00530E16">
      <w:pPr>
        <w:rPr>
          <w:rFonts w:ascii="Arial" w:eastAsia="Arial" w:hAnsi="Arial" w:cs="Arial"/>
        </w:rPr>
      </w:pPr>
    </w:p>
    <w:p w14:paraId="6A827EE4" w14:textId="77777777" w:rsidR="00530E16" w:rsidRDefault="00530E16">
      <w:pPr>
        <w:rPr>
          <w:rFonts w:ascii="Arial" w:eastAsia="Arial" w:hAnsi="Arial" w:cs="Arial"/>
        </w:rPr>
      </w:pPr>
    </w:p>
    <w:p w14:paraId="2B4AE245" w14:textId="77777777" w:rsidR="00530E16" w:rsidRDefault="00530E16">
      <w:pPr>
        <w:rPr>
          <w:rFonts w:ascii="Arial" w:eastAsia="Arial" w:hAnsi="Arial" w:cs="Arial"/>
        </w:rPr>
      </w:pPr>
    </w:p>
    <w:p w14:paraId="72D74B0D" w14:textId="77777777" w:rsidR="00530E16" w:rsidRDefault="00530E16">
      <w:pPr>
        <w:rPr>
          <w:rFonts w:ascii="Arial" w:eastAsia="Arial" w:hAnsi="Arial" w:cs="Arial"/>
        </w:rPr>
      </w:pPr>
    </w:p>
    <w:p w14:paraId="486737B2" w14:textId="77777777" w:rsidR="00530E16" w:rsidRDefault="00530E16">
      <w:pPr>
        <w:rPr>
          <w:rFonts w:ascii="Arial" w:eastAsia="Arial" w:hAnsi="Arial" w:cs="Arial"/>
        </w:rPr>
      </w:pPr>
    </w:p>
    <w:p w14:paraId="3AD078D0" w14:textId="77777777" w:rsidR="00530E16" w:rsidRDefault="00530E16">
      <w:pPr>
        <w:rPr>
          <w:rFonts w:ascii="Arial" w:eastAsia="Arial" w:hAnsi="Arial" w:cs="Arial"/>
        </w:rPr>
      </w:pPr>
    </w:p>
    <w:p w14:paraId="6AB79289" w14:textId="77777777" w:rsidR="00530E16" w:rsidRDefault="00530E16">
      <w:pPr>
        <w:rPr>
          <w:rFonts w:ascii="Arial" w:eastAsia="Arial" w:hAnsi="Arial" w:cs="Arial"/>
        </w:rPr>
      </w:pPr>
    </w:p>
    <w:p w14:paraId="1F7D7CD8" w14:textId="77777777" w:rsidR="00530E16" w:rsidRDefault="00530E16">
      <w:pPr>
        <w:rPr>
          <w:rFonts w:ascii="Arial" w:eastAsia="Arial" w:hAnsi="Arial" w:cs="Arial"/>
        </w:rPr>
      </w:pPr>
    </w:p>
    <w:p w14:paraId="2C2B339A" w14:textId="77777777" w:rsidR="00530E16" w:rsidRDefault="00530E16">
      <w:pPr>
        <w:rPr>
          <w:rFonts w:ascii="Arial" w:eastAsia="Arial" w:hAnsi="Arial" w:cs="Arial"/>
        </w:rPr>
      </w:pPr>
    </w:p>
    <w:p w14:paraId="1067593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7D64448" w14:textId="77777777" w:rsidR="00530E16" w:rsidRDefault="00530E16">
      <w:pPr>
        <w:rPr>
          <w:rFonts w:ascii="Arial" w:eastAsia="Arial" w:hAnsi="Arial" w:cs="Arial"/>
        </w:rPr>
      </w:pPr>
    </w:p>
    <w:p w14:paraId="6B6740E8" w14:textId="62E50BFB" w:rsidR="00575E73" w:rsidRPr="009A103A" w:rsidRDefault="00575E73" w:rsidP="00487EB0">
      <w:pPr>
        <w:pStyle w:val="Heading1"/>
        <w:jc w:val="both"/>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7331EE01" w14:textId="1152B4F9" w:rsidR="00575E73" w:rsidRPr="00575E73" w:rsidRDefault="00E47EDA" w:rsidP="00487EB0">
      <w:pPr>
        <w:jc w:val="both"/>
        <w:rPr>
          <w:rFonts w:ascii="Arial" w:eastAsia="Arial" w:hAnsi="Arial" w:cs="Arial"/>
          <w:sz w:val="22"/>
          <w:szCs w:val="22"/>
        </w:rPr>
      </w:pPr>
      <w:r w:rsidRPr="00E47EDA">
        <w:rPr>
          <w:rFonts w:ascii="Arial" w:eastAsia="Arial" w:hAnsi="Arial" w:cs="Arial"/>
          <w:sz w:val="22"/>
          <w:szCs w:val="22"/>
        </w:rPr>
        <w:t>Telemedicine has rapidly evolved into a central component of modern healthcare delivery, particularly following the COVID</w:t>
      </w:r>
      <w:r w:rsidRPr="00E47EDA">
        <w:rPr>
          <w:rFonts w:ascii="Arial" w:eastAsia="Arial" w:hAnsi="Arial" w:cs="Arial"/>
          <w:sz w:val="22"/>
          <w:szCs w:val="22"/>
        </w:rPr>
        <w:noBreakHyphen/>
        <w:t>19 pandemic. It refers to the use of digital technologies to provide remote clinical services, including video consultations, remote monitoring, and digital communication between patients and healthcare professionals. In the UK, the National Health Service (NHS) has increasingly integrated telemedicine into routine care to improve accessibility, reduce waiting times, and enhance patient outcomes. This report explores the significance of telemedicine, evaluates current research sources, outlines appropriate research methodologies, and discusses data collection approaches relevant to studying telemedicine in contemporary health and social care settings</w:t>
      </w:r>
      <w:r w:rsidR="00AF22A2">
        <w:rPr>
          <w:rFonts w:ascii="Arial" w:eastAsia="Arial" w:hAnsi="Arial" w:cs="Arial"/>
          <w:sz w:val="22"/>
          <w:szCs w:val="22"/>
        </w:rPr>
        <w:t>.</w:t>
      </w:r>
    </w:p>
    <w:p w14:paraId="5D848197" w14:textId="77777777" w:rsidR="00575E73" w:rsidRPr="00575E73" w:rsidRDefault="00575E73" w:rsidP="00487EB0">
      <w:pPr>
        <w:jc w:val="both"/>
        <w:rPr>
          <w:rFonts w:ascii="Arial" w:eastAsia="Arial" w:hAnsi="Arial" w:cs="Arial"/>
          <w:sz w:val="22"/>
          <w:szCs w:val="22"/>
        </w:rPr>
      </w:pPr>
    </w:p>
    <w:p w14:paraId="3F6C66FB" w14:textId="77777777" w:rsidR="00575E73" w:rsidRPr="00575E73" w:rsidRDefault="00575E73" w:rsidP="00487EB0">
      <w:pPr>
        <w:pStyle w:val="Heading1"/>
        <w:jc w:val="both"/>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68E3353" w14:textId="1C6D89B0" w:rsidR="00575E73" w:rsidRPr="00B47296" w:rsidRDefault="00575E73" w:rsidP="00487EB0">
      <w:pPr>
        <w:pStyle w:val="Heading2"/>
        <w:jc w:val="both"/>
        <w:rPr>
          <w:rFonts w:eastAsia="Arial"/>
        </w:rPr>
      </w:pPr>
      <w:bookmarkStart w:id="2" w:name="_Toc225024737"/>
      <w:r w:rsidRPr="00575E73">
        <w:rPr>
          <w:rFonts w:eastAsia="Arial"/>
        </w:rPr>
        <w:t>1.1 The Issue and Why It Matters</w:t>
      </w:r>
      <w:bookmarkEnd w:id="2"/>
    </w:p>
    <w:p w14:paraId="00306A17" w14:textId="77777777" w:rsidR="00D933BC" w:rsidRPr="00D933BC" w:rsidRDefault="00D933BC" w:rsidP="00487EB0">
      <w:pPr>
        <w:jc w:val="both"/>
        <w:rPr>
          <w:rFonts w:ascii="Arial" w:eastAsia="Arial" w:hAnsi="Arial" w:cs="Arial"/>
          <w:sz w:val="22"/>
          <w:szCs w:val="22"/>
        </w:rPr>
      </w:pPr>
      <w:r w:rsidRPr="00D933BC">
        <w:rPr>
          <w:rFonts w:ascii="Arial" w:eastAsia="Arial" w:hAnsi="Arial" w:cs="Arial"/>
          <w:sz w:val="22"/>
          <w:szCs w:val="22"/>
        </w:rPr>
        <w:t>Telemedicine has become a critical issue in health and social care due to rising demand for accessible, efficient, and sustainable healthcare services. Research shows that digital healthcare adoption surged during the COVID</w:t>
      </w:r>
      <w:r w:rsidRPr="00D933BC">
        <w:rPr>
          <w:rFonts w:ascii="Arial" w:eastAsia="Arial" w:hAnsi="Arial" w:cs="Arial"/>
          <w:sz w:val="22"/>
          <w:szCs w:val="22"/>
        </w:rPr>
        <w:noBreakHyphen/>
        <w:t>19 pandemic, enabling continuity of care when face</w:t>
      </w:r>
      <w:r w:rsidRPr="00D933BC">
        <w:rPr>
          <w:rFonts w:ascii="Arial" w:eastAsia="Arial" w:hAnsi="Arial" w:cs="Arial"/>
          <w:sz w:val="22"/>
          <w:szCs w:val="22"/>
        </w:rPr>
        <w:noBreakHyphen/>
        <w:t>to</w:t>
      </w:r>
      <w:r w:rsidRPr="00D933BC">
        <w:rPr>
          <w:rFonts w:ascii="Arial" w:eastAsia="Arial" w:hAnsi="Arial" w:cs="Arial"/>
          <w:sz w:val="22"/>
          <w:szCs w:val="22"/>
        </w:rPr>
        <w:noBreakHyphen/>
        <w:t>face appointments were restricted (Johns et al., 2023). Telemedicine benefits include improved access for individuals with mobility challenges, those living in rural areas, and patients requiring frequent monitoring. However, challenges such as digital exclusion, limited digital literacy, and unequal access to technology persist (NHS England, 2023).</w:t>
      </w:r>
    </w:p>
    <w:p w14:paraId="7853EB70" w14:textId="341315B2" w:rsidR="00575E73" w:rsidRPr="00575E73" w:rsidRDefault="00D933BC" w:rsidP="00487EB0">
      <w:pPr>
        <w:jc w:val="both"/>
        <w:rPr>
          <w:rFonts w:ascii="Arial" w:eastAsia="Arial" w:hAnsi="Arial" w:cs="Arial"/>
          <w:sz w:val="22"/>
          <w:szCs w:val="22"/>
        </w:rPr>
      </w:pPr>
      <w:r w:rsidRPr="00D933BC">
        <w:rPr>
          <w:rFonts w:ascii="Arial" w:eastAsia="Arial" w:hAnsi="Arial" w:cs="Arial"/>
          <w:sz w:val="22"/>
          <w:szCs w:val="22"/>
        </w:rPr>
        <w:t>This issue affects a wide range of populations, including older adults, socio</w:t>
      </w:r>
      <w:r w:rsidRPr="00D933BC">
        <w:rPr>
          <w:rFonts w:ascii="Arial" w:eastAsia="Arial" w:hAnsi="Arial" w:cs="Arial"/>
          <w:sz w:val="22"/>
          <w:szCs w:val="22"/>
        </w:rPr>
        <w:noBreakHyphen/>
        <w:t>economically disadvantaged groups, and people with disabilities. The NHS has recognised digital transformation as essential for long</w:t>
      </w:r>
      <w:r w:rsidRPr="00D933BC">
        <w:rPr>
          <w:rFonts w:ascii="Arial" w:eastAsia="Arial" w:hAnsi="Arial" w:cs="Arial"/>
          <w:sz w:val="22"/>
          <w:szCs w:val="22"/>
        </w:rPr>
        <w:noBreakHyphen/>
        <w:t>term sustainability and improved patient outcomes (Health and Social Care Committee, 2023). Therefore, understanding telemedicine’s benefits and limitations is vital for shaping future healthcare policy and ensuring equitable access.</w:t>
      </w:r>
    </w:p>
    <w:p w14:paraId="60AE3802" w14:textId="78F61165" w:rsidR="00575E73" w:rsidRPr="00B47296" w:rsidRDefault="00575E73" w:rsidP="00487EB0">
      <w:pPr>
        <w:pStyle w:val="Heading2"/>
        <w:jc w:val="both"/>
        <w:rPr>
          <w:rFonts w:eastAsia="Arial"/>
        </w:rPr>
      </w:pPr>
      <w:bookmarkStart w:id="3" w:name="_Toc225024738"/>
      <w:r w:rsidRPr="00575E73">
        <w:rPr>
          <w:rFonts w:eastAsia="Arial"/>
        </w:rPr>
        <w:t>1.2 Personal Reflection – Why I Chose This Topic</w:t>
      </w:r>
      <w:bookmarkEnd w:id="3"/>
    </w:p>
    <w:p w14:paraId="16A78337" w14:textId="7ADE00BB" w:rsidR="00575E73" w:rsidRPr="00575E73" w:rsidRDefault="00D524F7" w:rsidP="00487EB0">
      <w:pPr>
        <w:jc w:val="both"/>
        <w:rPr>
          <w:rFonts w:ascii="Arial" w:eastAsia="Arial" w:hAnsi="Arial" w:cs="Arial"/>
          <w:sz w:val="22"/>
          <w:szCs w:val="22"/>
        </w:rPr>
      </w:pPr>
      <w:r w:rsidRPr="00D524F7">
        <w:rPr>
          <w:rFonts w:ascii="Arial" w:eastAsia="Arial" w:hAnsi="Arial" w:cs="Arial"/>
          <w:sz w:val="22"/>
          <w:szCs w:val="22"/>
        </w:rPr>
        <w:t>I chose this topic because telemedicine is increasingly relevant to my studies in health and social care, particularly regarding digital transformation and patient</w:t>
      </w:r>
      <w:r w:rsidRPr="00D524F7">
        <w:rPr>
          <w:rFonts w:ascii="Arial" w:eastAsia="Arial" w:hAnsi="Arial" w:cs="Arial"/>
          <w:sz w:val="22"/>
          <w:szCs w:val="22"/>
        </w:rPr>
        <w:noBreakHyphen/>
        <w:t>centred care. My interest also stems from observing how digital consultations became essential during the pandemic, highlighting both their potential and their limitations. As I plan to work in a healthcare environment, understanding telemedicine will help me contribute to improving patient access, reducing inequalities, and supporting innovation within the NHS</w:t>
      </w:r>
      <w:r>
        <w:rPr>
          <w:rFonts w:ascii="Arial" w:eastAsia="Arial" w:hAnsi="Arial" w:cs="Arial"/>
          <w:sz w:val="22"/>
          <w:szCs w:val="22"/>
        </w:rPr>
        <w:t>.</w:t>
      </w:r>
    </w:p>
    <w:p w14:paraId="33618A55" w14:textId="77777777" w:rsidR="00575E73" w:rsidRPr="00575E73" w:rsidRDefault="00575E73" w:rsidP="00487EB0">
      <w:pPr>
        <w:jc w:val="both"/>
        <w:rPr>
          <w:rFonts w:ascii="Arial" w:eastAsia="Arial" w:hAnsi="Arial" w:cs="Arial"/>
          <w:sz w:val="22"/>
          <w:szCs w:val="22"/>
        </w:rPr>
      </w:pPr>
    </w:p>
    <w:p w14:paraId="40049EF1" w14:textId="77777777" w:rsidR="00575E73" w:rsidRPr="00575E73" w:rsidRDefault="00575E73" w:rsidP="00487EB0">
      <w:pPr>
        <w:pStyle w:val="Heading1"/>
        <w:jc w:val="both"/>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p>
    <w:p w14:paraId="509322F4" w14:textId="70FF29FE" w:rsidR="00575E73" w:rsidRPr="00F76FD5" w:rsidRDefault="00575E73" w:rsidP="00487EB0">
      <w:pPr>
        <w:pStyle w:val="Heading2"/>
        <w:jc w:val="both"/>
        <w:rPr>
          <w:rFonts w:eastAsia="Arial"/>
        </w:rPr>
      </w:pPr>
      <w:bookmarkStart w:id="5" w:name="_Toc225024740"/>
      <w:r w:rsidRPr="00575E73">
        <w:rPr>
          <w:rFonts w:eastAsia="Arial"/>
        </w:rPr>
        <w:t>2.1 Source 1</w:t>
      </w:r>
      <w:bookmarkEnd w:id="5"/>
    </w:p>
    <w:p w14:paraId="37B0D171" w14:textId="1803957F" w:rsidR="00575E73" w:rsidRPr="00575E73" w:rsidRDefault="00575E73" w:rsidP="00487EB0">
      <w:pPr>
        <w:jc w:val="both"/>
        <w:rPr>
          <w:rFonts w:ascii="Arial" w:eastAsia="Arial" w:hAnsi="Arial" w:cs="Arial"/>
          <w:sz w:val="22"/>
          <w:szCs w:val="22"/>
        </w:rPr>
      </w:pPr>
      <w:r w:rsidRPr="00575E73">
        <w:rPr>
          <w:rFonts w:ascii="Arial" w:eastAsia="Arial" w:hAnsi="Arial" w:cs="Arial"/>
          <w:sz w:val="22"/>
          <w:szCs w:val="22"/>
        </w:rPr>
        <w:t xml:space="preserve"> </w:t>
      </w:r>
      <w:r w:rsidR="005652C0" w:rsidRPr="005652C0">
        <w:rPr>
          <w:rFonts w:ascii="Arial" w:eastAsia="Arial" w:hAnsi="Arial" w:cs="Arial"/>
          <w:b/>
          <w:bCs/>
          <w:sz w:val="22"/>
          <w:szCs w:val="22"/>
        </w:rPr>
        <w:t>Johns, G. et al. (2023)</w:t>
      </w:r>
      <w:r w:rsidR="005652C0" w:rsidRPr="005652C0">
        <w:rPr>
          <w:rFonts w:ascii="Arial" w:eastAsia="Arial" w:hAnsi="Arial" w:cs="Arial"/>
          <w:sz w:val="22"/>
          <w:szCs w:val="22"/>
        </w:rPr>
        <w:t xml:space="preserve"> – </w:t>
      </w:r>
      <w:r w:rsidR="005652C0" w:rsidRPr="005652C0">
        <w:rPr>
          <w:rFonts w:ascii="Arial" w:eastAsia="Arial" w:hAnsi="Arial" w:cs="Arial"/>
          <w:i/>
          <w:iCs/>
          <w:sz w:val="22"/>
          <w:szCs w:val="22"/>
        </w:rPr>
        <w:t>Benefits, challenges and sustainability of digital healthcare for NHS Wales: a qualitative study</w:t>
      </w:r>
      <w:r w:rsidR="005652C0" w:rsidRPr="005652C0">
        <w:rPr>
          <w:rFonts w:ascii="Arial" w:eastAsia="Arial" w:hAnsi="Arial" w:cs="Arial"/>
          <w:sz w:val="22"/>
          <w:szCs w:val="22"/>
        </w:rPr>
        <w:t>. This peer</w:t>
      </w:r>
      <w:r w:rsidR="005652C0" w:rsidRPr="005652C0">
        <w:rPr>
          <w:rFonts w:ascii="Arial" w:eastAsia="Arial" w:hAnsi="Arial" w:cs="Arial"/>
          <w:sz w:val="22"/>
          <w:szCs w:val="22"/>
        </w:rPr>
        <w:noBreakHyphen/>
        <w:t>reviewed study explores the experiences of clinical and non</w:t>
      </w:r>
      <w:r w:rsidR="005652C0" w:rsidRPr="005652C0">
        <w:rPr>
          <w:rFonts w:ascii="Arial" w:eastAsia="Arial" w:hAnsi="Arial" w:cs="Arial"/>
          <w:sz w:val="22"/>
          <w:szCs w:val="22"/>
        </w:rPr>
        <w:noBreakHyphen/>
        <w:t xml:space="preserve">clinical staff using digital healthcare services in Wales. It is credible due to its publication in </w:t>
      </w:r>
      <w:r w:rsidR="005652C0" w:rsidRPr="005652C0">
        <w:rPr>
          <w:rFonts w:ascii="Arial" w:eastAsia="Arial" w:hAnsi="Arial" w:cs="Arial"/>
          <w:i/>
          <w:iCs/>
          <w:sz w:val="22"/>
          <w:szCs w:val="22"/>
        </w:rPr>
        <w:t>BMJ Open</w:t>
      </w:r>
      <w:r w:rsidR="005652C0" w:rsidRPr="005652C0">
        <w:rPr>
          <w:rFonts w:ascii="Arial" w:eastAsia="Arial" w:hAnsi="Arial" w:cs="Arial"/>
          <w:sz w:val="22"/>
          <w:szCs w:val="22"/>
        </w:rPr>
        <w:t>, a reputable academic journal, and its large qualitative sample of 203 interviews. The study highlights both benefits—such as improved efficiency and accessibility—and challenges, including technological barriers and staff training needs (Johns et al., 2023). This source supports my topic by providing real</w:t>
      </w:r>
      <w:r w:rsidR="005652C0" w:rsidRPr="005652C0">
        <w:rPr>
          <w:rFonts w:ascii="Arial" w:eastAsia="Arial" w:hAnsi="Arial" w:cs="Arial"/>
          <w:sz w:val="22"/>
          <w:szCs w:val="22"/>
        </w:rPr>
        <w:noBreakHyphen/>
        <w:t>world insights into how telemedicine functions within NHS settings</w:t>
      </w:r>
      <w:r w:rsidR="005652C0">
        <w:rPr>
          <w:rFonts w:ascii="Arial" w:eastAsia="Arial" w:hAnsi="Arial" w:cs="Arial"/>
          <w:sz w:val="22"/>
          <w:szCs w:val="22"/>
        </w:rPr>
        <w:t>.</w:t>
      </w:r>
    </w:p>
    <w:p w14:paraId="155FBDFC" w14:textId="77777777" w:rsidR="00575E73" w:rsidRPr="00575E73" w:rsidRDefault="00575E73" w:rsidP="00487EB0">
      <w:pPr>
        <w:jc w:val="both"/>
        <w:rPr>
          <w:rFonts w:ascii="Arial" w:eastAsia="Arial" w:hAnsi="Arial" w:cs="Arial"/>
          <w:sz w:val="22"/>
          <w:szCs w:val="22"/>
        </w:rPr>
      </w:pPr>
    </w:p>
    <w:p w14:paraId="76145D14" w14:textId="0DC06FD2" w:rsidR="00575E73" w:rsidRPr="00BC1114" w:rsidRDefault="00575E73" w:rsidP="00487EB0">
      <w:pPr>
        <w:pStyle w:val="Heading2"/>
        <w:jc w:val="both"/>
        <w:rPr>
          <w:rFonts w:eastAsia="Arial"/>
        </w:rPr>
      </w:pPr>
      <w:bookmarkStart w:id="6" w:name="_Toc225024741"/>
      <w:r w:rsidRPr="00575E73">
        <w:rPr>
          <w:rFonts w:eastAsia="Arial"/>
        </w:rPr>
        <w:t>2.2 Source 2</w:t>
      </w:r>
      <w:bookmarkEnd w:id="6"/>
    </w:p>
    <w:p w14:paraId="0643BEF5" w14:textId="11F5F59B" w:rsidR="00575E73" w:rsidRPr="00575E73" w:rsidRDefault="00575E73" w:rsidP="00487EB0">
      <w:pPr>
        <w:jc w:val="both"/>
        <w:rPr>
          <w:rFonts w:ascii="Arial" w:eastAsia="Arial" w:hAnsi="Arial" w:cs="Arial"/>
          <w:sz w:val="22"/>
          <w:szCs w:val="22"/>
        </w:rPr>
      </w:pPr>
      <w:r w:rsidRPr="00575E73">
        <w:rPr>
          <w:rFonts w:ascii="Arial" w:eastAsia="Arial" w:hAnsi="Arial" w:cs="Arial"/>
          <w:sz w:val="22"/>
          <w:szCs w:val="22"/>
        </w:rPr>
        <w:t xml:space="preserve"> </w:t>
      </w:r>
      <w:r w:rsidR="00765440" w:rsidRPr="00765440">
        <w:rPr>
          <w:rFonts w:ascii="Arial" w:eastAsia="Arial" w:hAnsi="Arial" w:cs="Arial"/>
          <w:b/>
          <w:bCs/>
          <w:sz w:val="22"/>
          <w:szCs w:val="22"/>
        </w:rPr>
        <w:t>Health and Social Care Committee (2023)</w:t>
      </w:r>
      <w:r w:rsidR="00765440" w:rsidRPr="00765440">
        <w:rPr>
          <w:rFonts w:ascii="Arial" w:eastAsia="Arial" w:hAnsi="Arial" w:cs="Arial"/>
          <w:sz w:val="22"/>
          <w:szCs w:val="22"/>
        </w:rPr>
        <w:t xml:space="preserve"> – </w:t>
      </w:r>
      <w:r w:rsidR="00765440" w:rsidRPr="00765440">
        <w:rPr>
          <w:rFonts w:ascii="Arial" w:eastAsia="Arial" w:hAnsi="Arial" w:cs="Arial"/>
          <w:i/>
          <w:iCs/>
          <w:sz w:val="22"/>
          <w:szCs w:val="22"/>
        </w:rPr>
        <w:t>Digital transformation in the NHS</w:t>
      </w:r>
      <w:r w:rsidR="00765440" w:rsidRPr="00765440">
        <w:rPr>
          <w:rFonts w:ascii="Arial" w:eastAsia="Arial" w:hAnsi="Arial" w:cs="Arial"/>
          <w:sz w:val="22"/>
          <w:szCs w:val="22"/>
        </w:rPr>
        <w:t>. This government report outlines national priorities for digital healthcare, including remote appointments, electronic patient records, and personalised digital tools. It is credible because it is produced by the UK Parliament and reflects official policy direction. The report emphasises that digital transformation is essential for preventing escalating health needs and improving NHS performance (Health and Social Care Committee, 2023). This source provides a policy</w:t>
      </w:r>
      <w:r w:rsidR="00765440" w:rsidRPr="00765440">
        <w:rPr>
          <w:rFonts w:ascii="Arial" w:eastAsia="Arial" w:hAnsi="Arial" w:cs="Arial"/>
          <w:sz w:val="22"/>
          <w:szCs w:val="22"/>
        </w:rPr>
        <w:noBreakHyphen/>
        <w:t>level perspective that complements the practical insights from Source 1</w:t>
      </w:r>
      <w:r w:rsidR="00D31E47">
        <w:rPr>
          <w:rFonts w:ascii="Arial" w:eastAsia="Arial" w:hAnsi="Arial" w:cs="Arial"/>
          <w:sz w:val="22"/>
          <w:szCs w:val="22"/>
        </w:rPr>
        <w:t>.</w:t>
      </w:r>
    </w:p>
    <w:p w14:paraId="700165B0" w14:textId="77777777" w:rsidR="00575E73" w:rsidRPr="00575E73" w:rsidRDefault="00575E73" w:rsidP="00487EB0">
      <w:pPr>
        <w:jc w:val="both"/>
        <w:rPr>
          <w:rFonts w:ascii="Arial" w:eastAsia="Arial" w:hAnsi="Arial" w:cs="Arial"/>
          <w:sz w:val="22"/>
          <w:szCs w:val="22"/>
        </w:rPr>
      </w:pPr>
    </w:p>
    <w:p w14:paraId="222A1C58" w14:textId="009E2391" w:rsidR="00575E73" w:rsidRPr="00BC1114" w:rsidRDefault="00432D05" w:rsidP="00487EB0">
      <w:pPr>
        <w:pStyle w:val="Heading2"/>
        <w:jc w:val="both"/>
        <w:rPr>
          <w:rFonts w:eastAsia="Arial"/>
        </w:rPr>
      </w:pPr>
      <w:bookmarkStart w:id="7" w:name="_Toc225024742"/>
      <w:r w:rsidRPr="00575E73">
        <w:rPr>
          <w:rFonts w:eastAsia="Arial"/>
        </w:rPr>
        <w:t>2.3 Source</w:t>
      </w:r>
      <w:r w:rsidR="00575E73" w:rsidRPr="00575E73">
        <w:rPr>
          <w:rFonts w:eastAsia="Arial"/>
        </w:rPr>
        <w:t xml:space="preserve"> 3</w:t>
      </w:r>
      <w:bookmarkEnd w:id="7"/>
    </w:p>
    <w:p w14:paraId="448E288C" w14:textId="55751966" w:rsidR="00575E73" w:rsidRPr="00575E73" w:rsidRDefault="00432D05" w:rsidP="00487EB0">
      <w:pPr>
        <w:jc w:val="both"/>
        <w:rPr>
          <w:rFonts w:ascii="Arial" w:eastAsia="Arial" w:hAnsi="Arial" w:cs="Arial"/>
          <w:sz w:val="22"/>
          <w:szCs w:val="22"/>
        </w:rPr>
      </w:pPr>
      <w:r w:rsidRPr="00575E73">
        <w:rPr>
          <w:rFonts w:ascii="Arial" w:eastAsia="Arial" w:hAnsi="Arial" w:cs="Arial"/>
          <w:sz w:val="22"/>
          <w:szCs w:val="22"/>
        </w:rPr>
        <w:t xml:space="preserve"> </w:t>
      </w:r>
      <w:r w:rsidR="006326A6" w:rsidRPr="006326A6">
        <w:rPr>
          <w:rFonts w:ascii="Arial" w:eastAsia="Arial" w:hAnsi="Arial" w:cs="Arial"/>
          <w:b/>
          <w:bCs/>
          <w:sz w:val="22"/>
          <w:szCs w:val="22"/>
        </w:rPr>
        <w:t>NHS England (2023)</w:t>
      </w:r>
      <w:r w:rsidR="006326A6" w:rsidRPr="006326A6">
        <w:rPr>
          <w:rFonts w:ascii="Arial" w:eastAsia="Arial" w:hAnsi="Arial" w:cs="Arial"/>
          <w:sz w:val="22"/>
          <w:szCs w:val="22"/>
        </w:rPr>
        <w:t xml:space="preserve"> – </w:t>
      </w:r>
      <w:r w:rsidR="006326A6" w:rsidRPr="006326A6">
        <w:rPr>
          <w:rFonts w:ascii="Arial" w:eastAsia="Arial" w:hAnsi="Arial" w:cs="Arial"/>
          <w:i/>
          <w:iCs/>
          <w:sz w:val="22"/>
          <w:szCs w:val="22"/>
        </w:rPr>
        <w:t>Inclusive digital healthcare: a framework for NHS action on digital inclusion</w:t>
      </w:r>
      <w:r w:rsidR="006326A6" w:rsidRPr="006326A6">
        <w:rPr>
          <w:rFonts w:ascii="Arial" w:eastAsia="Arial" w:hAnsi="Arial" w:cs="Arial"/>
          <w:sz w:val="22"/>
          <w:szCs w:val="22"/>
        </w:rPr>
        <w:t>. This official NHS document focuses on digital inequality and identifies groups most at risk of exclusion, such as older adults, low</w:t>
      </w:r>
      <w:r w:rsidR="006326A6" w:rsidRPr="006326A6">
        <w:rPr>
          <w:rFonts w:ascii="Arial" w:eastAsia="Arial" w:hAnsi="Arial" w:cs="Arial"/>
          <w:sz w:val="22"/>
          <w:szCs w:val="22"/>
        </w:rPr>
        <w:noBreakHyphen/>
        <w:t>income households, and people with limited digital skills. It is highly credible due to its authoritative origin and up</w:t>
      </w:r>
      <w:r w:rsidR="006326A6" w:rsidRPr="006326A6">
        <w:rPr>
          <w:rFonts w:ascii="Arial" w:eastAsia="Arial" w:hAnsi="Arial" w:cs="Arial"/>
          <w:sz w:val="22"/>
          <w:szCs w:val="22"/>
        </w:rPr>
        <w:noBreakHyphen/>
        <w:t>to</w:t>
      </w:r>
      <w:r w:rsidR="006326A6" w:rsidRPr="006326A6">
        <w:rPr>
          <w:rFonts w:ascii="Arial" w:eastAsia="Arial" w:hAnsi="Arial" w:cs="Arial"/>
          <w:sz w:val="22"/>
          <w:szCs w:val="22"/>
        </w:rPr>
        <w:noBreakHyphen/>
        <w:t>date statistics. The source highlights that around 7% of UK households lack internet access and 10 million adults lack basic digital skills (NHS England, 2023). This supports my research by demonstrating the equity challenges associated with telemedicine</w:t>
      </w:r>
      <w:r w:rsidR="006326A6">
        <w:rPr>
          <w:rFonts w:ascii="Arial" w:eastAsia="Arial" w:hAnsi="Arial" w:cs="Arial"/>
          <w:sz w:val="22"/>
          <w:szCs w:val="22"/>
        </w:rPr>
        <w:t>.</w:t>
      </w:r>
    </w:p>
    <w:p w14:paraId="2C117AE8" w14:textId="293C133D" w:rsidR="00575E73" w:rsidRPr="00074BC6" w:rsidRDefault="00432D05" w:rsidP="00487EB0">
      <w:pPr>
        <w:pStyle w:val="Heading2"/>
        <w:jc w:val="both"/>
        <w:rPr>
          <w:rFonts w:eastAsia="Arial"/>
        </w:rPr>
      </w:pPr>
      <w:bookmarkStart w:id="8" w:name="_Toc225024743"/>
      <w:r>
        <w:rPr>
          <w:rFonts w:eastAsia="Arial"/>
        </w:rPr>
        <w:t xml:space="preserve">2.4 </w:t>
      </w:r>
      <w:r w:rsidR="00575E73" w:rsidRPr="00575E73">
        <w:rPr>
          <w:rFonts w:eastAsia="Arial"/>
        </w:rPr>
        <w:t>Gaps in Current Research</w:t>
      </w:r>
      <w:bookmarkEnd w:id="8"/>
    </w:p>
    <w:p w14:paraId="129CD272" w14:textId="7EDEF499" w:rsidR="00575E73" w:rsidRPr="00575E73" w:rsidRDefault="00807181" w:rsidP="00487EB0">
      <w:pPr>
        <w:jc w:val="both"/>
        <w:rPr>
          <w:rFonts w:ascii="Arial" w:eastAsia="Arial" w:hAnsi="Arial" w:cs="Arial"/>
          <w:sz w:val="22"/>
          <w:szCs w:val="22"/>
        </w:rPr>
      </w:pPr>
      <w:r w:rsidRPr="00807181">
        <w:rPr>
          <w:rFonts w:ascii="Arial" w:eastAsia="Arial" w:hAnsi="Arial" w:cs="Arial"/>
          <w:sz w:val="22"/>
          <w:szCs w:val="22"/>
        </w:rPr>
        <w:t>Although telemedicine research is expanding, several gaps remain</w:t>
      </w:r>
      <w:r w:rsidR="004917FE">
        <w:rPr>
          <w:rFonts w:ascii="Arial" w:eastAsia="Arial" w:hAnsi="Arial" w:cs="Arial"/>
          <w:sz w:val="22"/>
          <w:szCs w:val="22"/>
        </w:rPr>
        <w:t xml:space="preserve"> li</w:t>
      </w:r>
      <w:r w:rsidRPr="00807181">
        <w:rPr>
          <w:rFonts w:ascii="Arial" w:eastAsia="Arial" w:hAnsi="Arial" w:cs="Arial"/>
          <w:sz w:val="22"/>
          <w:szCs w:val="22"/>
        </w:rPr>
        <w:t>mited patient</w:t>
      </w:r>
      <w:r w:rsidRPr="00807181">
        <w:rPr>
          <w:rFonts w:ascii="Arial" w:eastAsia="Arial" w:hAnsi="Arial" w:cs="Arial"/>
          <w:sz w:val="22"/>
          <w:szCs w:val="22"/>
        </w:rPr>
        <w:noBreakHyphen/>
        <w:t>centred research exploring long</w:t>
      </w:r>
      <w:r w:rsidRPr="00807181">
        <w:rPr>
          <w:rFonts w:ascii="Arial" w:eastAsia="Arial" w:hAnsi="Arial" w:cs="Arial"/>
          <w:sz w:val="22"/>
          <w:szCs w:val="22"/>
        </w:rPr>
        <w:noBreakHyphen/>
        <w:t xml:space="preserve">term satisfaction and </w:t>
      </w:r>
      <w:r w:rsidR="00B00F86" w:rsidRPr="00807181">
        <w:rPr>
          <w:rFonts w:ascii="Arial" w:eastAsia="Arial" w:hAnsi="Arial" w:cs="Arial"/>
          <w:sz w:val="22"/>
          <w:szCs w:val="22"/>
        </w:rPr>
        <w:t>outcomes.</w:t>
      </w:r>
      <w:r w:rsidR="00B00F86">
        <w:rPr>
          <w:rFonts w:ascii="Arial" w:eastAsia="Arial" w:hAnsi="Arial" w:cs="Arial"/>
          <w:sz w:val="22"/>
          <w:szCs w:val="22"/>
        </w:rPr>
        <w:t xml:space="preserve"> There is</w:t>
      </w:r>
      <w:r w:rsidR="0048582D">
        <w:rPr>
          <w:rFonts w:ascii="Arial" w:eastAsia="Arial" w:hAnsi="Arial" w:cs="Arial"/>
          <w:sz w:val="22"/>
          <w:szCs w:val="22"/>
        </w:rPr>
        <w:t xml:space="preserve"> </w:t>
      </w:r>
      <w:r w:rsidR="00B00F86">
        <w:rPr>
          <w:rFonts w:ascii="Arial" w:eastAsia="Arial" w:hAnsi="Arial" w:cs="Arial"/>
          <w:sz w:val="22"/>
          <w:szCs w:val="22"/>
        </w:rPr>
        <w:t>i</w:t>
      </w:r>
      <w:r w:rsidRPr="00807181">
        <w:rPr>
          <w:rFonts w:ascii="Arial" w:eastAsia="Arial" w:hAnsi="Arial" w:cs="Arial"/>
          <w:sz w:val="22"/>
          <w:szCs w:val="22"/>
        </w:rPr>
        <w:t>nsufficient evidence on telemedicine’s impact on specific vulnerable groups, such as people experiencing homelessness.</w:t>
      </w:r>
      <w:r w:rsidR="0048582D">
        <w:rPr>
          <w:rFonts w:ascii="Arial" w:eastAsia="Arial" w:hAnsi="Arial" w:cs="Arial"/>
          <w:sz w:val="22"/>
          <w:szCs w:val="22"/>
        </w:rPr>
        <w:t xml:space="preserve"> </w:t>
      </w:r>
      <w:r w:rsidR="00433CBB">
        <w:rPr>
          <w:rFonts w:ascii="Arial" w:eastAsia="Arial" w:hAnsi="Arial" w:cs="Arial"/>
          <w:sz w:val="22"/>
          <w:szCs w:val="22"/>
        </w:rPr>
        <w:t>Furthermore,</w:t>
      </w:r>
      <w:r w:rsidR="005A44F1">
        <w:rPr>
          <w:rFonts w:ascii="Arial" w:eastAsia="Arial" w:hAnsi="Arial" w:cs="Arial"/>
          <w:sz w:val="22"/>
          <w:szCs w:val="22"/>
        </w:rPr>
        <w:t xml:space="preserve"> there is l</w:t>
      </w:r>
      <w:r w:rsidRPr="00807181">
        <w:rPr>
          <w:rFonts w:ascii="Arial" w:eastAsia="Arial" w:hAnsi="Arial" w:cs="Arial"/>
          <w:sz w:val="22"/>
          <w:szCs w:val="22"/>
        </w:rPr>
        <w:t>ack of longitudinal studies assessing sustainability beyond the pandemic.</w:t>
      </w:r>
      <w:r w:rsidR="00AC249E">
        <w:rPr>
          <w:rFonts w:ascii="Arial" w:eastAsia="Arial" w:hAnsi="Arial" w:cs="Arial"/>
          <w:sz w:val="22"/>
          <w:szCs w:val="22"/>
        </w:rPr>
        <w:t xml:space="preserve"> And</w:t>
      </w:r>
      <w:r w:rsidR="00433CBB">
        <w:rPr>
          <w:rFonts w:ascii="Arial" w:eastAsia="Arial" w:hAnsi="Arial" w:cs="Arial"/>
          <w:sz w:val="22"/>
          <w:szCs w:val="22"/>
        </w:rPr>
        <w:t xml:space="preserve"> there is</w:t>
      </w:r>
      <w:r w:rsidR="007D77DA">
        <w:rPr>
          <w:rFonts w:ascii="Arial" w:eastAsia="Arial" w:hAnsi="Arial" w:cs="Arial"/>
          <w:sz w:val="22"/>
          <w:szCs w:val="22"/>
        </w:rPr>
        <w:t xml:space="preserve"> </w:t>
      </w:r>
      <w:r w:rsidR="00433CBB">
        <w:rPr>
          <w:rFonts w:ascii="Arial" w:eastAsia="Arial" w:hAnsi="Arial" w:cs="Arial"/>
          <w:sz w:val="22"/>
          <w:szCs w:val="22"/>
        </w:rPr>
        <w:t>l</w:t>
      </w:r>
      <w:r w:rsidRPr="00807181">
        <w:rPr>
          <w:rFonts w:ascii="Arial" w:eastAsia="Arial" w:hAnsi="Arial" w:cs="Arial"/>
          <w:sz w:val="22"/>
          <w:szCs w:val="22"/>
        </w:rPr>
        <w:t xml:space="preserve">imited evaluation of digital literacy interventions and their </w:t>
      </w:r>
      <w:r w:rsidR="00B00F86" w:rsidRPr="00807181">
        <w:rPr>
          <w:rFonts w:ascii="Arial" w:eastAsia="Arial" w:hAnsi="Arial" w:cs="Arial"/>
          <w:sz w:val="22"/>
          <w:szCs w:val="22"/>
        </w:rPr>
        <w:t>effectiveness. These</w:t>
      </w:r>
      <w:r w:rsidRPr="00807181">
        <w:rPr>
          <w:rFonts w:ascii="Arial" w:eastAsia="Arial" w:hAnsi="Arial" w:cs="Arial"/>
          <w:sz w:val="22"/>
          <w:szCs w:val="22"/>
        </w:rPr>
        <w:t xml:space="preserve"> gaps indicate the need for more inclusive, long</w:t>
      </w:r>
      <w:r w:rsidRPr="00807181">
        <w:rPr>
          <w:rFonts w:ascii="Arial" w:eastAsia="Arial" w:hAnsi="Arial" w:cs="Arial"/>
          <w:sz w:val="22"/>
          <w:szCs w:val="22"/>
        </w:rPr>
        <w:noBreakHyphen/>
        <w:t>term, and patient</w:t>
      </w:r>
      <w:r w:rsidRPr="00807181">
        <w:rPr>
          <w:rFonts w:ascii="Arial" w:eastAsia="Arial" w:hAnsi="Arial" w:cs="Arial"/>
          <w:sz w:val="22"/>
          <w:szCs w:val="22"/>
        </w:rPr>
        <w:noBreakHyphen/>
        <w:t>focused research</w:t>
      </w:r>
      <w:r w:rsidR="00B11A6B">
        <w:rPr>
          <w:rFonts w:ascii="Arial" w:eastAsia="Arial" w:hAnsi="Arial" w:cs="Arial"/>
          <w:sz w:val="22"/>
          <w:szCs w:val="22"/>
        </w:rPr>
        <w:t xml:space="preserve"> </w:t>
      </w:r>
      <w:r w:rsidR="000E23D1" w:rsidRPr="000E23D1">
        <w:rPr>
          <w:rFonts w:ascii="Arial" w:eastAsia="Arial" w:hAnsi="Arial" w:cs="Arial"/>
          <w:sz w:val="22"/>
          <w:szCs w:val="22"/>
        </w:rPr>
        <w:t>(</w:t>
      </w:r>
      <w:proofErr w:type="spellStart"/>
      <w:r w:rsidR="000E23D1" w:rsidRPr="000E23D1">
        <w:rPr>
          <w:rFonts w:ascii="Arial" w:eastAsia="Arial" w:hAnsi="Arial" w:cs="Arial"/>
          <w:sz w:val="22"/>
          <w:szCs w:val="22"/>
        </w:rPr>
        <w:t>Ezeamii</w:t>
      </w:r>
      <w:proofErr w:type="spellEnd"/>
      <w:r w:rsidR="000E23D1" w:rsidRPr="000E23D1">
        <w:rPr>
          <w:rFonts w:ascii="Arial" w:eastAsia="Arial" w:hAnsi="Arial" w:cs="Arial"/>
          <w:sz w:val="22"/>
          <w:szCs w:val="22"/>
        </w:rPr>
        <w:t xml:space="preserve"> et al., 2024; Kee et al., 2024; Amagai et al., 2024).</w:t>
      </w:r>
    </w:p>
    <w:p w14:paraId="254227F2" w14:textId="77777777" w:rsidR="00575E73" w:rsidRPr="00575E73" w:rsidRDefault="00575E73" w:rsidP="00487EB0">
      <w:pPr>
        <w:pStyle w:val="Heading1"/>
        <w:jc w:val="both"/>
        <w:rPr>
          <w:rFonts w:eastAsia="Arial"/>
        </w:rPr>
      </w:pPr>
      <w:bookmarkStart w:id="9" w:name="_Toc225024744"/>
      <w:r w:rsidRPr="00575E73">
        <w:rPr>
          <w:rFonts w:eastAsia="Arial"/>
        </w:rPr>
        <w:lastRenderedPageBreak/>
        <w:t>Task 3 – Research Methodologies</w:t>
      </w:r>
      <w:bookmarkEnd w:id="9"/>
      <w:r w:rsidRPr="00575E73">
        <w:rPr>
          <w:rFonts w:eastAsia="Arial"/>
        </w:rPr>
        <w:t xml:space="preserve">  </w:t>
      </w:r>
    </w:p>
    <w:p w14:paraId="760DF12A" w14:textId="07F1D0AA" w:rsidR="00575E73" w:rsidRPr="00074BC6" w:rsidRDefault="00432D05" w:rsidP="00487EB0">
      <w:pPr>
        <w:pStyle w:val="Heading2"/>
        <w:jc w:val="both"/>
        <w:rPr>
          <w:rFonts w:eastAsia="Arial"/>
        </w:rPr>
      </w:pPr>
      <w:bookmarkStart w:id="10" w:name="_Toc225024745"/>
      <w:r>
        <w:rPr>
          <w:rFonts w:eastAsia="Arial"/>
        </w:rPr>
        <w:t xml:space="preserve">3.1 </w:t>
      </w:r>
      <w:r w:rsidR="00575E73" w:rsidRPr="00575E73">
        <w:rPr>
          <w:rFonts w:eastAsia="Arial"/>
        </w:rPr>
        <w:t>Definitions and Examples</w:t>
      </w:r>
      <w:bookmarkEnd w:id="10"/>
    </w:p>
    <w:p w14:paraId="31C612FC" w14:textId="77777777" w:rsidR="00786803" w:rsidRPr="00786803" w:rsidRDefault="00786803" w:rsidP="00487EB0">
      <w:pPr>
        <w:jc w:val="both"/>
        <w:rPr>
          <w:rFonts w:ascii="Arial" w:eastAsia="Arial" w:hAnsi="Arial" w:cs="Arial"/>
          <w:sz w:val="22"/>
          <w:szCs w:val="22"/>
        </w:rPr>
      </w:pPr>
      <w:r w:rsidRPr="00786803">
        <w:rPr>
          <w:rFonts w:ascii="Arial" w:eastAsia="Arial" w:hAnsi="Arial" w:cs="Arial"/>
          <w:sz w:val="22"/>
          <w:szCs w:val="22"/>
        </w:rPr>
        <w:t>Quantitative research involves numerical data and statistical analysis, often used to measure patterns or trends in healthcare (Bryman, 2016). For example, measuring the number of missed appointments before and after telemedicine implementation provides measurable evidence of service impact (Health and Social Care Committee, 2023).</w:t>
      </w:r>
    </w:p>
    <w:p w14:paraId="16D31628" w14:textId="77777777" w:rsidR="00786803" w:rsidRPr="00786803" w:rsidRDefault="00786803" w:rsidP="00487EB0">
      <w:pPr>
        <w:jc w:val="both"/>
        <w:rPr>
          <w:rFonts w:ascii="Arial" w:eastAsia="Arial" w:hAnsi="Arial" w:cs="Arial"/>
          <w:sz w:val="22"/>
          <w:szCs w:val="22"/>
        </w:rPr>
      </w:pPr>
      <w:r w:rsidRPr="00786803">
        <w:rPr>
          <w:rFonts w:ascii="Arial" w:eastAsia="Arial" w:hAnsi="Arial" w:cs="Arial"/>
          <w:sz w:val="22"/>
          <w:szCs w:val="22"/>
        </w:rPr>
        <w:t>Qualitative research explores experiences, opinions, and perceptions, allowing researchers to understand how individuals interpret their healthcare interactions (Silverman, 2020). An example would be interviewing patients about their experiences using video consultations, which helps identify barriers such as digital literacy or confidence (NHS England, 2023).</w:t>
      </w:r>
    </w:p>
    <w:p w14:paraId="0FE9C32F" w14:textId="6E2DD1EB" w:rsidR="00575E73" w:rsidRPr="00575E73" w:rsidRDefault="00786803" w:rsidP="00487EB0">
      <w:pPr>
        <w:jc w:val="both"/>
        <w:rPr>
          <w:rFonts w:ascii="Arial" w:eastAsia="Arial" w:hAnsi="Arial" w:cs="Arial"/>
          <w:sz w:val="22"/>
          <w:szCs w:val="22"/>
        </w:rPr>
      </w:pPr>
      <w:r w:rsidRPr="00786803">
        <w:rPr>
          <w:rFonts w:ascii="Arial" w:eastAsia="Arial" w:hAnsi="Arial" w:cs="Arial"/>
          <w:sz w:val="22"/>
          <w:szCs w:val="22"/>
        </w:rPr>
        <w:t>Mixed</w:t>
      </w:r>
      <w:r w:rsidRPr="00786803">
        <w:rPr>
          <w:rFonts w:ascii="Arial" w:eastAsia="Arial" w:hAnsi="Arial" w:cs="Arial"/>
          <w:sz w:val="22"/>
          <w:szCs w:val="22"/>
        </w:rPr>
        <w:noBreakHyphen/>
        <w:t>methods research combines both approaches to provide a more comprehensive understanding of a topic (Creswell and Plano Clark, 2018). For instance, a study might analyse appointment data (quantitative) and conduct focus groups with patients (qualitative) to understand telemedicine’s impact more fully, similar to approaches used in recent NHS digital transformation studies (Johns et al., 2023).</w:t>
      </w:r>
    </w:p>
    <w:p w14:paraId="15F19D58" w14:textId="77777777" w:rsidR="00575E73" w:rsidRPr="00575E73" w:rsidRDefault="00575E73" w:rsidP="00487EB0">
      <w:pPr>
        <w:jc w:val="both"/>
        <w:rPr>
          <w:rFonts w:ascii="Arial" w:eastAsia="Arial" w:hAnsi="Arial" w:cs="Arial"/>
          <w:sz w:val="22"/>
          <w:szCs w:val="22"/>
        </w:rPr>
      </w:pPr>
    </w:p>
    <w:p w14:paraId="0DBA1637" w14:textId="69863AEE" w:rsidR="00575E73" w:rsidRPr="00074BC6" w:rsidRDefault="00432D05" w:rsidP="00487EB0">
      <w:pPr>
        <w:pStyle w:val="Heading2"/>
        <w:jc w:val="both"/>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36F2E484" w14:textId="7A55480E" w:rsidR="00575E73" w:rsidRPr="00575E73" w:rsidRDefault="002148BD" w:rsidP="00487EB0">
      <w:pPr>
        <w:jc w:val="both"/>
        <w:rPr>
          <w:rFonts w:ascii="Arial" w:eastAsia="Arial" w:hAnsi="Arial" w:cs="Arial"/>
          <w:sz w:val="22"/>
          <w:szCs w:val="22"/>
        </w:rPr>
      </w:pPr>
      <w:r w:rsidRPr="002148BD">
        <w:rPr>
          <w:rFonts w:ascii="Arial" w:eastAsia="Arial" w:hAnsi="Arial" w:cs="Arial"/>
          <w:sz w:val="22"/>
          <w:szCs w:val="22"/>
        </w:rPr>
        <w:t>For this study, qualitative methodology is most appropriate. Telemedicine involves complex human experiences, including perceptions of accessibility, digital confidence, and satisfaction, which are best explored through open</w:t>
      </w:r>
      <w:r w:rsidRPr="002148BD">
        <w:rPr>
          <w:rFonts w:ascii="Arial" w:eastAsia="Arial" w:hAnsi="Arial" w:cs="Arial"/>
          <w:sz w:val="22"/>
          <w:szCs w:val="22"/>
        </w:rPr>
        <w:noBreakHyphen/>
        <w:t>ended methods (Silverman, 2020). Qualitative interviews or focus groups would allow in</w:t>
      </w:r>
      <w:r w:rsidRPr="002148BD">
        <w:rPr>
          <w:rFonts w:ascii="Arial" w:eastAsia="Arial" w:hAnsi="Arial" w:cs="Arial"/>
          <w:sz w:val="22"/>
          <w:szCs w:val="22"/>
        </w:rPr>
        <w:noBreakHyphen/>
        <w:t>depth exploration of these issues. This approach aligns with existing research, such as Johns et al. (2023), which successfully used qualitative interviews to understand staff perspectives on digital healthcare. Qualitative methods are therefore best suited to exploring the nuanced challenges and benefits of telemedicine, particularly in relation to digital inclusion and patient experience (NHS England, 2023)</w:t>
      </w:r>
      <w:r>
        <w:rPr>
          <w:rFonts w:ascii="Arial" w:eastAsia="Arial" w:hAnsi="Arial" w:cs="Arial"/>
          <w:sz w:val="22"/>
          <w:szCs w:val="22"/>
        </w:rPr>
        <w:t>.</w:t>
      </w:r>
    </w:p>
    <w:p w14:paraId="1F35800F" w14:textId="77777777" w:rsidR="00575E73" w:rsidRPr="00575E73" w:rsidRDefault="00575E73" w:rsidP="00487EB0">
      <w:pPr>
        <w:jc w:val="both"/>
        <w:rPr>
          <w:rFonts w:ascii="Arial" w:eastAsia="Arial" w:hAnsi="Arial" w:cs="Arial"/>
          <w:sz w:val="22"/>
          <w:szCs w:val="22"/>
        </w:rPr>
      </w:pPr>
    </w:p>
    <w:p w14:paraId="627E8CB3" w14:textId="77777777" w:rsidR="00575E73" w:rsidRPr="00575E73" w:rsidRDefault="00575E73" w:rsidP="00487EB0">
      <w:pPr>
        <w:pStyle w:val="Heading1"/>
        <w:jc w:val="both"/>
        <w:rPr>
          <w:rFonts w:eastAsia="Arial"/>
        </w:rPr>
      </w:pPr>
      <w:bookmarkStart w:id="12" w:name="_Toc225024747"/>
      <w:r w:rsidRPr="00575E73">
        <w:rPr>
          <w:rFonts w:eastAsia="Arial"/>
        </w:rPr>
        <w:t>Task 4 – Data Collection</w:t>
      </w:r>
      <w:bookmarkEnd w:id="12"/>
      <w:r w:rsidRPr="00575E73">
        <w:rPr>
          <w:rFonts w:eastAsia="Arial"/>
        </w:rPr>
        <w:t xml:space="preserve">  </w:t>
      </w:r>
    </w:p>
    <w:p w14:paraId="14670C59" w14:textId="1898BCA4" w:rsidR="00575E73" w:rsidRPr="00B97993" w:rsidRDefault="00432D05" w:rsidP="00487EB0">
      <w:pPr>
        <w:pStyle w:val="Heading2"/>
        <w:jc w:val="both"/>
        <w:rPr>
          <w:rFonts w:eastAsia="Arial"/>
        </w:rPr>
      </w:pPr>
      <w:bookmarkStart w:id="13" w:name="_Toc225024748"/>
      <w:r>
        <w:rPr>
          <w:rFonts w:eastAsia="Arial"/>
        </w:rPr>
        <w:t xml:space="preserve">4.1 </w:t>
      </w:r>
      <w:r w:rsidR="00575E73" w:rsidRPr="00575E73">
        <w:rPr>
          <w:rFonts w:eastAsia="Arial"/>
        </w:rPr>
        <w:t>Primary vs Secondary Data</w:t>
      </w:r>
      <w:bookmarkEnd w:id="13"/>
    </w:p>
    <w:p w14:paraId="207E1F7E" w14:textId="77777777" w:rsidR="00ED56E7" w:rsidRPr="00ED56E7" w:rsidRDefault="00ED56E7" w:rsidP="00487EB0">
      <w:pPr>
        <w:jc w:val="both"/>
        <w:rPr>
          <w:rFonts w:ascii="Arial" w:eastAsia="Arial" w:hAnsi="Arial" w:cs="Arial"/>
          <w:sz w:val="22"/>
          <w:szCs w:val="22"/>
        </w:rPr>
      </w:pPr>
      <w:r w:rsidRPr="00ED56E7">
        <w:rPr>
          <w:rFonts w:ascii="Arial" w:eastAsia="Arial" w:hAnsi="Arial" w:cs="Arial"/>
          <w:sz w:val="22"/>
          <w:szCs w:val="22"/>
        </w:rPr>
        <w:t>Primary data refers to information collected directly by the researcher, such as interviews, surveys, or observations (Bryman, 2016).</w:t>
      </w:r>
    </w:p>
    <w:p w14:paraId="505167FB" w14:textId="6B171C8B" w:rsidR="00575E73" w:rsidRPr="00575E73" w:rsidRDefault="00ED56E7" w:rsidP="00487EB0">
      <w:pPr>
        <w:jc w:val="both"/>
        <w:rPr>
          <w:rFonts w:ascii="Arial" w:eastAsia="Arial" w:hAnsi="Arial" w:cs="Arial"/>
          <w:sz w:val="22"/>
          <w:szCs w:val="22"/>
        </w:rPr>
      </w:pPr>
      <w:r w:rsidRPr="00ED56E7">
        <w:rPr>
          <w:rFonts w:ascii="Arial" w:eastAsia="Arial" w:hAnsi="Arial" w:cs="Arial"/>
          <w:sz w:val="22"/>
          <w:szCs w:val="22"/>
        </w:rPr>
        <w:t>Secondary data refers to existing information collected by others, such as government reports, academic articles, or NHS statistics (Creswell and Plano Clark, 2018).</w:t>
      </w:r>
    </w:p>
    <w:p w14:paraId="5E0EE41E" w14:textId="77777777" w:rsidR="00575E73" w:rsidRPr="00575E73" w:rsidRDefault="00575E73" w:rsidP="00487EB0">
      <w:pPr>
        <w:jc w:val="both"/>
        <w:rPr>
          <w:rFonts w:ascii="Arial" w:eastAsia="Arial" w:hAnsi="Arial" w:cs="Arial"/>
          <w:sz w:val="22"/>
          <w:szCs w:val="22"/>
        </w:rPr>
      </w:pPr>
    </w:p>
    <w:p w14:paraId="7C900685" w14:textId="0A61DBDF" w:rsidR="00575E73" w:rsidRPr="00B97993" w:rsidRDefault="00432D05" w:rsidP="00487EB0">
      <w:pPr>
        <w:pStyle w:val="Heading2"/>
        <w:jc w:val="both"/>
        <w:rPr>
          <w:rFonts w:eastAsia="Arial"/>
        </w:rPr>
      </w:pPr>
      <w:bookmarkStart w:id="14" w:name="_Toc225024749"/>
      <w:r>
        <w:rPr>
          <w:rFonts w:eastAsia="Arial"/>
        </w:rPr>
        <w:lastRenderedPageBreak/>
        <w:t xml:space="preserve">4.2 </w:t>
      </w:r>
      <w:r w:rsidR="00575E73" w:rsidRPr="00575E73">
        <w:rPr>
          <w:rFonts w:eastAsia="Arial"/>
        </w:rPr>
        <w:t>Chosen Data Type and Justification</w:t>
      </w:r>
      <w:bookmarkEnd w:id="14"/>
    </w:p>
    <w:p w14:paraId="3C571B78" w14:textId="541F17D6" w:rsidR="00575E73" w:rsidRPr="00575E73" w:rsidRDefault="007C56D6" w:rsidP="00487EB0">
      <w:pPr>
        <w:jc w:val="both"/>
        <w:rPr>
          <w:rFonts w:ascii="Arial" w:eastAsia="Arial" w:hAnsi="Arial" w:cs="Arial"/>
          <w:sz w:val="22"/>
          <w:szCs w:val="22"/>
        </w:rPr>
      </w:pPr>
      <w:r w:rsidRPr="007C56D6">
        <w:rPr>
          <w:rFonts w:ascii="Arial" w:eastAsia="Arial" w:hAnsi="Arial" w:cs="Arial"/>
          <w:sz w:val="22"/>
          <w:szCs w:val="22"/>
        </w:rPr>
        <w:t>For this research, primary qualitative data would be most suitable. Conducting interviews with patients and healthcare professionals would provide first</w:t>
      </w:r>
      <w:r w:rsidRPr="007C56D6">
        <w:rPr>
          <w:rFonts w:ascii="Arial" w:eastAsia="Arial" w:hAnsi="Arial" w:cs="Arial"/>
          <w:sz w:val="22"/>
          <w:szCs w:val="22"/>
        </w:rPr>
        <w:noBreakHyphen/>
        <w:t>hand insights into telemedicine’s accessibility, usability, and perceived effectiveness. This aligns with the chosen qualitative methodology and allows exploration of issues not fully addressed in existing literature (Johns et al., 2023). It also supports understanding of digital inclusion challenges highlighted by NHS England (2023)</w:t>
      </w:r>
      <w:r>
        <w:rPr>
          <w:rFonts w:ascii="Arial" w:eastAsia="Arial" w:hAnsi="Arial" w:cs="Arial"/>
          <w:sz w:val="22"/>
          <w:szCs w:val="22"/>
        </w:rPr>
        <w:t>.</w:t>
      </w:r>
    </w:p>
    <w:p w14:paraId="74C5ADDF" w14:textId="77777777" w:rsidR="00575E73" w:rsidRPr="00575E73" w:rsidRDefault="00575E73" w:rsidP="00487EB0">
      <w:pPr>
        <w:jc w:val="both"/>
        <w:rPr>
          <w:rFonts w:ascii="Arial" w:eastAsia="Arial" w:hAnsi="Arial" w:cs="Arial"/>
          <w:sz w:val="22"/>
          <w:szCs w:val="22"/>
        </w:rPr>
      </w:pPr>
    </w:p>
    <w:p w14:paraId="0FE1B941" w14:textId="7947DDA4" w:rsidR="00575E73" w:rsidRPr="00DC2028" w:rsidRDefault="00432D05" w:rsidP="00487EB0">
      <w:pPr>
        <w:pStyle w:val="Heading2"/>
        <w:jc w:val="both"/>
        <w:rPr>
          <w:rFonts w:eastAsia="Arial"/>
        </w:rPr>
      </w:pPr>
      <w:bookmarkStart w:id="15" w:name="_Toc225024750"/>
      <w:r>
        <w:rPr>
          <w:rFonts w:eastAsia="Arial"/>
        </w:rPr>
        <w:t xml:space="preserve">4.3 </w:t>
      </w:r>
      <w:r w:rsidR="00575E73" w:rsidRPr="00575E73">
        <w:rPr>
          <w:rFonts w:eastAsia="Arial"/>
        </w:rPr>
        <w:t>Advantages and Challenges</w:t>
      </w:r>
      <w:bookmarkEnd w:id="15"/>
    </w:p>
    <w:p w14:paraId="42EFBCA2"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Advantages</w:t>
      </w:r>
    </w:p>
    <w:p w14:paraId="7F29795D" w14:textId="77777777" w:rsidR="00DE19A2" w:rsidRDefault="006272A2" w:rsidP="00487EB0">
      <w:pPr>
        <w:jc w:val="both"/>
        <w:rPr>
          <w:rFonts w:ascii="Arial" w:eastAsia="Arial" w:hAnsi="Arial" w:cs="Arial"/>
          <w:sz w:val="22"/>
          <w:szCs w:val="22"/>
        </w:rPr>
      </w:pPr>
      <w:r w:rsidRPr="006272A2">
        <w:rPr>
          <w:rFonts w:ascii="Arial" w:eastAsia="Arial" w:hAnsi="Arial" w:cs="Arial"/>
          <w:sz w:val="22"/>
          <w:szCs w:val="22"/>
        </w:rPr>
        <w:t>Rich, detailed insights: Interviews allow participants to express their experiences in depth, revealing barriers such as digital literacy or connectivity issues (NHS England, 2023). This depth of understanding can uncover nuanced factors that quantitative methods might miss.</w:t>
      </w:r>
    </w:p>
    <w:p w14:paraId="4B7BA7B0" w14:textId="30D8906D"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Flexibility: Questions can be adapted during interviews to explore emerging themes or unexpected topics, allowing for a more dynamic and responsive data collection process (Smith &amp; Osborn, 2008).</w:t>
      </w:r>
    </w:p>
    <w:p w14:paraId="61DCDC76"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Enhanced participant engagement: The conversational nature of interviews often encourages participants to share more openly, fostering trust and richer data (Kvale, 2007).</w:t>
      </w:r>
    </w:p>
    <w:p w14:paraId="71027D52"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Contextual understanding: Interviews provide context to participants' responses, helping researchers interpret the meaning behind answers more accurately (Patton, 2015).</w:t>
      </w:r>
    </w:p>
    <w:p w14:paraId="078EA68F"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Challeng</w:t>
      </w:r>
      <w:r w:rsidRPr="006272A2">
        <w:rPr>
          <w:rFonts w:ascii="Arial" w:eastAsia="Arial" w:hAnsi="Arial" w:cs="Arial"/>
          <w:b/>
          <w:bCs/>
          <w:sz w:val="22"/>
          <w:szCs w:val="22"/>
        </w:rPr>
        <w:t>es</w:t>
      </w:r>
    </w:p>
    <w:p w14:paraId="0698617E"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Time-consuming: Conducting and analysing interviews requires significant time and resources, including transcription and thematic analysis (Guest, Namey, &amp; Mitchell, 2013).</w:t>
      </w:r>
    </w:p>
    <w:p w14:paraId="1EE0D254"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Potential bias: Participants may provide socially desirable answers, affecting data accuracy. Interviewer bias can also influence responses through question phrasing or non-verbal cues (Podsakoff et al., 2003).</w:t>
      </w:r>
    </w:p>
    <w:p w14:paraId="31F192CB"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 xml:space="preserve">Resource intensive: Requires skilled interviewers and often specialized software for data management and analysis (Creswell &amp; </w:t>
      </w:r>
      <w:proofErr w:type="spellStart"/>
      <w:r w:rsidRPr="006272A2">
        <w:rPr>
          <w:rFonts w:ascii="Arial" w:eastAsia="Arial" w:hAnsi="Arial" w:cs="Arial"/>
          <w:sz w:val="22"/>
          <w:szCs w:val="22"/>
        </w:rPr>
        <w:t>Poth</w:t>
      </w:r>
      <w:proofErr w:type="spellEnd"/>
      <w:r w:rsidRPr="006272A2">
        <w:rPr>
          <w:rFonts w:ascii="Arial" w:eastAsia="Arial" w:hAnsi="Arial" w:cs="Arial"/>
          <w:sz w:val="22"/>
          <w:szCs w:val="22"/>
        </w:rPr>
        <w:t>, 2018).</w:t>
      </w:r>
    </w:p>
    <w:p w14:paraId="6B6236CF" w14:textId="090AFE73" w:rsidR="00575E73"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Limited generalizability: Due to typically smaller sample sizes, findings from interviews may not be broadly generalizable to larger populations (Marshall, 1996).</w:t>
      </w:r>
    </w:p>
    <w:p w14:paraId="1E9BDA8D" w14:textId="3E1E6AB7" w:rsidR="00575E73" w:rsidRPr="001634B3" w:rsidRDefault="00575E73" w:rsidP="00487EB0">
      <w:pPr>
        <w:pStyle w:val="Heading1"/>
        <w:jc w:val="both"/>
        <w:rPr>
          <w:rFonts w:eastAsia="Arial"/>
        </w:rPr>
      </w:pPr>
      <w:bookmarkStart w:id="16" w:name="_Toc225024751"/>
      <w:r w:rsidRPr="00575E73">
        <w:rPr>
          <w:rFonts w:eastAsia="Arial"/>
        </w:rPr>
        <w:t>Conclusion</w:t>
      </w:r>
      <w:bookmarkEnd w:id="16"/>
      <w:r w:rsidRPr="00575E73">
        <w:rPr>
          <w:rFonts w:eastAsia="Arial"/>
        </w:rPr>
        <w:t xml:space="preserve">  </w:t>
      </w:r>
    </w:p>
    <w:p w14:paraId="5C1C07D2" w14:textId="42A63189" w:rsidR="00575E73" w:rsidRPr="00575E73" w:rsidRDefault="00806956" w:rsidP="00487EB0">
      <w:pPr>
        <w:jc w:val="both"/>
        <w:rPr>
          <w:rFonts w:ascii="Arial" w:eastAsia="Arial" w:hAnsi="Arial" w:cs="Arial"/>
          <w:sz w:val="22"/>
          <w:szCs w:val="22"/>
        </w:rPr>
      </w:pPr>
      <w:r w:rsidRPr="00806956">
        <w:rPr>
          <w:rFonts w:ascii="Arial" w:eastAsia="Arial" w:hAnsi="Arial" w:cs="Arial"/>
          <w:sz w:val="22"/>
          <w:szCs w:val="22"/>
        </w:rPr>
        <w:t xml:space="preserve">Telemedicine is a rapidly evolving area of health and social care that offers significant benefits, including improved accessibility, efficiency, and continuity of care. However, challenges such as digital exclusion, technological barriers, and sustainability concerns remain. This report has explored the importance of telemedicine, evaluated credible sources, and outlined appropriate research methodologies and data collection strategies. As the NHS continues its digital </w:t>
      </w:r>
      <w:r w:rsidRPr="00806956">
        <w:rPr>
          <w:rFonts w:ascii="Arial" w:eastAsia="Arial" w:hAnsi="Arial" w:cs="Arial"/>
          <w:sz w:val="22"/>
          <w:szCs w:val="22"/>
        </w:rPr>
        <w:lastRenderedPageBreak/>
        <w:t>transformation, understanding telemedicine’s impact is essential for ensuring equitable and effective healthcare delivery</w:t>
      </w:r>
      <w:r>
        <w:rPr>
          <w:rFonts w:ascii="Arial" w:eastAsia="Arial" w:hAnsi="Arial" w:cs="Arial"/>
          <w:sz w:val="22"/>
          <w:szCs w:val="22"/>
        </w:rPr>
        <w:t>.</w:t>
      </w:r>
    </w:p>
    <w:p w14:paraId="3A64F0C3" w14:textId="77777777" w:rsidR="00575E73" w:rsidRPr="00575E73" w:rsidRDefault="00575E73" w:rsidP="00487EB0">
      <w:pPr>
        <w:jc w:val="both"/>
        <w:rPr>
          <w:rFonts w:ascii="Arial" w:eastAsia="Arial" w:hAnsi="Arial" w:cs="Arial"/>
          <w:sz w:val="22"/>
          <w:szCs w:val="22"/>
        </w:rPr>
      </w:pPr>
    </w:p>
    <w:p w14:paraId="4D752AC7" w14:textId="77777777" w:rsidR="00575E73" w:rsidRPr="00575E73" w:rsidRDefault="00575E73" w:rsidP="00487EB0">
      <w:pPr>
        <w:pStyle w:val="Heading1"/>
        <w:jc w:val="both"/>
        <w:rPr>
          <w:rFonts w:eastAsia="Arial"/>
        </w:rPr>
      </w:pPr>
      <w:bookmarkStart w:id="17" w:name="_Toc225024752"/>
      <w:r w:rsidRPr="00575E73">
        <w:rPr>
          <w:rFonts w:eastAsia="Arial"/>
        </w:rPr>
        <w:t>Reference List</w:t>
      </w:r>
      <w:bookmarkEnd w:id="17"/>
    </w:p>
    <w:p w14:paraId="794A7F15" w14:textId="77777777" w:rsidR="00DE31A3" w:rsidRPr="00DE31A3" w:rsidRDefault="007C4BFB" w:rsidP="00DE31A3">
      <w:pPr>
        <w:jc w:val="both"/>
        <w:rPr>
          <w:rFonts w:ascii="Arial" w:eastAsia="Arial" w:hAnsi="Arial" w:cs="Arial"/>
          <w:sz w:val="22"/>
          <w:szCs w:val="22"/>
        </w:rPr>
      </w:pPr>
      <w:r w:rsidRPr="007C4BFB">
        <w:rPr>
          <w:rFonts w:ascii="Arial" w:eastAsia="Arial" w:hAnsi="Arial" w:cs="Arial"/>
          <w:sz w:val="22"/>
          <w:szCs w:val="22"/>
        </w:rPr>
        <w:t xml:space="preserve"> </w:t>
      </w:r>
      <w:r w:rsidR="00DE31A3" w:rsidRPr="00DE31A3">
        <w:rPr>
          <w:rFonts w:ascii="Arial" w:eastAsia="Arial" w:hAnsi="Arial" w:cs="Arial"/>
          <w:sz w:val="22"/>
          <w:szCs w:val="22"/>
        </w:rPr>
        <w:t xml:space="preserve">Frontiers (2024) </w:t>
      </w:r>
      <w:r w:rsidR="00DE31A3" w:rsidRPr="00DE31A3">
        <w:rPr>
          <w:rFonts w:ascii="Arial" w:eastAsia="Arial" w:hAnsi="Arial" w:cs="Arial"/>
          <w:i/>
          <w:iCs/>
          <w:sz w:val="22"/>
          <w:szCs w:val="22"/>
        </w:rPr>
        <w:t>Telemedicine in the post</w:t>
      </w:r>
      <w:r w:rsidR="00DE31A3" w:rsidRPr="00DE31A3">
        <w:rPr>
          <w:rFonts w:ascii="Arial" w:eastAsia="Arial" w:hAnsi="Arial" w:cs="Arial"/>
          <w:i/>
          <w:iCs/>
          <w:sz w:val="22"/>
          <w:szCs w:val="22"/>
        </w:rPr>
        <w:noBreakHyphen/>
        <w:t>COVID era: balancing accessibility, equity and sustainability in primary healthcare</w:t>
      </w:r>
      <w:r w:rsidR="00DE31A3" w:rsidRPr="00DE31A3">
        <w:rPr>
          <w:rFonts w:ascii="Arial" w:eastAsia="Arial" w:hAnsi="Arial" w:cs="Arial"/>
          <w:sz w:val="22"/>
          <w:szCs w:val="22"/>
        </w:rPr>
        <w:t xml:space="preserve">. </w:t>
      </w:r>
    </w:p>
    <w:p w14:paraId="39FA3DD1"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Health and Social Care Committee (2023) </w:t>
      </w:r>
      <w:r w:rsidRPr="00DE31A3">
        <w:rPr>
          <w:rFonts w:ascii="Arial" w:eastAsia="Arial" w:hAnsi="Arial" w:cs="Arial"/>
          <w:i/>
          <w:iCs/>
          <w:sz w:val="22"/>
          <w:szCs w:val="22"/>
        </w:rPr>
        <w:t>Digital transformation in the NHS</w:t>
      </w:r>
      <w:r w:rsidRPr="00DE31A3">
        <w:rPr>
          <w:rFonts w:ascii="Arial" w:eastAsia="Arial" w:hAnsi="Arial" w:cs="Arial"/>
          <w:sz w:val="22"/>
          <w:szCs w:val="22"/>
        </w:rPr>
        <w:t xml:space="preserve">. UK Parliament. </w:t>
      </w:r>
    </w:p>
    <w:p w14:paraId="50225810"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Johns, G. et al. (2023) ‘Benefits, challenges and sustainability of digital healthcare for NHS Wales’, </w:t>
      </w:r>
      <w:r w:rsidRPr="00DE31A3">
        <w:rPr>
          <w:rFonts w:ascii="Arial" w:eastAsia="Arial" w:hAnsi="Arial" w:cs="Arial"/>
          <w:i/>
          <w:iCs/>
          <w:sz w:val="22"/>
          <w:szCs w:val="22"/>
        </w:rPr>
        <w:t>BMJ Open</w:t>
      </w:r>
      <w:r w:rsidRPr="00DE31A3">
        <w:rPr>
          <w:rFonts w:ascii="Arial" w:eastAsia="Arial" w:hAnsi="Arial" w:cs="Arial"/>
          <w:sz w:val="22"/>
          <w:szCs w:val="22"/>
        </w:rPr>
        <w:t xml:space="preserve">, 13(5). </w:t>
      </w:r>
    </w:p>
    <w:p w14:paraId="50992F2F"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NHS England (2023) </w:t>
      </w:r>
      <w:r w:rsidRPr="00DE31A3">
        <w:rPr>
          <w:rFonts w:ascii="Arial" w:eastAsia="Arial" w:hAnsi="Arial" w:cs="Arial"/>
          <w:i/>
          <w:iCs/>
          <w:sz w:val="22"/>
          <w:szCs w:val="22"/>
        </w:rPr>
        <w:t>Inclusive digital healthcare: a framework for NHS action on digital inclusion</w:t>
      </w:r>
      <w:r w:rsidRPr="00DE31A3">
        <w:rPr>
          <w:rFonts w:ascii="Arial" w:eastAsia="Arial" w:hAnsi="Arial" w:cs="Arial"/>
          <w:sz w:val="22"/>
          <w:szCs w:val="22"/>
        </w:rPr>
        <w:t xml:space="preserve">. </w:t>
      </w:r>
    </w:p>
    <w:p w14:paraId="1FB401F5"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CHASE (2026) </w:t>
      </w:r>
      <w:r w:rsidRPr="00DE31A3">
        <w:rPr>
          <w:rFonts w:ascii="Arial" w:eastAsia="Arial" w:hAnsi="Arial" w:cs="Arial"/>
          <w:i/>
          <w:iCs/>
          <w:sz w:val="22"/>
          <w:szCs w:val="22"/>
        </w:rPr>
        <w:t>Remote healthcare in the NHS: progress, gaps and opportunity</w:t>
      </w:r>
      <w:r w:rsidRPr="00DE31A3">
        <w:rPr>
          <w:rFonts w:ascii="Arial" w:eastAsia="Arial" w:hAnsi="Arial" w:cs="Arial"/>
          <w:sz w:val="22"/>
          <w:szCs w:val="22"/>
        </w:rPr>
        <w:t xml:space="preserve">. </w:t>
      </w:r>
    </w:p>
    <w:p w14:paraId="57BBCC59"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National Audit Office (2020) </w:t>
      </w:r>
      <w:r w:rsidRPr="00DE31A3">
        <w:rPr>
          <w:rFonts w:ascii="Arial" w:eastAsia="Arial" w:hAnsi="Arial" w:cs="Arial"/>
          <w:i/>
          <w:iCs/>
          <w:sz w:val="22"/>
          <w:szCs w:val="22"/>
        </w:rPr>
        <w:t>Digital transformation in the NHS</w:t>
      </w:r>
      <w:r w:rsidRPr="00DE31A3">
        <w:rPr>
          <w:rFonts w:ascii="Arial" w:eastAsia="Arial" w:hAnsi="Arial" w:cs="Arial"/>
          <w:sz w:val="22"/>
          <w:szCs w:val="22"/>
        </w:rPr>
        <w:t xml:space="preserve">. (Referenced within parliamentary report). </w:t>
      </w:r>
    </w:p>
    <w:p w14:paraId="75346A5E" w14:textId="6AAAE3CC" w:rsidR="00530E16" w:rsidRPr="00BB5B24" w:rsidRDefault="00DE31A3" w:rsidP="00487EB0">
      <w:pPr>
        <w:jc w:val="both"/>
        <w:rPr>
          <w:rFonts w:ascii="Arial" w:eastAsia="Arial" w:hAnsi="Arial" w:cs="Arial"/>
          <w:sz w:val="22"/>
          <w:szCs w:val="22"/>
        </w:rPr>
      </w:pPr>
      <w:r w:rsidRPr="00DE31A3">
        <w:rPr>
          <w:rFonts w:ascii="Arial" w:eastAsia="Arial" w:hAnsi="Arial" w:cs="Arial"/>
          <w:sz w:val="22"/>
          <w:szCs w:val="22"/>
        </w:rPr>
        <w:t xml:space="preserve">Department of Health and Social Care (2022) </w:t>
      </w:r>
      <w:r w:rsidRPr="00DE31A3">
        <w:rPr>
          <w:rFonts w:ascii="Arial" w:eastAsia="Arial" w:hAnsi="Arial" w:cs="Arial"/>
          <w:i/>
          <w:iCs/>
          <w:sz w:val="22"/>
          <w:szCs w:val="22"/>
        </w:rPr>
        <w:t>A plan for digital health and social care</w:t>
      </w:r>
      <w:r w:rsidRPr="00DE31A3">
        <w:rPr>
          <w:rFonts w:ascii="Arial" w:eastAsia="Arial" w:hAnsi="Arial" w:cs="Arial"/>
          <w:sz w:val="22"/>
          <w:szCs w:val="22"/>
        </w:rPr>
        <w:t xml:space="preserve">. (Referenced within parliamentary report). </w:t>
      </w:r>
    </w:p>
    <w:sectPr w:rsidR="00530E16" w:rsidRPr="00BB5B24"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6B3CE" w14:textId="77777777" w:rsidR="00ED098A" w:rsidRDefault="00ED098A" w:rsidP="002A1842">
      <w:pPr>
        <w:spacing w:after="0" w:line="240" w:lineRule="auto"/>
      </w:pPr>
      <w:r>
        <w:separator/>
      </w:r>
    </w:p>
  </w:endnote>
  <w:endnote w:type="continuationSeparator" w:id="0">
    <w:p w14:paraId="6FA49590" w14:textId="77777777" w:rsidR="00ED098A" w:rsidRDefault="00ED098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144A81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1F1247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D9115C8"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1FD5F6B"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316ED" w14:textId="77777777" w:rsidR="00ED098A" w:rsidRDefault="00ED098A" w:rsidP="002A1842">
      <w:pPr>
        <w:spacing w:after="0" w:line="240" w:lineRule="auto"/>
      </w:pPr>
      <w:r>
        <w:separator/>
      </w:r>
    </w:p>
  </w:footnote>
  <w:footnote w:type="continuationSeparator" w:id="0">
    <w:p w14:paraId="4763CE7E" w14:textId="77777777" w:rsidR="00ED098A" w:rsidRDefault="00ED098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E863DB6"/>
    <w:multiLevelType w:val="multilevel"/>
    <w:tmpl w:val="584A6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DE15DB6"/>
    <w:multiLevelType w:val="multilevel"/>
    <w:tmpl w:val="9398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1801D0"/>
    <w:multiLevelType w:val="multilevel"/>
    <w:tmpl w:val="5248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1E6602"/>
    <w:multiLevelType w:val="multilevel"/>
    <w:tmpl w:val="32E83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5A8970FD"/>
    <w:multiLevelType w:val="multilevel"/>
    <w:tmpl w:val="CBC4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49099454">
    <w:abstractNumId w:val="10"/>
  </w:num>
  <w:num w:numId="2" w16cid:durableId="746421604">
    <w:abstractNumId w:val="7"/>
  </w:num>
  <w:num w:numId="3" w16cid:durableId="2037147240">
    <w:abstractNumId w:val="3"/>
  </w:num>
  <w:num w:numId="4" w16cid:durableId="2031492097">
    <w:abstractNumId w:val="2"/>
  </w:num>
  <w:num w:numId="5" w16cid:durableId="1472091182">
    <w:abstractNumId w:val="8"/>
  </w:num>
  <w:num w:numId="6" w16cid:durableId="1702129326">
    <w:abstractNumId w:val="0"/>
  </w:num>
  <w:num w:numId="7" w16cid:durableId="772096018">
    <w:abstractNumId w:val="12"/>
  </w:num>
  <w:num w:numId="8" w16cid:durableId="908538114">
    <w:abstractNumId w:val="11"/>
  </w:num>
  <w:num w:numId="9" w16cid:durableId="1065568711">
    <w:abstractNumId w:val="1"/>
  </w:num>
  <w:num w:numId="10" w16cid:durableId="942112531">
    <w:abstractNumId w:val="5"/>
  </w:num>
  <w:num w:numId="11" w16cid:durableId="2061899238">
    <w:abstractNumId w:val="9"/>
  </w:num>
  <w:num w:numId="12" w16cid:durableId="1333333157">
    <w:abstractNumId w:val="4"/>
  </w:num>
  <w:num w:numId="13" w16cid:durableId="16571485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74BC6"/>
    <w:rsid w:val="000B6A9F"/>
    <w:rsid w:val="000E23D1"/>
    <w:rsid w:val="00126C62"/>
    <w:rsid w:val="001634B3"/>
    <w:rsid w:val="00172AD1"/>
    <w:rsid w:val="001813E7"/>
    <w:rsid w:val="001E0AF6"/>
    <w:rsid w:val="001E202C"/>
    <w:rsid w:val="001E6A1E"/>
    <w:rsid w:val="002148BD"/>
    <w:rsid w:val="002A1842"/>
    <w:rsid w:val="0038027F"/>
    <w:rsid w:val="003903C7"/>
    <w:rsid w:val="00432D05"/>
    <w:rsid w:val="00433CBB"/>
    <w:rsid w:val="004468F8"/>
    <w:rsid w:val="0048582D"/>
    <w:rsid w:val="0048761E"/>
    <w:rsid w:val="00487EB0"/>
    <w:rsid w:val="004917FE"/>
    <w:rsid w:val="00530E16"/>
    <w:rsid w:val="005516A1"/>
    <w:rsid w:val="005652C0"/>
    <w:rsid w:val="005721F5"/>
    <w:rsid w:val="00575E73"/>
    <w:rsid w:val="005A44F1"/>
    <w:rsid w:val="006272A2"/>
    <w:rsid w:val="006326A6"/>
    <w:rsid w:val="006D77D4"/>
    <w:rsid w:val="00722EFE"/>
    <w:rsid w:val="00746BF0"/>
    <w:rsid w:val="007637E9"/>
    <w:rsid w:val="00764C5E"/>
    <w:rsid w:val="00765440"/>
    <w:rsid w:val="00786803"/>
    <w:rsid w:val="00787287"/>
    <w:rsid w:val="007C4BFB"/>
    <w:rsid w:val="007C56D6"/>
    <w:rsid w:val="007D1CE0"/>
    <w:rsid w:val="007D77DA"/>
    <w:rsid w:val="00806956"/>
    <w:rsid w:val="00807181"/>
    <w:rsid w:val="00860A52"/>
    <w:rsid w:val="008664B3"/>
    <w:rsid w:val="008E7834"/>
    <w:rsid w:val="0095567F"/>
    <w:rsid w:val="009A103A"/>
    <w:rsid w:val="009B6879"/>
    <w:rsid w:val="009E511D"/>
    <w:rsid w:val="009F60D1"/>
    <w:rsid w:val="00A4548B"/>
    <w:rsid w:val="00A75B15"/>
    <w:rsid w:val="00A85708"/>
    <w:rsid w:val="00A945A5"/>
    <w:rsid w:val="00AC249E"/>
    <w:rsid w:val="00AE06EA"/>
    <w:rsid w:val="00AF22A2"/>
    <w:rsid w:val="00B00F86"/>
    <w:rsid w:val="00B11A6B"/>
    <w:rsid w:val="00B47296"/>
    <w:rsid w:val="00B65ED6"/>
    <w:rsid w:val="00B867AD"/>
    <w:rsid w:val="00B97993"/>
    <w:rsid w:val="00BA0043"/>
    <w:rsid w:val="00BA365A"/>
    <w:rsid w:val="00BB5B24"/>
    <w:rsid w:val="00BC1114"/>
    <w:rsid w:val="00BD5CD8"/>
    <w:rsid w:val="00CD686F"/>
    <w:rsid w:val="00CF0492"/>
    <w:rsid w:val="00CF650B"/>
    <w:rsid w:val="00D31E47"/>
    <w:rsid w:val="00D524F7"/>
    <w:rsid w:val="00D62A9C"/>
    <w:rsid w:val="00D933BC"/>
    <w:rsid w:val="00DB181C"/>
    <w:rsid w:val="00DC2028"/>
    <w:rsid w:val="00DE19A2"/>
    <w:rsid w:val="00DE31A3"/>
    <w:rsid w:val="00E47EDA"/>
    <w:rsid w:val="00EA04EC"/>
    <w:rsid w:val="00ED098A"/>
    <w:rsid w:val="00ED56E7"/>
    <w:rsid w:val="00F618F2"/>
    <w:rsid w:val="00F76FD5"/>
    <w:rsid w:val="00F841E6"/>
    <w:rsid w:val="00F94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FB9BF"/>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DE31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7</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catherine catacutan</cp:lastModifiedBy>
  <cp:revision>64</cp:revision>
  <dcterms:created xsi:type="dcterms:W3CDTF">2026-04-19T14:52:00Z</dcterms:created>
  <dcterms:modified xsi:type="dcterms:W3CDTF">2026-04-19T16:06:00Z</dcterms:modified>
</cp:coreProperties>
</file>