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E0C3A" w14:textId="006A66EB" w:rsidR="002768F7" w:rsidRPr="00746DEF" w:rsidRDefault="0077214A" w:rsidP="00746DEF">
      <w:pPr>
        <w:spacing w:before="0" w:after="160"/>
        <w:jc w:val="left"/>
        <w:rPr>
          <w:rFonts w:ascii="Arial" w:hAnsi="Arial" w:cs="Arial"/>
        </w:rPr>
      </w:pPr>
      <w:r w:rsidRPr="006B4E52">
        <w:rPr>
          <w:rFonts w:ascii="Arial" w:hAnsi="Arial" w:cs="Arial"/>
          <w:noProof/>
        </w:rPr>
        <w:drawing>
          <wp:inline distT="0" distB="0" distL="0" distR="0" wp14:anchorId="7568F5C2" wp14:editId="758E70B9">
            <wp:extent cx="2700338" cy="129984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27398"/>
                    <a:stretch>
                      <a:fillRect/>
                    </a:stretch>
                  </pic:blipFill>
                  <pic:spPr bwMode="auto">
                    <a:xfrm>
                      <a:off x="0" y="0"/>
                      <a:ext cx="2704954" cy="1302067"/>
                    </a:xfrm>
                    <a:prstGeom prst="rect">
                      <a:avLst/>
                    </a:prstGeom>
                    <a:ln>
                      <a:noFill/>
                    </a:ln>
                    <a:extLst>
                      <a:ext uri="{53640926-AAD7-44D8-BBD7-CCE9431645EC}">
                        <a14:shadowObscured xmlns:a14="http://schemas.microsoft.com/office/drawing/2010/main"/>
                      </a:ext>
                    </a:extLst>
                  </pic:spPr>
                </pic:pic>
              </a:graphicData>
            </a:graphic>
          </wp:inline>
        </w:drawing>
      </w:r>
    </w:p>
    <w:p w14:paraId="36181536" w14:textId="4A5B59CE" w:rsidR="00F90798" w:rsidRDefault="00F90798" w:rsidP="006B4E52">
      <w:pPr>
        <w:spacing w:before="0" w:after="160"/>
        <w:jc w:val="center"/>
        <w:rPr>
          <w:rFonts w:ascii="Arial" w:hAnsi="Arial" w:cs="Arial"/>
          <w:b/>
          <w:bCs/>
          <w:sz w:val="32"/>
          <w:szCs w:val="32"/>
        </w:rPr>
      </w:pPr>
      <w:r w:rsidRPr="00F90798">
        <w:rPr>
          <w:rFonts w:ascii="Arial" w:hAnsi="Arial" w:cs="Arial"/>
          <w:b/>
          <w:bCs/>
          <w:sz w:val="32"/>
          <w:szCs w:val="32"/>
        </w:rPr>
        <w:t>MASTER OF BUSINESS ADMINISTRATION</w:t>
      </w:r>
    </w:p>
    <w:p w14:paraId="7A2875D1" w14:textId="77777777" w:rsidR="00F90798" w:rsidRDefault="00F90798" w:rsidP="006B4E52">
      <w:pPr>
        <w:spacing w:before="0" w:after="160"/>
        <w:jc w:val="center"/>
        <w:rPr>
          <w:rFonts w:ascii="Arial" w:hAnsi="Arial" w:cs="Arial"/>
          <w:b/>
          <w:bCs/>
          <w:sz w:val="32"/>
          <w:szCs w:val="32"/>
        </w:rPr>
      </w:pPr>
    </w:p>
    <w:p w14:paraId="7807BC59" w14:textId="2D9120DC" w:rsidR="002768F7" w:rsidRPr="006B4E52" w:rsidRDefault="00F90798" w:rsidP="006B4E52">
      <w:pPr>
        <w:spacing w:before="0" w:after="160"/>
        <w:jc w:val="center"/>
        <w:rPr>
          <w:rFonts w:ascii="Arial" w:hAnsi="Arial" w:cs="Arial"/>
          <w:b/>
          <w:bCs/>
          <w:sz w:val="32"/>
          <w:szCs w:val="32"/>
        </w:rPr>
      </w:pPr>
      <w:r w:rsidRPr="006B4E52">
        <w:rPr>
          <w:rFonts w:ascii="Arial" w:hAnsi="Arial" w:cs="Arial"/>
          <w:b/>
          <w:bCs/>
          <w:sz w:val="32"/>
          <w:szCs w:val="32"/>
        </w:rPr>
        <w:t>MARKETING MANAGEMENT</w:t>
      </w:r>
    </w:p>
    <w:p w14:paraId="5BD1AAC4" w14:textId="0CFAFB79" w:rsidR="002768F7" w:rsidRPr="006B4E52" w:rsidRDefault="002768F7" w:rsidP="006B4E52">
      <w:pPr>
        <w:spacing w:before="0" w:after="160"/>
        <w:jc w:val="center"/>
        <w:rPr>
          <w:rFonts w:ascii="Arial" w:hAnsi="Arial" w:cs="Arial"/>
          <w:b/>
          <w:bCs/>
          <w:sz w:val="32"/>
          <w:szCs w:val="32"/>
        </w:rPr>
      </w:pPr>
      <w:r w:rsidRPr="006B4E52">
        <w:rPr>
          <w:rFonts w:ascii="Arial" w:hAnsi="Arial" w:cs="Arial"/>
          <w:b/>
          <w:bCs/>
          <w:sz w:val="32"/>
          <w:szCs w:val="32"/>
        </w:rPr>
        <w:t>LCMB7024</w:t>
      </w:r>
    </w:p>
    <w:p w14:paraId="15910948" w14:textId="77777777" w:rsidR="002768F7" w:rsidRDefault="002768F7" w:rsidP="006B4E52">
      <w:pPr>
        <w:spacing w:before="0" w:after="160"/>
        <w:jc w:val="center"/>
        <w:rPr>
          <w:rFonts w:ascii="Arial" w:hAnsi="Arial" w:cs="Arial"/>
          <w:b/>
          <w:bCs/>
          <w:sz w:val="32"/>
          <w:szCs w:val="32"/>
        </w:rPr>
      </w:pPr>
    </w:p>
    <w:p w14:paraId="0F4DE6B8" w14:textId="339BF09C" w:rsidR="00F90798" w:rsidRDefault="00746DEF" w:rsidP="006B4E52">
      <w:pPr>
        <w:spacing w:before="0" w:after="160"/>
        <w:jc w:val="center"/>
        <w:rPr>
          <w:rFonts w:ascii="Arial" w:hAnsi="Arial" w:cs="Arial"/>
          <w:b/>
          <w:bCs/>
          <w:sz w:val="32"/>
          <w:szCs w:val="32"/>
        </w:rPr>
      </w:pPr>
      <w:r w:rsidRPr="00746DEF">
        <w:rPr>
          <w:rFonts w:ascii="Arial" w:hAnsi="Arial" w:cs="Arial"/>
          <w:b/>
          <w:bCs/>
          <w:sz w:val="32"/>
          <w:szCs w:val="32"/>
        </w:rPr>
        <w:t>MARKETING ENVIRONMENTAL ANALYSIS FOR PIONEERS AND FOLLOWERS</w:t>
      </w:r>
    </w:p>
    <w:p w14:paraId="15387267" w14:textId="77777777" w:rsidR="00F90798" w:rsidRDefault="00F90798" w:rsidP="006B4E52">
      <w:pPr>
        <w:spacing w:before="0" w:after="160"/>
        <w:jc w:val="center"/>
        <w:rPr>
          <w:rFonts w:ascii="Arial" w:hAnsi="Arial" w:cs="Arial"/>
          <w:b/>
          <w:bCs/>
          <w:sz w:val="32"/>
          <w:szCs w:val="32"/>
        </w:rPr>
      </w:pPr>
    </w:p>
    <w:p w14:paraId="4B21A9ED" w14:textId="77777777" w:rsidR="00746DEF" w:rsidRDefault="00746DEF" w:rsidP="006B4E52">
      <w:pPr>
        <w:spacing w:before="0" w:after="160"/>
        <w:jc w:val="center"/>
        <w:rPr>
          <w:rFonts w:ascii="Arial" w:hAnsi="Arial" w:cs="Arial"/>
          <w:b/>
          <w:bCs/>
          <w:sz w:val="32"/>
          <w:szCs w:val="32"/>
        </w:rPr>
      </w:pPr>
    </w:p>
    <w:p w14:paraId="1A2EB708" w14:textId="77777777" w:rsidR="00746DEF" w:rsidRPr="006B4E52" w:rsidRDefault="00746DEF" w:rsidP="006B4E52">
      <w:pPr>
        <w:spacing w:before="0" w:after="160"/>
        <w:jc w:val="center"/>
        <w:rPr>
          <w:rFonts w:ascii="Arial" w:hAnsi="Arial" w:cs="Arial"/>
          <w:b/>
          <w:bCs/>
          <w:sz w:val="32"/>
          <w:szCs w:val="32"/>
        </w:rPr>
      </w:pPr>
    </w:p>
    <w:p w14:paraId="5B0CDBD8" w14:textId="7BA94007" w:rsidR="006B4E52" w:rsidRPr="004C6E5C" w:rsidRDefault="006B4E52" w:rsidP="004C6E5C">
      <w:pPr>
        <w:pStyle w:val="ListParagraph"/>
        <w:numPr>
          <w:ilvl w:val="0"/>
          <w:numId w:val="13"/>
        </w:numPr>
        <w:spacing w:before="0" w:after="160"/>
        <w:jc w:val="left"/>
        <w:rPr>
          <w:rFonts w:ascii="Arial Rounded MT Bold" w:hAnsi="Arial Rounded MT Bold" w:cs="Arial"/>
          <w:b/>
          <w:bCs/>
          <w:sz w:val="28"/>
          <w:szCs w:val="28"/>
        </w:rPr>
      </w:pPr>
      <w:r w:rsidRPr="004C6E5C">
        <w:rPr>
          <w:rFonts w:ascii="Arial Rounded MT Bold" w:hAnsi="Arial Rounded MT Bold" w:cs="Arial"/>
          <w:b/>
          <w:bCs/>
          <w:sz w:val="28"/>
          <w:szCs w:val="28"/>
        </w:rPr>
        <w:t>Student Name</w:t>
      </w:r>
      <w:r w:rsidR="004C6E5C" w:rsidRPr="004C6E5C">
        <w:rPr>
          <w:rFonts w:ascii="Arial Rounded MT Bold" w:hAnsi="Arial Rounded MT Bold" w:cs="Arial"/>
          <w:b/>
          <w:bCs/>
          <w:sz w:val="28"/>
          <w:szCs w:val="28"/>
        </w:rPr>
        <w:t xml:space="preserve">: MAHIPALSINH RANVIRSINH GOHIL </w:t>
      </w:r>
    </w:p>
    <w:p w14:paraId="5EAC82E9" w14:textId="6547A7CA" w:rsidR="004C6E5C" w:rsidRPr="004C6E5C" w:rsidRDefault="004C6E5C" w:rsidP="004C6E5C">
      <w:pPr>
        <w:pStyle w:val="ListParagraph"/>
        <w:numPr>
          <w:ilvl w:val="0"/>
          <w:numId w:val="13"/>
        </w:numPr>
        <w:spacing w:before="0" w:after="160"/>
        <w:jc w:val="left"/>
        <w:rPr>
          <w:rFonts w:ascii="Arial Rounded MT Bold" w:hAnsi="Arial Rounded MT Bold" w:cs="Arial"/>
          <w:b/>
          <w:bCs/>
          <w:sz w:val="28"/>
          <w:szCs w:val="28"/>
        </w:rPr>
      </w:pPr>
      <w:r w:rsidRPr="004C6E5C">
        <w:rPr>
          <w:rFonts w:ascii="Arial Rounded MT Bold" w:hAnsi="Arial Rounded MT Bold" w:cs="Arial"/>
          <w:b/>
          <w:bCs/>
          <w:sz w:val="28"/>
          <w:szCs w:val="28"/>
        </w:rPr>
        <w:t>Module Name: MARKETING MANAGEMENT</w:t>
      </w:r>
    </w:p>
    <w:p w14:paraId="68BAF247" w14:textId="3131DE0F" w:rsidR="004C6E5C" w:rsidRPr="004C6E5C" w:rsidRDefault="004C6E5C" w:rsidP="004C6E5C">
      <w:pPr>
        <w:pStyle w:val="ListParagraph"/>
        <w:numPr>
          <w:ilvl w:val="0"/>
          <w:numId w:val="13"/>
        </w:numPr>
        <w:spacing w:before="0" w:after="160"/>
        <w:jc w:val="left"/>
        <w:rPr>
          <w:rFonts w:ascii="Arial Rounded MT Bold" w:hAnsi="Arial Rounded MT Bold" w:cs="Arial"/>
          <w:b/>
          <w:bCs/>
          <w:sz w:val="28"/>
          <w:szCs w:val="28"/>
        </w:rPr>
      </w:pPr>
      <w:r w:rsidRPr="004C6E5C">
        <w:rPr>
          <w:rFonts w:ascii="Arial Rounded MT Bold" w:hAnsi="Arial Rounded MT Bold" w:cs="Arial"/>
          <w:b/>
          <w:bCs/>
          <w:sz w:val="28"/>
          <w:szCs w:val="28"/>
        </w:rPr>
        <w:t>Module Code: LCMB7024</w:t>
      </w:r>
    </w:p>
    <w:p w14:paraId="537139C6" w14:textId="77777777" w:rsidR="004C6E5C" w:rsidRPr="004C6E5C" w:rsidRDefault="006B4E52" w:rsidP="004C6E5C">
      <w:pPr>
        <w:pStyle w:val="ListParagraph"/>
        <w:numPr>
          <w:ilvl w:val="0"/>
          <w:numId w:val="13"/>
        </w:numPr>
        <w:spacing w:before="0" w:after="160"/>
        <w:jc w:val="left"/>
        <w:rPr>
          <w:rFonts w:ascii="Arial Rounded MT Bold" w:hAnsi="Arial Rounded MT Bold" w:cs="Arial"/>
          <w:b/>
          <w:bCs/>
          <w:sz w:val="28"/>
          <w:szCs w:val="28"/>
        </w:rPr>
      </w:pPr>
      <w:r w:rsidRPr="004C6E5C">
        <w:rPr>
          <w:rFonts w:ascii="Arial Rounded MT Bold" w:hAnsi="Arial Rounded MT Bold" w:cs="Arial"/>
          <w:b/>
          <w:bCs/>
          <w:sz w:val="28"/>
          <w:szCs w:val="28"/>
        </w:rPr>
        <w:t>Student ID:</w:t>
      </w:r>
      <w:r w:rsidR="004C6E5C" w:rsidRPr="004C6E5C">
        <w:rPr>
          <w:rFonts w:ascii="Arial Rounded MT Bold" w:hAnsi="Arial Rounded MT Bold" w:cs="Arial"/>
          <w:b/>
          <w:bCs/>
          <w:sz w:val="28"/>
          <w:szCs w:val="28"/>
        </w:rPr>
        <w:t>2510635</w:t>
      </w:r>
    </w:p>
    <w:p w14:paraId="794BA85E" w14:textId="302E44B8" w:rsidR="004C6E5C" w:rsidRPr="004C6E5C" w:rsidRDefault="002768F7" w:rsidP="004C6E5C">
      <w:pPr>
        <w:pStyle w:val="ListParagraph"/>
        <w:numPr>
          <w:ilvl w:val="0"/>
          <w:numId w:val="13"/>
        </w:numPr>
        <w:spacing w:before="0" w:after="160"/>
        <w:jc w:val="left"/>
        <w:rPr>
          <w:rFonts w:ascii="Arial Rounded MT Bold" w:hAnsi="Arial Rounded MT Bold" w:cs="Arial"/>
          <w:b/>
          <w:bCs/>
          <w:sz w:val="28"/>
          <w:szCs w:val="28"/>
        </w:rPr>
      </w:pPr>
      <w:r w:rsidRPr="004C6E5C">
        <w:rPr>
          <w:rFonts w:ascii="Arial Rounded MT Bold" w:hAnsi="Arial Rounded MT Bold" w:cs="Arial"/>
          <w:b/>
          <w:bCs/>
          <w:sz w:val="28"/>
          <w:szCs w:val="28"/>
        </w:rPr>
        <w:t>Lecturer’s Name:</w:t>
      </w:r>
      <w:r w:rsidR="004C6E5C" w:rsidRPr="004C6E5C">
        <w:rPr>
          <w:rFonts w:ascii="Arial Rounded MT Bold" w:hAnsi="Arial Rounded MT Bold" w:cs="Arial"/>
          <w:b/>
          <w:bCs/>
          <w:sz w:val="28"/>
          <w:szCs w:val="28"/>
        </w:rPr>
        <w:t xml:space="preserve"> DR. JAYALAKSHMI GOPALKRISHNAN</w:t>
      </w:r>
    </w:p>
    <w:p w14:paraId="686AB707" w14:textId="6EA86FEB" w:rsidR="004C6E5C" w:rsidRPr="004C6E5C" w:rsidRDefault="002768F7" w:rsidP="004C6E5C">
      <w:pPr>
        <w:pStyle w:val="ListParagraph"/>
        <w:numPr>
          <w:ilvl w:val="0"/>
          <w:numId w:val="13"/>
        </w:numPr>
        <w:spacing w:before="0" w:after="160"/>
        <w:jc w:val="left"/>
        <w:rPr>
          <w:rFonts w:ascii="Arial Rounded MT Bold" w:hAnsi="Arial Rounded MT Bold" w:cs="Arial"/>
          <w:b/>
          <w:bCs/>
          <w:sz w:val="28"/>
          <w:szCs w:val="28"/>
        </w:rPr>
      </w:pPr>
      <w:r w:rsidRPr="004C6E5C">
        <w:rPr>
          <w:rFonts w:ascii="Arial Rounded MT Bold" w:hAnsi="Arial Rounded MT Bold" w:cs="Arial"/>
          <w:b/>
          <w:bCs/>
          <w:sz w:val="28"/>
          <w:szCs w:val="28"/>
        </w:rPr>
        <w:t>Wor</w:t>
      </w:r>
      <w:r w:rsidR="00196816" w:rsidRPr="004C6E5C">
        <w:rPr>
          <w:rFonts w:ascii="Arial Rounded MT Bold" w:hAnsi="Arial Rounded MT Bold" w:cs="Arial"/>
          <w:b/>
          <w:bCs/>
          <w:sz w:val="28"/>
          <w:szCs w:val="28"/>
        </w:rPr>
        <w:t>d</w:t>
      </w:r>
      <w:r w:rsidRPr="004C6E5C">
        <w:rPr>
          <w:rFonts w:ascii="Arial Rounded MT Bold" w:hAnsi="Arial Rounded MT Bold" w:cs="Arial"/>
          <w:b/>
          <w:bCs/>
          <w:sz w:val="28"/>
          <w:szCs w:val="28"/>
        </w:rPr>
        <w:t xml:space="preserve"> Count:</w:t>
      </w:r>
      <w:r w:rsidR="00196816" w:rsidRPr="004C6E5C">
        <w:rPr>
          <w:rFonts w:ascii="Arial Rounded MT Bold" w:hAnsi="Arial Rounded MT Bold" w:cs="Arial"/>
          <w:b/>
          <w:bCs/>
          <w:sz w:val="28"/>
          <w:szCs w:val="28"/>
        </w:rPr>
        <w:t xml:space="preserve"> </w:t>
      </w:r>
      <w:r w:rsidR="00196816" w:rsidRPr="004C6E5C">
        <w:rPr>
          <w:rFonts w:ascii="Arial Rounded MT Bold" w:hAnsi="Arial Rounded MT Bold" w:cs="Arial"/>
          <w:sz w:val="28"/>
          <w:szCs w:val="28"/>
        </w:rPr>
        <w:t>26</w:t>
      </w:r>
      <w:r w:rsidR="004C6E5C" w:rsidRPr="004C6E5C">
        <w:rPr>
          <w:rFonts w:ascii="Arial Rounded MT Bold" w:hAnsi="Arial Rounded MT Bold" w:cs="Arial"/>
          <w:sz w:val="28"/>
          <w:szCs w:val="28"/>
        </w:rPr>
        <w:t>50</w:t>
      </w:r>
    </w:p>
    <w:p w14:paraId="2A3EAE7C" w14:textId="00B9F66D" w:rsidR="004C6E5C" w:rsidRPr="004C6E5C" w:rsidRDefault="004C6E5C" w:rsidP="004C6E5C">
      <w:pPr>
        <w:pStyle w:val="ListParagraph"/>
        <w:numPr>
          <w:ilvl w:val="0"/>
          <w:numId w:val="13"/>
        </w:numPr>
        <w:spacing w:before="0" w:after="160"/>
        <w:jc w:val="left"/>
        <w:rPr>
          <w:rFonts w:ascii="Arial Rounded MT Bold" w:hAnsi="Arial Rounded MT Bold" w:cs="Arial"/>
          <w:b/>
          <w:bCs/>
          <w:sz w:val="28"/>
          <w:szCs w:val="28"/>
        </w:rPr>
      </w:pPr>
      <w:r w:rsidRPr="004C6E5C">
        <w:rPr>
          <w:rFonts w:ascii="Arial Rounded MT Bold" w:hAnsi="Arial Rounded MT Bold" w:cs="Arial"/>
          <w:b/>
          <w:bCs/>
          <w:sz w:val="28"/>
          <w:szCs w:val="28"/>
        </w:rPr>
        <w:t>Term 1.</w:t>
      </w:r>
    </w:p>
    <w:p w14:paraId="5B238DCC" w14:textId="66871CDA" w:rsidR="006E28BB" w:rsidRPr="004C6E5C" w:rsidRDefault="006E28BB" w:rsidP="004C6E5C">
      <w:pPr>
        <w:pStyle w:val="ListParagraph"/>
        <w:numPr>
          <w:ilvl w:val="0"/>
          <w:numId w:val="13"/>
        </w:numPr>
        <w:spacing w:before="0" w:after="160"/>
        <w:jc w:val="left"/>
        <w:rPr>
          <w:rFonts w:ascii="Arial Rounded MT Bold" w:hAnsi="Arial Rounded MT Bold" w:cs="Arial"/>
          <w:b/>
          <w:bCs/>
        </w:rPr>
      </w:pPr>
      <w:r w:rsidRPr="004C6E5C">
        <w:rPr>
          <w:rFonts w:ascii="Arial" w:hAnsi="Arial" w:cs="Arial"/>
        </w:rPr>
        <w:br w:type="page"/>
      </w:r>
    </w:p>
    <w:sdt>
      <w:sdtPr>
        <w:rPr>
          <w:rFonts w:ascii="Arial" w:eastAsiaTheme="minorHAnsi" w:hAnsi="Arial" w:cs="Arial"/>
          <w:color w:val="auto"/>
          <w:sz w:val="24"/>
          <w:szCs w:val="24"/>
          <w:lang w:val="en-IN"/>
        </w:rPr>
        <w:id w:val="1856539746"/>
        <w:docPartObj>
          <w:docPartGallery w:val="Table of Contents"/>
          <w:docPartUnique/>
        </w:docPartObj>
      </w:sdtPr>
      <w:sdtEndPr>
        <w:rPr>
          <w:b/>
          <w:bCs/>
          <w:noProof/>
        </w:rPr>
      </w:sdtEndPr>
      <w:sdtContent>
        <w:p w14:paraId="7FE413B6" w14:textId="2AF17342" w:rsidR="008A409B" w:rsidRPr="00746DEF" w:rsidRDefault="008A409B" w:rsidP="006B4E52">
          <w:pPr>
            <w:pStyle w:val="TOCHeading"/>
            <w:spacing w:line="360" w:lineRule="auto"/>
            <w:jc w:val="center"/>
            <w:rPr>
              <w:rFonts w:ascii="Arial" w:hAnsi="Arial" w:cs="Arial"/>
              <w:b/>
              <w:bCs/>
              <w:color w:val="auto"/>
              <w:sz w:val="24"/>
              <w:szCs w:val="24"/>
            </w:rPr>
          </w:pPr>
          <w:r w:rsidRPr="00746DEF">
            <w:rPr>
              <w:rFonts w:ascii="Arial" w:hAnsi="Arial" w:cs="Arial"/>
              <w:b/>
              <w:bCs/>
              <w:color w:val="auto"/>
              <w:sz w:val="24"/>
              <w:szCs w:val="24"/>
            </w:rPr>
            <w:t>Table of Contents</w:t>
          </w:r>
        </w:p>
        <w:p w14:paraId="29BA50B6" w14:textId="3C7430B7" w:rsidR="006743CF" w:rsidRPr="006743CF" w:rsidRDefault="008A409B" w:rsidP="006743CF">
          <w:pPr>
            <w:pStyle w:val="TOC1"/>
            <w:tabs>
              <w:tab w:val="right" w:leader="dot" w:pos="9016"/>
            </w:tabs>
            <w:rPr>
              <w:rFonts w:ascii="Arial" w:eastAsiaTheme="minorEastAsia" w:hAnsi="Arial" w:cs="Arial"/>
              <w:noProof/>
              <w:kern w:val="2"/>
              <w:szCs w:val="24"/>
              <w:lang w:eastAsia="en-IN"/>
              <w14:ligatures w14:val="standardContextual"/>
            </w:rPr>
          </w:pPr>
          <w:r w:rsidRPr="00746DEF">
            <w:rPr>
              <w:rFonts w:ascii="Arial" w:hAnsi="Arial" w:cs="Arial"/>
              <w:szCs w:val="24"/>
            </w:rPr>
            <w:fldChar w:fldCharType="begin"/>
          </w:r>
          <w:r w:rsidRPr="00746DEF">
            <w:rPr>
              <w:rFonts w:ascii="Arial" w:hAnsi="Arial" w:cs="Arial"/>
              <w:szCs w:val="24"/>
            </w:rPr>
            <w:instrText xml:space="preserve"> TOC \o "1-3" \h \z \u </w:instrText>
          </w:r>
          <w:r w:rsidRPr="00746DEF">
            <w:rPr>
              <w:rFonts w:ascii="Arial" w:hAnsi="Arial" w:cs="Arial"/>
              <w:szCs w:val="24"/>
            </w:rPr>
            <w:fldChar w:fldCharType="separate"/>
          </w:r>
          <w:hyperlink w:anchor="_Toc214544575" w:history="1">
            <w:r w:rsidR="006743CF" w:rsidRPr="006743CF">
              <w:rPr>
                <w:rStyle w:val="Hyperlink"/>
                <w:rFonts w:ascii="Arial" w:hAnsi="Arial" w:cs="Arial"/>
                <w:noProof/>
                <w:lang w:eastAsia="en-IN"/>
              </w:rPr>
              <w:t>1.0 Introduction</w:t>
            </w:r>
            <w:r w:rsidR="006743CF" w:rsidRPr="006743CF">
              <w:rPr>
                <w:rFonts w:ascii="Arial" w:hAnsi="Arial" w:cs="Arial"/>
                <w:noProof/>
                <w:webHidden/>
              </w:rPr>
              <w:tab/>
            </w:r>
            <w:r w:rsidR="006743CF" w:rsidRPr="006743CF">
              <w:rPr>
                <w:rFonts w:ascii="Arial" w:hAnsi="Arial" w:cs="Arial"/>
                <w:noProof/>
                <w:webHidden/>
              </w:rPr>
              <w:fldChar w:fldCharType="begin"/>
            </w:r>
            <w:r w:rsidR="006743CF" w:rsidRPr="006743CF">
              <w:rPr>
                <w:rFonts w:ascii="Arial" w:hAnsi="Arial" w:cs="Arial"/>
                <w:noProof/>
                <w:webHidden/>
              </w:rPr>
              <w:instrText xml:space="preserve"> PAGEREF _Toc214544575 \h </w:instrText>
            </w:r>
            <w:r w:rsidR="006743CF" w:rsidRPr="006743CF">
              <w:rPr>
                <w:rFonts w:ascii="Arial" w:hAnsi="Arial" w:cs="Arial"/>
                <w:noProof/>
                <w:webHidden/>
              </w:rPr>
            </w:r>
            <w:r w:rsidR="006743CF" w:rsidRPr="006743CF">
              <w:rPr>
                <w:rFonts w:ascii="Arial" w:hAnsi="Arial" w:cs="Arial"/>
                <w:noProof/>
                <w:webHidden/>
              </w:rPr>
              <w:fldChar w:fldCharType="separate"/>
            </w:r>
            <w:r w:rsidR="006743CF" w:rsidRPr="006743CF">
              <w:rPr>
                <w:rFonts w:ascii="Arial" w:hAnsi="Arial" w:cs="Arial"/>
                <w:noProof/>
                <w:webHidden/>
              </w:rPr>
              <w:t>3</w:t>
            </w:r>
            <w:r w:rsidR="006743CF" w:rsidRPr="006743CF">
              <w:rPr>
                <w:rFonts w:ascii="Arial" w:hAnsi="Arial" w:cs="Arial"/>
                <w:noProof/>
                <w:webHidden/>
              </w:rPr>
              <w:fldChar w:fldCharType="end"/>
            </w:r>
          </w:hyperlink>
        </w:p>
        <w:p w14:paraId="6BB723D1" w14:textId="030FEAB9" w:rsidR="006743CF" w:rsidRPr="006743CF" w:rsidRDefault="006743CF" w:rsidP="006743CF">
          <w:pPr>
            <w:pStyle w:val="TOC1"/>
            <w:tabs>
              <w:tab w:val="right" w:leader="dot" w:pos="9016"/>
            </w:tabs>
            <w:rPr>
              <w:rFonts w:ascii="Arial" w:eastAsiaTheme="minorEastAsia" w:hAnsi="Arial" w:cs="Arial"/>
              <w:noProof/>
              <w:kern w:val="2"/>
              <w:szCs w:val="24"/>
              <w:lang w:eastAsia="en-IN"/>
              <w14:ligatures w14:val="standardContextual"/>
            </w:rPr>
          </w:pPr>
          <w:hyperlink w:anchor="_Toc214544576" w:history="1">
            <w:r w:rsidRPr="006743CF">
              <w:rPr>
                <w:rStyle w:val="Hyperlink"/>
                <w:rFonts w:ascii="Arial" w:hAnsi="Arial" w:cs="Arial"/>
                <w:noProof/>
                <w:lang w:eastAsia="en-IN"/>
              </w:rPr>
              <w:t>2.0 Task 1: The macro marketing environment analysis (Technological and Economic)</w:t>
            </w:r>
            <w:r w:rsidRPr="006743CF">
              <w:rPr>
                <w:rFonts w:ascii="Arial" w:hAnsi="Arial" w:cs="Arial"/>
                <w:noProof/>
                <w:webHidden/>
              </w:rPr>
              <w:tab/>
            </w:r>
            <w:r w:rsidRPr="006743CF">
              <w:rPr>
                <w:rFonts w:ascii="Arial" w:hAnsi="Arial" w:cs="Arial"/>
                <w:noProof/>
                <w:webHidden/>
              </w:rPr>
              <w:fldChar w:fldCharType="begin"/>
            </w:r>
            <w:r w:rsidRPr="006743CF">
              <w:rPr>
                <w:rFonts w:ascii="Arial" w:hAnsi="Arial" w:cs="Arial"/>
                <w:noProof/>
                <w:webHidden/>
              </w:rPr>
              <w:instrText xml:space="preserve"> PAGEREF _Toc214544576 \h </w:instrText>
            </w:r>
            <w:r w:rsidRPr="006743CF">
              <w:rPr>
                <w:rFonts w:ascii="Arial" w:hAnsi="Arial" w:cs="Arial"/>
                <w:noProof/>
                <w:webHidden/>
              </w:rPr>
            </w:r>
            <w:r w:rsidRPr="006743CF">
              <w:rPr>
                <w:rFonts w:ascii="Arial" w:hAnsi="Arial" w:cs="Arial"/>
                <w:noProof/>
                <w:webHidden/>
              </w:rPr>
              <w:fldChar w:fldCharType="separate"/>
            </w:r>
            <w:r w:rsidRPr="006743CF">
              <w:rPr>
                <w:rFonts w:ascii="Arial" w:hAnsi="Arial" w:cs="Arial"/>
                <w:noProof/>
                <w:webHidden/>
              </w:rPr>
              <w:t>3</w:t>
            </w:r>
            <w:r w:rsidRPr="006743CF">
              <w:rPr>
                <w:rFonts w:ascii="Arial" w:hAnsi="Arial" w:cs="Arial"/>
                <w:noProof/>
                <w:webHidden/>
              </w:rPr>
              <w:fldChar w:fldCharType="end"/>
            </w:r>
          </w:hyperlink>
        </w:p>
        <w:p w14:paraId="6BE5F0A0" w14:textId="34A39252" w:rsidR="006743CF" w:rsidRPr="006743CF" w:rsidRDefault="006743CF" w:rsidP="006743CF">
          <w:pPr>
            <w:pStyle w:val="TOC3"/>
            <w:tabs>
              <w:tab w:val="right" w:leader="dot" w:pos="9016"/>
            </w:tabs>
            <w:rPr>
              <w:rFonts w:ascii="Arial" w:eastAsiaTheme="minorEastAsia" w:hAnsi="Arial" w:cs="Arial"/>
              <w:noProof/>
              <w:kern w:val="2"/>
              <w:szCs w:val="24"/>
              <w:lang w:eastAsia="en-IN"/>
              <w14:ligatures w14:val="standardContextual"/>
            </w:rPr>
          </w:pPr>
          <w:hyperlink w:anchor="_Toc214544577" w:history="1">
            <w:r w:rsidRPr="006743CF">
              <w:rPr>
                <w:rStyle w:val="Hyperlink"/>
                <w:rFonts w:ascii="Arial" w:hAnsi="Arial" w:cs="Arial"/>
                <w:noProof/>
              </w:rPr>
              <w:t>2.1 Technological Factors</w:t>
            </w:r>
            <w:r w:rsidRPr="006743CF">
              <w:rPr>
                <w:rFonts w:ascii="Arial" w:hAnsi="Arial" w:cs="Arial"/>
                <w:noProof/>
                <w:webHidden/>
              </w:rPr>
              <w:tab/>
            </w:r>
            <w:r w:rsidRPr="006743CF">
              <w:rPr>
                <w:rFonts w:ascii="Arial" w:hAnsi="Arial" w:cs="Arial"/>
                <w:noProof/>
                <w:webHidden/>
              </w:rPr>
              <w:fldChar w:fldCharType="begin"/>
            </w:r>
            <w:r w:rsidRPr="006743CF">
              <w:rPr>
                <w:rFonts w:ascii="Arial" w:hAnsi="Arial" w:cs="Arial"/>
                <w:noProof/>
                <w:webHidden/>
              </w:rPr>
              <w:instrText xml:space="preserve"> PAGEREF _Toc214544577 \h </w:instrText>
            </w:r>
            <w:r w:rsidRPr="006743CF">
              <w:rPr>
                <w:rFonts w:ascii="Arial" w:hAnsi="Arial" w:cs="Arial"/>
                <w:noProof/>
                <w:webHidden/>
              </w:rPr>
            </w:r>
            <w:r w:rsidRPr="006743CF">
              <w:rPr>
                <w:rFonts w:ascii="Arial" w:hAnsi="Arial" w:cs="Arial"/>
                <w:noProof/>
                <w:webHidden/>
              </w:rPr>
              <w:fldChar w:fldCharType="separate"/>
            </w:r>
            <w:r w:rsidRPr="006743CF">
              <w:rPr>
                <w:rFonts w:ascii="Arial" w:hAnsi="Arial" w:cs="Arial"/>
                <w:noProof/>
                <w:webHidden/>
              </w:rPr>
              <w:t>3</w:t>
            </w:r>
            <w:r w:rsidRPr="006743CF">
              <w:rPr>
                <w:rFonts w:ascii="Arial" w:hAnsi="Arial" w:cs="Arial"/>
                <w:noProof/>
                <w:webHidden/>
              </w:rPr>
              <w:fldChar w:fldCharType="end"/>
            </w:r>
          </w:hyperlink>
        </w:p>
        <w:p w14:paraId="6F4D12F2" w14:textId="325A3A8D" w:rsidR="006743CF" w:rsidRPr="006743CF" w:rsidRDefault="006743CF" w:rsidP="006743CF">
          <w:pPr>
            <w:pStyle w:val="TOC3"/>
            <w:tabs>
              <w:tab w:val="right" w:leader="dot" w:pos="9016"/>
            </w:tabs>
            <w:rPr>
              <w:rFonts w:ascii="Arial" w:eastAsiaTheme="minorEastAsia" w:hAnsi="Arial" w:cs="Arial"/>
              <w:noProof/>
              <w:kern w:val="2"/>
              <w:szCs w:val="24"/>
              <w:lang w:eastAsia="en-IN"/>
              <w14:ligatures w14:val="standardContextual"/>
            </w:rPr>
          </w:pPr>
          <w:hyperlink w:anchor="_Toc214544578" w:history="1">
            <w:r w:rsidRPr="006743CF">
              <w:rPr>
                <w:rStyle w:val="Hyperlink"/>
                <w:rFonts w:ascii="Arial" w:hAnsi="Arial" w:cs="Arial"/>
                <w:noProof/>
              </w:rPr>
              <w:t>2.2 Economic Factors</w:t>
            </w:r>
            <w:r w:rsidRPr="006743CF">
              <w:rPr>
                <w:rFonts w:ascii="Arial" w:hAnsi="Arial" w:cs="Arial"/>
                <w:noProof/>
                <w:webHidden/>
              </w:rPr>
              <w:tab/>
            </w:r>
            <w:r w:rsidRPr="006743CF">
              <w:rPr>
                <w:rFonts w:ascii="Arial" w:hAnsi="Arial" w:cs="Arial"/>
                <w:noProof/>
                <w:webHidden/>
              </w:rPr>
              <w:fldChar w:fldCharType="begin"/>
            </w:r>
            <w:r w:rsidRPr="006743CF">
              <w:rPr>
                <w:rFonts w:ascii="Arial" w:hAnsi="Arial" w:cs="Arial"/>
                <w:noProof/>
                <w:webHidden/>
              </w:rPr>
              <w:instrText xml:space="preserve"> PAGEREF _Toc214544578 \h </w:instrText>
            </w:r>
            <w:r w:rsidRPr="006743CF">
              <w:rPr>
                <w:rFonts w:ascii="Arial" w:hAnsi="Arial" w:cs="Arial"/>
                <w:noProof/>
                <w:webHidden/>
              </w:rPr>
            </w:r>
            <w:r w:rsidRPr="006743CF">
              <w:rPr>
                <w:rFonts w:ascii="Arial" w:hAnsi="Arial" w:cs="Arial"/>
                <w:noProof/>
                <w:webHidden/>
              </w:rPr>
              <w:fldChar w:fldCharType="separate"/>
            </w:r>
            <w:r w:rsidRPr="006743CF">
              <w:rPr>
                <w:rFonts w:ascii="Arial" w:hAnsi="Arial" w:cs="Arial"/>
                <w:noProof/>
                <w:webHidden/>
              </w:rPr>
              <w:t>8</w:t>
            </w:r>
            <w:r w:rsidRPr="006743CF">
              <w:rPr>
                <w:rFonts w:ascii="Arial" w:hAnsi="Arial" w:cs="Arial"/>
                <w:noProof/>
                <w:webHidden/>
              </w:rPr>
              <w:fldChar w:fldCharType="end"/>
            </w:r>
          </w:hyperlink>
        </w:p>
        <w:p w14:paraId="7ADCD29C" w14:textId="6C02B69E" w:rsidR="006743CF" w:rsidRPr="006743CF" w:rsidRDefault="006743CF" w:rsidP="006743CF">
          <w:pPr>
            <w:pStyle w:val="TOC1"/>
            <w:tabs>
              <w:tab w:val="right" w:leader="dot" w:pos="9016"/>
            </w:tabs>
            <w:rPr>
              <w:rFonts w:ascii="Arial" w:eastAsiaTheme="minorEastAsia" w:hAnsi="Arial" w:cs="Arial"/>
              <w:noProof/>
              <w:kern w:val="2"/>
              <w:szCs w:val="24"/>
              <w:lang w:eastAsia="en-IN"/>
              <w14:ligatures w14:val="standardContextual"/>
            </w:rPr>
          </w:pPr>
          <w:hyperlink w:anchor="_Toc214544579" w:history="1">
            <w:r w:rsidRPr="006743CF">
              <w:rPr>
                <w:rStyle w:val="Hyperlink"/>
                <w:rFonts w:ascii="Arial" w:hAnsi="Arial" w:cs="Arial"/>
                <w:noProof/>
                <w:lang w:eastAsia="en-IN"/>
              </w:rPr>
              <w:t>3.0 Task 2: Strategic Responses</w:t>
            </w:r>
            <w:r w:rsidRPr="006743CF">
              <w:rPr>
                <w:rFonts w:ascii="Arial" w:hAnsi="Arial" w:cs="Arial"/>
                <w:noProof/>
                <w:webHidden/>
              </w:rPr>
              <w:tab/>
            </w:r>
            <w:r w:rsidRPr="006743CF">
              <w:rPr>
                <w:rFonts w:ascii="Arial" w:hAnsi="Arial" w:cs="Arial"/>
                <w:noProof/>
                <w:webHidden/>
              </w:rPr>
              <w:fldChar w:fldCharType="begin"/>
            </w:r>
            <w:r w:rsidRPr="006743CF">
              <w:rPr>
                <w:rFonts w:ascii="Arial" w:hAnsi="Arial" w:cs="Arial"/>
                <w:noProof/>
                <w:webHidden/>
              </w:rPr>
              <w:instrText xml:space="preserve"> PAGEREF _Toc214544579 \h </w:instrText>
            </w:r>
            <w:r w:rsidRPr="006743CF">
              <w:rPr>
                <w:rFonts w:ascii="Arial" w:hAnsi="Arial" w:cs="Arial"/>
                <w:noProof/>
                <w:webHidden/>
              </w:rPr>
            </w:r>
            <w:r w:rsidRPr="006743CF">
              <w:rPr>
                <w:rFonts w:ascii="Arial" w:hAnsi="Arial" w:cs="Arial"/>
                <w:noProof/>
                <w:webHidden/>
              </w:rPr>
              <w:fldChar w:fldCharType="separate"/>
            </w:r>
            <w:r w:rsidRPr="006743CF">
              <w:rPr>
                <w:rFonts w:ascii="Arial" w:hAnsi="Arial" w:cs="Arial"/>
                <w:noProof/>
                <w:webHidden/>
              </w:rPr>
              <w:t>9</w:t>
            </w:r>
            <w:r w:rsidRPr="006743CF">
              <w:rPr>
                <w:rFonts w:ascii="Arial" w:hAnsi="Arial" w:cs="Arial"/>
                <w:noProof/>
                <w:webHidden/>
              </w:rPr>
              <w:fldChar w:fldCharType="end"/>
            </w:r>
          </w:hyperlink>
        </w:p>
        <w:p w14:paraId="04889EE4" w14:textId="7DBB51B2" w:rsidR="006743CF" w:rsidRPr="006743CF" w:rsidRDefault="006743CF" w:rsidP="006743CF">
          <w:pPr>
            <w:pStyle w:val="TOC2"/>
            <w:tabs>
              <w:tab w:val="right" w:leader="dot" w:pos="9016"/>
            </w:tabs>
            <w:rPr>
              <w:rFonts w:ascii="Arial" w:eastAsiaTheme="minorEastAsia" w:hAnsi="Arial" w:cs="Arial"/>
              <w:noProof/>
              <w:kern w:val="2"/>
              <w:szCs w:val="24"/>
              <w:lang w:eastAsia="en-IN"/>
              <w14:ligatures w14:val="standardContextual"/>
            </w:rPr>
          </w:pPr>
          <w:hyperlink w:anchor="_Toc214544580" w:history="1">
            <w:r w:rsidRPr="006743CF">
              <w:rPr>
                <w:rStyle w:val="Hyperlink"/>
                <w:rFonts w:ascii="Arial" w:hAnsi="Arial" w:cs="Arial"/>
                <w:noProof/>
                <w:lang w:eastAsia="en-IN"/>
              </w:rPr>
              <w:t>3.1 Retail sector: Sainsbury (innovator) vs Co-op (mimic)</w:t>
            </w:r>
            <w:r w:rsidRPr="006743CF">
              <w:rPr>
                <w:rFonts w:ascii="Arial" w:hAnsi="Arial" w:cs="Arial"/>
                <w:noProof/>
                <w:webHidden/>
              </w:rPr>
              <w:tab/>
            </w:r>
            <w:r w:rsidRPr="006743CF">
              <w:rPr>
                <w:rFonts w:ascii="Arial" w:hAnsi="Arial" w:cs="Arial"/>
                <w:noProof/>
                <w:webHidden/>
              </w:rPr>
              <w:fldChar w:fldCharType="begin"/>
            </w:r>
            <w:r w:rsidRPr="006743CF">
              <w:rPr>
                <w:rFonts w:ascii="Arial" w:hAnsi="Arial" w:cs="Arial"/>
                <w:noProof/>
                <w:webHidden/>
              </w:rPr>
              <w:instrText xml:space="preserve"> PAGEREF _Toc214544580 \h </w:instrText>
            </w:r>
            <w:r w:rsidRPr="006743CF">
              <w:rPr>
                <w:rFonts w:ascii="Arial" w:hAnsi="Arial" w:cs="Arial"/>
                <w:noProof/>
                <w:webHidden/>
              </w:rPr>
            </w:r>
            <w:r w:rsidRPr="006743CF">
              <w:rPr>
                <w:rFonts w:ascii="Arial" w:hAnsi="Arial" w:cs="Arial"/>
                <w:noProof/>
                <w:webHidden/>
              </w:rPr>
              <w:fldChar w:fldCharType="separate"/>
            </w:r>
            <w:r w:rsidRPr="006743CF">
              <w:rPr>
                <w:rFonts w:ascii="Arial" w:hAnsi="Arial" w:cs="Arial"/>
                <w:noProof/>
                <w:webHidden/>
              </w:rPr>
              <w:t>9</w:t>
            </w:r>
            <w:r w:rsidRPr="006743CF">
              <w:rPr>
                <w:rFonts w:ascii="Arial" w:hAnsi="Arial" w:cs="Arial"/>
                <w:noProof/>
                <w:webHidden/>
              </w:rPr>
              <w:fldChar w:fldCharType="end"/>
            </w:r>
          </w:hyperlink>
        </w:p>
        <w:p w14:paraId="084439D1" w14:textId="4B6CE916" w:rsidR="006743CF" w:rsidRPr="006743CF" w:rsidRDefault="006743CF" w:rsidP="006743CF">
          <w:pPr>
            <w:pStyle w:val="TOC2"/>
            <w:tabs>
              <w:tab w:val="right" w:leader="dot" w:pos="9016"/>
            </w:tabs>
            <w:rPr>
              <w:rFonts w:ascii="Arial" w:eastAsiaTheme="minorEastAsia" w:hAnsi="Arial" w:cs="Arial"/>
              <w:noProof/>
              <w:kern w:val="2"/>
              <w:szCs w:val="24"/>
              <w:lang w:eastAsia="en-IN"/>
              <w14:ligatures w14:val="standardContextual"/>
            </w:rPr>
          </w:pPr>
          <w:hyperlink w:anchor="_Toc214544581" w:history="1">
            <w:r w:rsidRPr="006743CF">
              <w:rPr>
                <w:rStyle w:val="Hyperlink"/>
                <w:rFonts w:ascii="Arial" w:eastAsia="Times New Roman" w:hAnsi="Arial" w:cs="Arial"/>
                <w:noProof/>
                <w:lang w:eastAsia="en-IN"/>
              </w:rPr>
              <w:t>3.2 Telecoms responses: BT Group (pioneer) vs Virgin Media (follower/challenger)</w:t>
            </w:r>
            <w:r w:rsidRPr="006743CF">
              <w:rPr>
                <w:rFonts w:ascii="Arial" w:hAnsi="Arial" w:cs="Arial"/>
                <w:noProof/>
                <w:webHidden/>
              </w:rPr>
              <w:tab/>
            </w:r>
            <w:r w:rsidRPr="006743CF">
              <w:rPr>
                <w:rFonts w:ascii="Arial" w:hAnsi="Arial" w:cs="Arial"/>
                <w:noProof/>
                <w:webHidden/>
              </w:rPr>
              <w:fldChar w:fldCharType="begin"/>
            </w:r>
            <w:r w:rsidRPr="006743CF">
              <w:rPr>
                <w:rFonts w:ascii="Arial" w:hAnsi="Arial" w:cs="Arial"/>
                <w:noProof/>
                <w:webHidden/>
              </w:rPr>
              <w:instrText xml:space="preserve"> PAGEREF _Toc214544581 \h </w:instrText>
            </w:r>
            <w:r w:rsidRPr="006743CF">
              <w:rPr>
                <w:rFonts w:ascii="Arial" w:hAnsi="Arial" w:cs="Arial"/>
                <w:noProof/>
                <w:webHidden/>
              </w:rPr>
            </w:r>
            <w:r w:rsidRPr="006743CF">
              <w:rPr>
                <w:rFonts w:ascii="Arial" w:hAnsi="Arial" w:cs="Arial"/>
                <w:noProof/>
                <w:webHidden/>
              </w:rPr>
              <w:fldChar w:fldCharType="separate"/>
            </w:r>
            <w:r w:rsidRPr="006743CF">
              <w:rPr>
                <w:rFonts w:ascii="Arial" w:hAnsi="Arial" w:cs="Arial"/>
                <w:noProof/>
                <w:webHidden/>
              </w:rPr>
              <w:t>12</w:t>
            </w:r>
            <w:r w:rsidRPr="006743CF">
              <w:rPr>
                <w:rFonts w:ascii="Arial" w:hAnsi="Arial" w:cs="Arial"/>
                <w:noProof/>
                <w:webHidden/>
              </w:rPr>
              <w:fldChar w:fldCharType="end"/>
            </w:r>
          </w:hyperlink>
        </w:p>
        <w:p w14:paraId="3C6AC81D" w14:textId="4CC84249" w:rsidR="006743CF" w:rsidRPr="006743CF" w:rsidRDefault="006743CF" w:rsidP="006743CF">
          <w:pPr>
            <w:pStyle w:val="TOC1"/>
            <w:tabs>
              <w:tab w:val="right" w:leader="dot" w:pos="9016"/>
            </w:tabs>
            <w:rPr>
              <w:rFonts w:ascii="Arial" w:eastAsiaTheme="minorEastAsia" w:hAnsi="Arial" w:cs="Arial"/>
              <w:noProof/>
              <w:kern w:val="2"/>
              <w:szCs w:val="24"/>
              <w:lang w:eastAsia="en-IN"/>
              <w14:ligatures w14:val="standardContextual"/>
            </w:rPr>
          </w:pPr>
          <w:hyperlink w:anchor="_Toc214544582" w:history="1">
            <w:r w:rsidRPr="006743CF">
              <w:rPr>
                <w:rStyle w:val="Hyperlink"/>
                <w:rFonts w:ascii="Arial" w:hAnsi="Arial" w:cs="Arial"/>
                <w:noProof/>
                <w:lang w:eastAsia="en-IN"/>
              </w:rPr>
              <w:t>4.0 Conclusion</w:t>
            </w:r>
            <w:r w:rsidRPr="006743CF">
              <w:rPr>
                <w:rFonts w:ascii="Arial" w:hAnsi="Arial" w:cs="Arial"/>
                <w:noProof/>
                <w:webHidden/>
              </w:rPr>
              <w:tab/>
            </w:r>
            <w:r w:rsidRPr="006743CF">
              <w:rPr>
                <w:rFonts w:ascii="Arial" w:hAnsi="Arial" w:cs="Arial"/>
                <w:noProof/>
                <w:webHidden/>
              </w:rPr>
              <w:fldChar w:fldCharType="begin"/>
            </w:r>
            <w:r w:rsidRPr="006743CF">
              <w:rPr>
                <w:rFonts w:ascii="Arial" w:hAnsi="Arial" w:cs="Arial"/>
                <w:noProof/>
                <w:webHidden/>
              </w:rPr>
              <w:instrText xml:space="preserve"> PAGEREF _Toc214544582 \h </w:instrText>
            </w:r>
            <w:r w:rsidRPr="006743CF">
              <w:rPr>
                <w:rFonts w:ascii="Arial" w:hAnsi="Arial" w:cs="Arial"/>
                <w:noProof/>
                <w:webHidden/>
              </w:rPr>
            </w:r>
            <w:r w:rsidRPr="006743CF">
              <w:rPr>
                <w:rFonts w:ascii="Arial" w:hAnsi="Arial" w:cs="Arial"/>
                <w:noProof/>
                <w:webHidden/>
              </w:rPr>
              <w:fldChar w:fldCharType="separate"/>
            </w:r>
            <w:r w:rsidRPr="006743CF">
              <w:rPr>
                <w:rFonts w:ascii="Arial" w:hAnsi="Arial" w:cs="Arial"/>
                <w:noProof/>
                <w:webHidden/>
              </w:rPr>
              <w:t>14</w:t>
            </w:r>
            <w:r w:rsidRPr="006743CF">
              <w:rPr>
                <w:rFonts w:ascii="Arial" w:hAnsi="Arial" w:cs="Arial"/>
                <w:noProof/>
                <w:webHidden/>
              </w:rPr>
              <w:fldChar w:fldCharType="end"/>
            </w:r>
          </w:hyperlink>
        </w:p>
        <w:p w14:paraId="678BDB6C" w14:textId="58D0C4B1" w:rsidR="006743CF" w:rsidRDefault="006743CF" w:rsidP="006743C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4544583" w:history="1">
            <w:r w:rsidRPr="006743CF">
              <w:rPr>
                <w:rStyle w:val="Hyperlink"/>
                <w:rFonts w:ascii="Arial" w:hAnsi="Arial" w:cs="Arial"/>
                <w:noProof/>
              </w:rPr>
              <w:t>References</w:t>
            </w:r>
            <w:r w:rsidRPr="006743CF">
              <w:rPr>
                <w:rFonts w:ascii="Arial" w:hAnsi="Arial" w:cs="Arial"/>
                <w:noProof/>
                <w:webHidden/>
              </w:rPr>
              <w:tab/>
            </w:r>
            <w:r w:rsidRPr="006743CF">
              <w:rPr>
                <w:rFonts w:ascii="Arial" w:hAnsi="Arial" w:cs="Arial"/>
                <w:noProof/>
                <w:webHidden/>
              </w:rPr>
              <w:fldChar w:fldCharType="begin"/>
            </w:r>
            <w:r w:rsidRPr="006743CF">
              <w:rPr>
                <w:rFonts w:ascii="Arial" w:hAnsi="Arial" w:cs="Arial"/>
                <w:noProof/>
                <w:webHidden/>
              </w:rPr>
              <w:instrText xml:space="preserve"> PAGEREF _Toc214544583 \h </w:instrText>
            </w:r>
            <w:r w:rsidRPr="006743CF">
              <w:rPr>
                <w:rFonts w:ascii="Arial" w:hAnsi="Arial" w:cs="Arial"/>
                <w:noProof/>
                <w:webHidden/>
              </w:rPr>
            </w:r>
            <w:r w:rsidRPr="006743CF">
              <w:rPr>
                <w:rFonts w:ascii="Arial" w:hAnsi="Arial" w:cs="Arial"/>
                <w:noProof/>
                <w:webHidden/>
              </w:rPr>
              <w:fldChar w:fldCharType="separate"/>
            </w:r>
            <w:r w:rsidRPr="006743CF">
              <w:rPr>
                <w:rFonts w:ascii="Arial" w:hAnsi="Arial" w:cs="Arial"/>
                <w:noProof/>
                <w:webHidden/>
              </w:rPr>
              <w:t>16</w:t>
            </w:r>
            <w:r w:rsidRPr="006743CF">
              <w:rPr>
                <w:rFonts w:ascii="Arial" w:hAnsi="Arial" w:cs="Arial"/>
                <w:noProof/>
                <w:webHidden/>
              </w:rPr>
              <w:fldChar w:fldCharType="end"/>
            </w:r>
          </w:hyperlink>
        </w:p>
        <w:p w14:paraId="6BD51FFB" w14:textId="7B6DA4BC" w:rsidR="008A409B" w:rsidRPr="00746DEF" w:rsidRDefault="008A409B" w:rsidP="006B4E52">
          <w:pPr>
            <w:rPr>
              <w:rFonts w:ascii="Arial" w:hAnsi="Arial" w:cs="Arial"/>
              <w:szCs w:val="24"/>
            </w:rPr>
          </w:pPr>
          <w:r w:rsidRPr="00746DEF">
            <w:rPr>
              <w:rFonts w:ascii="Arial" w:hAnsi="Arial" w:cs="Arial"/>
              <w:b/>
              <w:bCs/>
              <w:noProof/>
              <w:szCs w:val="24"/>
            </w:rPr>
            <w:fldChar w:fldCharType="end"/>
          </w:r>
        </w:p>
      </w:sdtContent>
    </w:sdt>
    <w:p w14:paraId="11A60EC1" w14:textId="2A90AF39" w:rsidR="006E28BB" w:rsidRPr="00746DEF" w:rsidRDefault="006E28BB" w:rsidP="006B4E52">
      <w:pPr>
        <w:spacing w:before="0" w:after="160"/>
        <w:jc w:val="left"/>
        <w:rPr>
          <w:rFonts w:ascii="Arial" w:hAnsi="Arial" w:cs="Arial"/>
          <w:szCs w:val="24"/>
        </w:rPr>
      </w:pPr>
      <w:r w:rsidRPr="00746DEF">
        <w:rPr>
          <w:rFonts w:ascii="Arial" w:hAnsi="Arial" w:cs="Arial"/>
          <w:szCs w:val="24"/>
        </w:rPr>
        <w:br w:type="page"/>
      </w:r>
    </w:p>
    <w:p w14:paraId="1EAFCBBE" w14:textId="62E0998C" w:rsidR="00DD6CFE" w:rsidRPr="00746DEF" w:rsidRDefault="00DD6CFE" w:rsidP="006B4E52">
      <w:pPr>
        <w:pStyle w:val="Heading1"/>
        <w:rPr>
          <w:rFonts w:ascii="Arial" w:hAnsi="Arial" w:cs="Arial"/>
          <w:sz w:val="24"/>
          <w:szCs w:val="24"/>
          <w:lang w:eastAsia="en-IN"/>
        </w:rPr>
      </w:pPr>
      <w:bookmarkStart w:id="0" w:name="_Toc214544575"/>
      <w:r w:rsidRPr="00746DEF">
        <w:rPr>
          <w:rFonts w:ascii="Arial" w:hAnsi="Arial" w:cs="Arial"/>
          <w:sz w:val="24"/>
          <w:szCs w:val="24"/>
          <w:lang w:eastAsia="en-IN"/>
        </w:rPr>
        <w:lastRenderedPageBreak/>
        <w:t>1.0 Introduction</w:t>
      </w:r>
      <w:bookmarkEnd w:id="0"/>
    </w:p>
    <w:p w14:paraId="7EC10498" w14:textId="0290DA7E" w:rsidR="00DD6CFE" w:rsidRPr="00746DEF" w:rsidRDefault="00DD6CFE" w:rsidP="006B4E52">
      <w:pPr>
        <w:rPr>
          <w:rFonts w:ascii="Arial" w:hAnsi="Arial" w:cs="Arial"/>
          <w:szCs w:val="24"/>
          <w:lang w:eastAsia="en-IN"/>
        </w:rPr>
      </w:pPr>
      <w:r w:rsidRPr="00746DEF">
        <w:rPr>
          <w:rFonts w:ascii="Arial" w:hAnsi="Arial" w:cs="Arial"/>
          <w:szCs w:val="24"/>
          <w:lang w:eastAsia="en-IN"/>
        </w:rPr>
        <w:t xml:space="preserve">The present report is a critical analysis of two external macro-environment actors, Technological and Economic and the opportunity and threat generated to pioneering and follower firms in the same industry by the changes in the external macro-environment actors. The comparison is between </w:t>
      </w:r>
      <w:r w:rsidRPr="00746DEF">
        <w:rPr>
          <w:rFonts w:ascii="Arial" w:hAnsi="Arial" w:cs="Arial"/>
          <w:b/>
          <w:bCs/>
          <w:i/>
          <w:iCs/>
          <w:szCs w:val="24"/>
          <w:lang w:eastAsia="en-IN"/>
        </w:rPr>
        <w:t>Sainsbury</w:t>
      </w:r>
      <w:r w:rsidRPr="00746DEF">
        <w:rPr>
          <w:rFonts w:ascii="Arial" w:hAnsi="Arial" w:cs="Arial"/>
          <w:szCs w:val="24"/>
          <w:lang w:eastAsia="en-IN"/>
        </w:rPr>
        <w:t xml:space="preserve"> (a pioneer in digital retail/data-led retail media) and the </w:t>
      </w:r>
      <w:r w:rsidRPr="00746DEF">
        <w:rPr>
          <w:rFonts w:ascii="Arial" w:hAnsi="Arial" w:cs="Arial"/>
          <w:b/>
          <w:bCs/>
          <w:i/>
          <w:iCs/>
          <w:szCs w:val="24"/>
          <w:lang w:eastAsia="en-IN"/>
        </w:rPr>
        <w:t>Co-op</w:t>
      </w:r>
      <w:r w:rsidRPr="00746DEF">
        <w:rPr>
          <w:rFonts w:ascii="Arial" w:hAnsi="Arial" w:cs="Arial"/>
          <w:szCs w:val="24"/>
          <w:lang w:eastAsia="en-IN"/>
        </w:rPr>
        <w:t xml:space="preserve"> (a follower with community/ethical differentiation and growing digital capability) in</w:t>
      </w:r>
      <w:r w:rsidR="00191E5E">
        <w:rPr>
          <w:rFonts w:ascii="Arial" w:hAnsi="Arial" w:cs="Arial"/>
          <w:szCs w:val="24"/>
          <w:lang w:eastAsia="en-IN"/>
        </w:rPr>
        <w:t xml:space="preserve"> the</w:t>
      </w:r>
      <w:r w:rsidRPr="00746DEF">
        <w:rPr>
          <w:rFonts w:ascii="Arial" w:hAnsi="Arial" w:cs="Arial"/>
          <w:szCs w:val="24"/>
          <w:lang w:eastAsia="en-IN"/>
        </w:rPr>
        <w:t xml:space="preserve"> UK grocery</w:t>
      </w:r>
      <w:r w:rsidR="00191E5E">
        <w:rPr>
          <w:rFonts w:ascii="Arial" w:hAnsi="Arial" w:cs="Arial"/>
          <w:szCs w:val="24"/>
          <w:lang w:eastAsia="en-IN"/>
        </w:rPr>
        <w:t xml:space="preserve"> </w:t>
      </w:r>
      <w:r w:rsidR="00191E5E" w:rsidRPr="00746DEF">
        <w:rPr>
          <w:rFonts w:ascii="Arial" w:hAnsi="Arial" w:cs="Arial"/>
          <w:szCs w:val="24"/>
          <w:lang w:eastAsia="en-IN"/>
        </w:rPr>
        <w:t>s</w:t>
      </w:r>
      <w:r w:rsidR="00191E5E">
        <w:rPr>
          <w:rFonts w:ascii="Arial" w:hAnsi="Arial" w:cs="Arial"/>
          <w:szCs w:val="24"/>
          <w:lang w:eastAsia="en-IN"/>
        </w:rPr>
        <w:t>ector</w:t>
      </w:r>
      <w:r w:rsidR="00746DEF">
        <w:rPr>
          <w:rFonts w:ascii="Arial" w:hAnsi="Arial" w:cs="Arial"/>
          <w:szCs w:val="24"/>
          <w:lang w:eastAsia="en-IN"/>
        </w:rPr>
        <w:t xml:space="preserve">. It also shows a comparison </w:t>
      </w:r>
      <w:r w:rsidRPr="00746DEF">
        <w:rPr>
          <w:rFonts w:ascii="Arial" w:hAnsi="Arial" w:cs="Arial"/>
          <w:szCs w:val="24"/>
          <w:lang w:eastAsia="en-IN"/>
        </w:rPr>
        <w:t xml:space="preserve">between </w:t>
      </w:r>
      <w:r w:rsidRPr="00746DEF">
        <w:rPr>
          <w:rFonts w:ascii="Arial" w:hAnsi="Arial" w:cs="Arial"/>
          <w:b/>
          <w:bCs/>
          <w:i/>
          <w:iCs/>
          <w:szCs w:val="24"/>
          <w:lang w:eastAsia="en-IN"/>
        </w:rPr>
        <w:t>BT Group</w:t>
      </w:r>
      <w:r w:rsidRPr="00746DEF">
        <w:rPr>
          <w:rFonts w:ascii="Arial" w:hAnsi="Arial" w:cs="Arial"/>
          <w:szCs w:val="24"/>
          <w:lang w:eastAsia="en-IN"/>
        </w:rPr>
        <w:t xml:space="preserve"> (a pioneer in network investment/ 5G/fibre rollout) and </w:t>
      </w:r>
      <w:r w:rsidRPr="00746DEF">
        <w:rPr>
          <w:rFonts w:ascii="Arial" w:hAnsi="Arial" w:cs="Arial"/>
          <w:b/>
          <w:bCs/>
          <w:i/>
          <w:iCs/>
          <w:szCs w:val="24"/>
          <w:lang w:eastAsia="en-IN"/>
        </w:rPr>
        <w:t>Virgin Media</w:t>
      </w:r>
      <w:r w:rsidRPr="00746DEF">
        <w:rPr>
          <w:rFonts w:ascii="Arial" w:hAnsi="Arial" w:cs="Arial"/>
          <w:szCs w:val="24"/>
          <w:lang w:eastAsia="en-IN"/>
        </w:rPr>
        <w:t xml:space="preserve"> (a follower/challenger based on bundling/speed differentiation) in</w:t>
      </w:r>
      <w:r w:rsidR="00191E5E">
        <w:rPr>
          <w:rFonts w:ascii="Arial" w:hAnsi="Arial" w:cs="Arial"/>
          <w:szCs w:val="24"/>
          <w:lang w:eastAsia="en-IN"/>
        </w:rPr>
        <w:t xml:space="preserve"> the</w:t>
      </w:r>
      <w:r w:rsidRPr="00746DEF">
        <w:rPr>
          <w:rFonts w:ascii="Arial" w:hAnsi="Arial" w:cs="Arial"/>
          <w:szCs w:val="24"/>
          <w:lang w:eastAsia="en-IN"/>
        </w:rPr>
        <w:t xml:space="preserve"> UK telecommunication</w:t>
      </w:r>
      <w:r w:rsidR="00191E5E">
        <w:rPr>
          <w:rFonts w:ascii="Arial" w:hAnsi="Arial" w:cs="Arial"/>
          <w:szCs w:val="24"/>
          <w:lang w:eastAsia="en-IN"/>
        </w:rPr>
        <w:t xml:space="preserve"> </w:t>
      </w:r>
      <w:r w:rsidRPr="00746DEF">
        <w:rPr>
          <w:rFonts w:ascii="Arial" w:hAnsi="Arial" w:cs="Arial"/>
          <w:szCs w:val="24"/>
          <w:lang w:eastAsia="en-IN"/>
        </w:rPr>
        <w:t>s</w:t>
      </w:r>
      <w:r w:rsidR="00191E5E">
        <w:rPr>
          <w:rFonts w:ascii="Arial" w:hAnsi="Arial" w:cs="Arial"/>
          <w:szCs w:val="24"/>
          <w:lang w:eastAsia="en-IN"/>
        </w:rPr>
        <w:t>ector</w:t>
      </w:r>
      <w:r w:rsidRPr="00746DEF">
        <w:rPr>
          <w:rFonts w:ascii="Arial" w:hAnsi="Arial" w:cs="Arial"/>
          <w:szCs w:val="24"/>
          <w:lang w:eastAsia="en-IN"/>
        </w:rPr>
        <w:t>. The former discusses the effect of technological and economic changes on the opportunity/threat sets of pioneers and followers. The second part builds on the findings of Task 1 and literature regarding first-mover/follower appropriateness as an evaluation of strategic responses (marketing, product, pricing and channel strategies) that enable firms to remain competitive.</w:t>
      </w:r>
    </w:p>
    <w:p w14:paraId="18982E49" w14:textId="24C9DF32" w:rsidR="00DD6CFE" w:rsidRPr="00746DEF" w:rsidRDefault="00191E5E" w:rsidP="006B4E52">
      <w:pPr>
        <w:pStyle w:val="Heading1"/>
        <w:rPr>
          <w:rFonts w:ascii="Arial" w:hAnsi="Arial" w:cs="Arial"/>
          <w:sz w:val="24"/>
          <w:szCs w:val="24"/>
          <w:lang w:eastAsia="en-IN"/>
        </w:rPr>
      </w:pPr>
      <w:bookmarkStart w:id="1" w:name="_Toc214544576"/>
      <w:r>
        <w:rPr>
          <w:rFonts w:ascii="Arial" w:hAnsi="Arial" w:cs="Arial"/>
          <w:sz w:val="24"/>
          <w:szCs w:val="24"/>
          <w:lang w:eastAsia="en-IN"/>
        </w:rPr>
        <w:t xml:space="preserve">2.0 </w:t>
      </w:r>
      <w:r w:rsidR="00DD6CFE" w:rsidRPr="00746DEF">
        <w:rPr>
          <w:rFonts w:ascii="Arial" w:hAnsi="Arial" w:cs="Arial"/>
          <w:sz w:val="24"/>
          <w:szCs w:val="24"/>
          <w:lang w:eastAsia="en-IN"/>
        </w:rPr>
        <w:t>Task 1: The macro marketing environment analysis (Technological and Economic)</w:t>
      </w:r>
      <w:bookmarkEnd w:id="1"/>
      <w:r w:rsidR="00DD6CFE" w:rsidRPr="00746DEF">
        <w:rPr>
          <w:rFonts w:ascii="Arial" w:hAnsi="Arial" w:cs="Arial"/>
          <w:sz w:val="24"/>
          <w:szCs w:val="24"/>
          <w:lang w:eastAsia="en-IN"/>
        </w:rPr>
        <w:t xml:space="preserve"> </w:t>
      </w:r>
    </w:p>
    <w:p w14:paraId="46DBDEC7" w14:textId="0C40CC28" w:rsidR="00DD6CFE" w:rsidRPr="00746DEF" w:rsidRDefault="00DD6CFE" w:rsidP="006B4E52">
      <w:pPr>
        <w:rPr>
          <w:rFonts w:ascii="Arial" w:hAnsi="Arial" w:cs="Arial"/>
          <w:szCs w:val="24"/>
          <w:lang w:eastAsia="en-IN"/>
        </w:rPr>
      </w:pPr>
      <w:r w:rsidRPr="00746DEF">
        <w:rPr>
          <w:rFonts w:ascii="Arial" w:hAnsi="Arial" w:cs="Arial"/>
          <w:szCs w:val="24"/>
          <w:lang w:eastAsia="en-IN"/>
        </w:rPr>
        <w:t>PESTLE is a category of macro-environment forces that change how the market is structured, customer behaviour and resource needs of firms (</w:t>
      </w:r>
      <w:proofErr w:type="spellStart"/>
      <w:r w:rsidRPr="00746DEF">
        <w:rPr>
          <w:rFonts w:ascii="Arial" w:hAnsi="Arial" w:cs="Arial"/>
          <w:szCs w:val="24"/>
          <w:lang w:eastAsia="en-IN"/>
        </w:rPr>
        <w:t>Makvandi</w:t>
      </w:r>
      <w:proofErr w:type="spellEnd"/>
      <w:r w:rsidRPr="00746DEF">
        <w:rPr>
          <w:rFonts w:ascii="Arial" w:hAnsi="Arial" w:cs="Arial"/>
          <w:szCs w:val="24"/>
          <w:lang w:eastAsia="en-IN"/>
        </w:rPr>
        <w:t xml:space="preserve">, 2024). </w:t>
      </w:r>
      <w:r w:rsidR="00191E5E">
        <w:rPr>
          <w:rFonts w:ascii="Arial" w:hAnsi="Arial" w:cs="Arial"/>
          <w:szCs w:val="24"/>
          <w:lang w:eastAsia="en-IN"/>
        </w:rPr>
        <w:t>Both r</w:t>
      </w:r>
      <w:r w:rsidRPr="00746DEF">
        <w:rPr>
          <w:rFonts w:ascii="Arial" w:hAnsi="Arial" w:cs="Arial"/>
          <w:szCs w:val="24"/>
          <w:lang w:eastAsia="en-IN"/>
        </w:rPr>
        <w:t>etail and telecom</w:t>
      </w:r>
      <w:r w:rsidR="00191E5E">
        <w:rPr>
          <w:rFonts w:ascii="Arial" w:hAnsi="Arial" w:cs="Arial"/>
          <w:szCs w:val="24"/>
          <w:lang w:eastAsia="en-IN"/>
        </w:rPr>
        <w:t xml:space="preserve"> sectors</w:t>
      </w:r>
      <w:r w:rsidRPr="00746DEF">
        <w:rPr>
          <w:rFonts w:ascii="Arial" w:hAnsi="Arial" w:cs="Arial"/>
          <w:szCs w:val="24"/>
          <w:lang w:eastAsia="en-IN"/>
        </w:rPr>
        <w:t xml:space="preserve"> are particularly transformational in terms of technology and economic conditions</w:t>
      </w:r>
      <w:r w:rsidR="00191E5E">
        <w:rPr>
          <w:rFonts w:ascii="Arial" w:hAnsi="Arial" w:cs="Arial"/>
          <w:szCs w:val="24"/>
          <w:lang w:eastAsia="en-IN"/>
        </w:rPr>
        <w:t xml:space="preserve">. </w:t>
      </w:r>
      <w:proofErr w:type="spellStart"/>
      <w:r w:rsidR="00191E5E" w:rsidRPr="00191E5E">
        <w:rPr>
          <w:rFonts w:ascii="Arial" w:hAnsi="Arial" w:cs="Arial"/>
          <w:szCs w:val="24"/>
          <w:lang w:eastAsia="en-IN"/>
        </w:rPr>
        <w:t>Tuunanen</w:t>
      </w:r>
      <w:proofErr w:type="spellEnd"/>
      <w:r w:rsidR="00191E5E" w:rsidRPr="00191E5E">
        <w:rPr>
          <w:rFonts w:ascii="Arial" w:hAnsi="Arial" w:cs="Arial"/>
          <w:szCs w:val="24"/>
          <w:lang w:eastAsia="en-IN"/>
        </w:rPr>
        <w:t xml:space="preserve"> </w:t>
      </w:r>
      <w:r w:rsidR="00191E5E">
        <w:rPr>
          <w:rFonts w:ascii="Arial" w:hAnsi="Arial" w:cs="Arial"/>
          <w:szCs w:val="24"/>
          <w:lang w:eastAsia="en-IN"/>
        </w:rPr>
        <w:t>et al. (2023) added that</w:t>
      </w:r>
      <w:r w:rsidRPr="00746DEF">
        <w:rPr>
          <w:rFonts w:ascii="Arial" w:hAnsi="Arial" w:cs="Arial"/>
          <w:szCs w:val="24"/>
          <w:lang w:eastAsia="en-IN"/>
        </w:rPr>
        <w:t xml:space="preserve"> technology is redefining distribution, data utilisation and service design, </w:t>
      </w:r>
      <w:r w:rsidR="00D662A3" w:rsidRPr="00746DEF">
        <w:rPr>
          <w:rFonts w:ascii="Arial" w:hAnsi="Arial" w:cs="Arial"/>
          <w:szCs w:val="24"/>
          <w:lang w:eastAsia="en-IN"/>
        </w:rPr>
        <w:t xml:space="preserve">and </w:t>
      </w:r>
      <w:r w:rsidRPr="00746DEF">
        <w:rPr>
          <w:rFonts w:ascii="Arial" w:hAnsi="Arial" w:cs="Arial"/>
          <w:szCs w:val="24"/>
          <w:lang w:eastAsia="en-IN"/>
        </w:rPr>
        <w:t xml:space="preserve">macroeconomic changes are changing demand elasticity and pricing power. The study concentrates on the different opportunities and threats that these two actors create to pioneers (early adopters/ large investors) and followers (later adopters/ niche or cost-focused challengers). Relevant theory emphasises the point that pioneers can attain lasting benefits in terms of asset </w:t>
      </w:r>
      <w:r w:rsidR="004644AD" w:rsidRPr="00746DEF">
        <w:rPr>
          <w:rFonts w:ascii="Arial" w:hAnsi="Arial" w:cs="Arial"/>
          <w:szCs w:val="24"/>
          <w:lang w:eastAsia="en-IN"/>
        </w:rPr>
        <w:t>pre-emption</w:t>
      </w:r>
      <w:r w:rsidRPr="00746DEF">
        <w:rPr>
          <w:rFonts w:ascii="Arial" w:hAnsi="Arial" w:cs="Arial"/>
          <w:szCs w:val="24"/>
          <w:lang w:eastAsia="en-IN"/>
        </w:rPr>
        <w:t>, network effects and data accumulation, whilst followers can enjoy the benefits of learning and reduced R&amp;D expenses (first-mover/follower literature).</w:t>
      </w:r>
    </w:p>
    <w:p w14:paraId="7BFE5F3E" w14:textId="77777777" w:rsidR="00DD6CFE" w:rsidRPr="00746DEF" w:rsidRDefault="00DD6CFE" w:rsidP="006B4E52">
      <w:pPr>
        <w:pStyle w:val="Heading3"/>
        <w:spacing w:line="360" w:lineRule="auto"/>
        <w:rPr>
          <w:rFonts w:ascii="Arial" w:hAnsi="Arial" w:cs="Arial"/>
          <w:szCs w:val="24"/>
        </w:rPr>
      </w:pPr>
      <w:bookmarkStart w:id="2" w:name="_Toc214544577"/>
      <w:r w:rsidRPr="00746DEF">
        <w:rPr>
          <w:rFonts w:ascii="Arial" w:hAnsi="Arial" w:cs="Arial"/>
          <w:szCs w:val="24"/>
        </w:rPr>
        <w:t>2.1 Technological Factors</w:t>
      </w:r>
      <w:bookmarkEnd w:id="2"/>
    </w:p>
    <w:p w14:paraId="6898BD64" w14:textId="25CA1F63" w:rsidR="00DD6CFE" w:rsidRPr="00897B12" w:rsidRDefault="00897B12" w:rsidP="006B4E52">
      <w:pPr>
        <w:rPr>
          <w:rFonts w:ascii="Arial" w:hAnsi="Arial" w:cs="Arial"/>
          <w:b/>
          <w:bCs/>
          <w:i/>
          <w:iCs/>
          <w:szCs w:val="24"/>
          <w:lang w:eastAsia="en-IN"/>
        </w:rPr>
      </w:pPr>
      <w:r w:rsidRPr="00897B12">
        <w:rPr>
          <w:rFonts w:ascii="Arial" w:hAnsi="Arial" w:cs="Arial"/>
          <w:b/>
          <w:bCs/>
          <w:i/>
          <w:iCs/>
          <w:szCs w:val="24"/>
          <w:lang w:eastAsia="en-IN"/>
        </w:rPr>
        <w:t>2.1.1</w:t>
      </w:r>
      <w:r>
        <w:rPr>
          <w:rFonts w:ascii="Arial" w:hAnsi="Arial" w:cs="Arial"/>
          <w:i/>
          <w:iCs/>
          <w:szCs w:val="24"/>
          <w:lang w:eastAsia="en-IN"/>
        </w:rPr>
        <w:t xml:space="preserve"> </w:t>
      </w:r>
      <w:r w:rsidR="00DD6CFE" w:rsidRPr="00897B12">
        <w:rPr>
          <w:rFonts w:ascii="Arial" w:hAnsi="Arial" w:cs="Arial"/>
          <w:b/>
          <w:bCs/>
          <w:i/>
          <w:iCs/>
          <w:szCs w:val="24"/>
          <w:lang w:eastAsia="en-IN"/>
        </w:rPr>
        <w:t>Retail Sector: Sainsbury's vs Co-op</w:t>
      </w:r>
    </w:p>
    <w:p w14:paraId="46A68683" w14:textId="6B6BE3E1" w:rsidR="00DD6CFE" w:rsidRPr="00746DEF" w:rsidRDefault="00DD6CFE" w:rsidP="006B4E52">
      <w:pPr>
        <w:rPr>
          <w:rFonts w:ascii="Arial" w:hAnsi="Arial" w:cs="Arial"/>
          <w:szCs w:val="24"/>
          <w:lang w:eastAsia="en-IN"/>
        </w:rPr>
      </w:pPr>
      <w:r w:rsidRPr="00746DEF">
        <w:rPr>
          <w:rFonts w:ascii="Arial" w:hAnsi="Arial" w:cs="Arial"/>
          <w:szCs w:val="24"/>
          <w:lang w:eastAsia="en-IN"/>
        </w:rPr>
        <w:lastRenderedPageBreak/>
        <w:t>The grocery retail sector was overhauled by technology in 2019-2025</w:t>
      </w:r>
      <w:r w:rsidR="00191E5E">
        <w:rPr>
          <w:rFonts w:ascii="Arial" w:hAnsi="Arial" w:cs="Arial"/>
          <w:szCs w:val="24"/>
          <w:lang w:eastAsia="en-IN"/>
        </w:rPr>
        <w:t>. O</w:t>
      </w:r>
      <w:r w:rsidRPr="00746DEF">
        <w:rPr>
          <w:rFonts w:ascii="Arial" w:hAnsi="Arial" w:cs="Arial"/>
          <w:szCs w:val="24"/>
          <w:lang w:eastAsia="en-IN"/>
        </w:rPr>
        <w:t>nline ordering development accelerated, faster delivery was desired, retail media increased in size, and AI was applied to personalisation and optimisation of supply chains. Sainsbury has specifically placed data and digital at the core of its plans for Next Level / Plan for Better and is ramping up Nectar360 retail-media, loyalty analytics and online capacity spending</w:t>
      </w:r>
      <w:r w:rsidR="004644AD" w:rsidRPr="00746DEF">
        <w:rPr>
          <w:rFonts w:ascii="Arial" w:hAnsi="Arial" w:cs="Arial"/>
          <w:szCs w:val="24"/>
          <w:lang w:eastAsia="en-IN"/>
        </w:rPr>
        <w:t xml:space="preserve"> (</w:t>
      </w:r>
      <w:proofErr w:type="spellStart"/>
      <w:r w:rsidR="004644AD" w:rsidRPr="00746DEF">
        <w:rPr>
          <w:rFonts w:ascii="Arial" w:hAnsi="Arial" w:cs="Arial"/>
          <w:szCs w:val="24"/>
          <w:lang w:eastAsia="en-IN"/>
        </w:rPr>
        <w:t>Makvandi</w:t>
      </w:r>
      <w:proofErr w:type="spellEnd"/>
      <w:r w:rsidR="004644AD" w:rsidRPr="00746DEF">
        <w:rPr>
          <w:rFonts w:ascii="Arial" w:hAnsi="Arial" w:cs="Arial"/>
          <w:szCs w:val="24"/>
          <w:lang w:eastAsia="en-IN"/>
        </w:rPr>
        <w:t>, 2024)</w:t>
      </w:r>
      <w:r w:rsidRPr="00746DEF">
        <w:rPr>
          <w:rFonts w:ascii="Arial" w:hAnsi="Arial" w:cs="Arial"/>
          <w:szCs w:val="24"/>
          <w:lang w:eastAsia="en-IN"/>
        </w:rPr>
        <w:t>. The effects of these moves are threefold:</w:t>
      </w:r>
    </w:p>
    <w:p w14:paraId="7D83199E" w14:textId="737A4DAD" w:rsidR="00DD6CFE" w:rsidRPr="00746DEF" w:rsidRDefault="00DD6CFE" w:rsidP="006B4E52">
      <w:pPr>
        <w:rPr>
          <w:rFonts w:ascii="Arial" w:hAnsi="Arial" w:cs="Arial"/>
          <w:szCs w:val="24"/>
          <w:lang w:eastAsia="en-IN"/>
        </w:rPr>
      </w:pPr>
      <w:r w:rsidRPr="00746DEF">
        <w:rPr>
          <w:rFonts w:ascii="Arial" w:hAnsi="Arial" w:cs="Arial"/>
          <w:b/>
          <w:bCs/>
          <w:szCs w:val="24"/>
          <w:lang w:eastAsia="en-IN"/>
        </w:rPr>
        <w:t>Opportunities of Sainsbury (pioneer):</w:t>
      </w:r>
      <w:r w:rsidRPr="00746DEF">
        <w:rPr>
          <w:rFonts w:ascii="Arial" w:hAnsi="Arial" w:cs="Arial"/>
          <w:szCs w:val="24"/>
          <w:lang w:eastAsia="en-IN"/>
        </w:rPr>
        <w:t xml:space="preserve"> retail media monetisation (Nectar360) and data-driven personalisation are a way to gain new sources of revenue and insights into customers, bolstering customer lifetime value and targeted promotions</w:t>
      </w:r>
      <w:r w:rsidR="0048131A">
        <w:rPr>
          <w:rFonts w:ascii="Arial" w:hAnsi="Arial" w:cs="Arial"/>
          <w:szCs w:val="24"/>
          <w:lang w:eastAsia="en-IN"/>
        </w:rPr>
        <w:t>. O</w:t>
      </w:r>
      <w:r w:rsidRPr="00746DEF">
        <w:rPr>
          <w:rFonts w:ascii="Arial" w:hAnsi="Arial" w:cs="Arial"/>
          <w:szCs w:val="24"/>
          <w:lang w:eastAsia="en-IN"/>
        </w:rPr>
        <w:t>nline fulfilment and automated logistics boost access to services. The recent corporate reports of Sainsbury focus on the growth of the Nectar coalition and investment in order to scale digital retail media, which demonstrates a clear technology-based approach to the commercialisation of customer data (Sainsbury, 2025).</w:t>
      </w:r>
    </w:p>
    <w:p w14:paraId="712C512C" w14:textId="40F37F64" w:rsidR="00E262B2" w:rsidRPr="00746DEF" w:rsidRDefault="00E262B2" w:rsidP="006B4E52">
      <w:pPr>
        <w:jc w:val="center"/>
        <w:rPr>
          <w:rFonts w:ascii="Arial" w:hAnsi="Arial" w:cs="Arial"/>
          <w:szCs w:val="24"/>
          <w:lang w:eastAsia="en-IN"/>
        </w:rPr>
      </w:pPr>
      <w:r w:rsidRPr="00746DEF">
        <w:rPr>
          <w:rFonts w:ascii="Arial" w:hAnsi="Arial" w:cs="Arial"/>
          <w:noProof/>
          <w:szCs w:val="24"/>
        </w:rPr>
        <w:drawing>
          <wp:inline distT="0" distB="0" distL="0" distR="0" wp14:anchorId="50BBEABD" wp14:editId="2D1E48A5">
            <wp:extent cx="5317331" cy="428148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6063" cy="4288518"/>
                    </a:xfrm>
                    <a:prstGeom prst="rect">
                      <a:avLst/>
                    </a:prstGeom>
                  </pic:spPr>
                </pic:pic>
              </a:graphicData>
            </a:graphic>
          </wp:inline>
        </w:drawing>
      </w:r>
    </w:p>
    <w:p w14:paraId="6A446550" w14:textId="467A0478" w:rsidR="00E262B2" w:rsidRPr="00746DEF" w:rsidRDefault="00E262B2" w:rsidP="006B4E52">
      <w:pPr>
        <w:jc w:val="center"/>
        <w:rPr>
          <w:rFonts w:ascii="Arial" w:hAnsi="Arial" w:cs="Arial"/>
          <w:b/>
          <w:bCs/>
          <w:szCs w:val="24"/>
          <w:lang w:eastAsia="en-IN"/>
        </w:rPr>
      </w:pPr>
      <w:r w:rsidRPr="00746DEF">
        <w:rPr>
          <w:rFonts w:ascii="Arial" w:hAnsi="Arial" w:cs="Arial"/>
          <w:b/>
          <w:bCs/>
          <w:szCs w:val="24"/>
          <w:lang w:eastAsia="en-IN"/>
        </w:rPr>
        <w:t>Figure 1: Consolidated Income Statement</w:t>
      </w:r>
      <w:r w:rsidR="004C7F97">
        <w:rPr>
          <w:rFonts w:ascii="Arial" w:hAnsi="Arial" w:cs="Arial"/>
          <w:b/>
          <w:bCs/>
          <w:szCs w:val="24"/>
          <w:lang w:eastAsia="en-IN"/>
        </w:rPr>
        <w:t xml:space="preserve"> of </w:t>
      </w:r>
      <w:r w:rsidRPr="00746DEF">
        <w:rPr>
          <w:rFonts w:ascii="Arial" w:hAnsi="Arial" w:cs="Arial"/>
          <w:b/>
          <w:bCs/>
          <w:szCs w:val="24"/>
          <w:lang w:eastAsia="en-IN"/>
        </w:rPr>
        <w:t>Sainsbury</w:t>
      </w:r>
    </w:p>
    <w:p w14:paraId="586AF306" w14:textId="728FD7E3" w:rsidR="00E262B2" w:rsidRPr="00746DEF" w:rsidRDefault="00E262B2" w:rsidP="006B4E52">
      <w:pPr>
        <w:jc w:val="center"/>
        <w:rPr>
          <w:rFonts w:ascii="Arial" w:hAnsi="Arial" w:cs="Arial"/>
          <w:szCs w:val="24"/>
          <w:lang w:eastAsia="en-IN"/>
        </w:rPr>
      </w:pPr>
      <w:r w:rsidRPr="00746DEF">
        <w:rPr>
          <w:rFonts w:ascii="Arial" w:hAnsi="Arial" w:cs="Arial"/>
          <w:szCs w:val="24"/>
          <w:lang w:eastAsia="en-IN"/>
        </w:rPr>
        <w:t xml:space="preserve">(Source: </w:t>
      </w:r>
      <w:r w:rsidRPr="00746DEF">
        <w:rPr>
          <w:rFonts w:ascii="Arial" w:hAnsi="Arial" w:cs="Arial"/>
          <w:szCs w:val="24"/>
        </w:rPr>
        <w:t>Sainsbury, 2025</w:t>
      </w:r>
      <w:r w:rsidRPr="00746DEF">
        <w:rPr>
          <w:rFonts w:ascii="Arial" w:hAnsi="Arial" w:cs="Arial"/>
          <w:szCs w:val="24"/>
          <w:lang w:eastAsia="en-IN"/>
        </w:rPr>
        <w:t>)</w:t>
      </w:r>
    </w:p>
    <w:p w14:paraId="297AADEC" w14:textId="614DEC01" w:rsidR="00DD6CFE" w:rsidRPr="00746DEF" w:rsidRDefault="004C7F97" w:rsidP="006B4E52">
      <w:pPr>
        <w:rPr>
          <w:rFonts w:ascii="Arial" w:hAnsi="Arial" w:cs="Arial"/>
          <w:szCs w:val="24"/>
          <w:lang w:eastAsia="en-IN"/>
        </w:rPr>
      </w:pPr>
      <w:r w:rsidRPr="00746DEF">
        <w:rPr>
          <w:rFonts w:ascii="Arial" w:hAnsi="Arial" w:cs="Arial"/>
          <w:b/>
          <w:bCs/>
          <w:szCs w:val="24"/>
          <w:lang w:eastAsia="en-IN"/>
        </w:rPr>
        <w:lastRenderedPageBreak/>
        <w:t>T</w:t>
      </w:r>
      <w:r w:rsidR="00DD6CFE" w:rsidRPr="00746DEF">
        <w:rPr>
          <w:rFonts w:ascii="Arial" w:hAnsi="Arial" w:cs="Arial"/>
          <w:b/>
          <w:bCs/>
          <w:szCs w:val="24"/>
          <w:lang w:eastAsia="en-IN"/>
        </w:rPr>
        <w:t>hreats</w:t>
      </w:r>
      <w:r>
        <w:rPr>
          <w:rFonts w:ascii="Arial" w:hAnsi="Arial" w:cs="Arial"/>
          <w:b/>
          <w:bCs/>
          <w:szCs w:val="24"/>
          <w:lang w:eastAsia="en-IN"/>
        </w:rPr>
        <w:t xml:space="preserve"> of </w:t>
      </w:r>
      <w:r w:rsidRPr="00746DEF">
        <w:rPr>
          <w:rFonts w:ascii="Arial" w:hAnsi="Arial" w:cs="Arial"/>
          <w:b/>
          <w:bCs/>
          <w:szCs w:val="24"/>
          <w:lang w:eastAsia="en-IN"/>
        </w:rPr>
        <w:t>Sainsbury</w:t>
      </w:r>
      <w:r w:rsidR="00DD6CFE" w:rsidRPr="00746DEF">
        <w:rPr>
          <w:rFonts w:ascii="Arial" w:hAnsi="Arial" w:cs="Arial"/>
          <w:b/>
          <w:bCs/>
          <w:szCs w:val="24"/>
          <w:lang w:eastAsia="en-IN"/>
        </w:rPr>
        <w:t>:</w:t>
      </w:r>
      <w:r w:rsidR="00DD6CFE" w:rsidRPr="00746DEF">
        <w:rPr>
          <w:rFonts w:ascii="Arial" w:hAnsi="Arial" w:cs="Arial"/>
          <w:szCs w:val="24"/>
          <w:lang w:eastAsia="en-IN"/>
        </w:rPr>
        <w:t xml:space="preserve"> high capital and operating expenses to fulfilment and data platforms, privacy/ regulatory risk associated with data monetisation, and due to its early mover position, it can risk sunk costs due to a rapid change in consumer preferences or technologies (Sainsbury, 2025). According to </w:t>
      </w:r>
      <w:r w:rsidRPr="004C7F97">
        <w:rPr>
          <w:rFonts w:ascii="Arial" w:hAnsi="Arial" w:cs="Arial"/>
          <w:szCs w:val="24"/>
          <w:lang w:eastAsia="en-IN"/>
        </w:rPr>
        <w:t xml:space="preserve">Shaik </w:t>
      </w:r>
      <w:r>
        <w:rPr>
          <w:rFonts w:ascii="Arial" w:hAnsi="Arial" w:cs="Arial"/>
          <w:szCs w:val="24"/>
          <w:lang w:eastAsia="en-IN"/>
        </w:rPr>
        <w:t>and Dhir (2021)</w:t>
      </w:r>
      <w:r w:rsidR="00DD6CFE" w:rsidRPr="00746DEF">
        <w:rPr>
          <w:rFonts w:ascii="Arial" w:hAnsi="Arial" w:cs="Arial"/>
          <w:szCs w:val="24"/>
          <w:lang w:eastAsia="en-IN"/>
        </w:rPr>
        <w:t>,</w:t>
      </w:r>
      <w:r>
        <w:rPr>
          <w:rFonts w:ascii="Arial" w:hAnsi="Arial" w:cs="Arial"/>
          <w:szCs w:val="24"/>
          <w:lang w:eastAsia="en-IN"/>
        </w:rPr>
        <w:t xml:space="preserve"> </w:t>
      </w:r>
      <w:r w:rsidR="00DD6CFE" w:rsidRPr="00746DEF">
        <w:rPr>
          <w:rFonts w:ascii="Arial" w:hAnsi="Arial" w:cs="Arial"/>
          <w:szCs w:val="24"/>
          <w:lang w:eastAsia="en-IN"/>
        </w:rPr>
        <w:t>early technological investment is worthwhile</w:t>
      </w:r>
      <w:r>
        <w:rPr>
          <w:rFonts w:ascii="Arial" w:hAnsi="Arial" w:cs="Arial"/>
          <w:szCs w:val="24"/>
          <w:lang w:eastAsia="en-IN"/>
        </w:rPr>
        <w:t>,</w:t>
      </w:r>
      <w:r w:rsidR="00DD6CFE" w:rsidRPr="00746DEF">
        <w:rPr>
          <w:rFonts w:ascii="Arial" w:hAnsi="Arial" w:cs="Arial"/>
          <w:szCs w:val="24"/>
          <w:lang w:eastAsia="en-IN"/>
        </w:rPr>
        <w:t xml:space="preserve"> but only has the risk of execution, and needs to accompany organisational change.</w:t>
      </w:r>
    </w:p>
    <w:p w14:paraId="626F0362" w14:textId="220DF6D8" w:rsidR="00DD6CFE" w:rsidRPr="00746DEF" w:rsidRDefault="004C7F97" w:rsidP="006B4E52">
      <w:pPr>
        <w:rPr>
          <w:rFonts w:ascii="Arial" w:hAnsi="Arial" w:cs="Arial"/>
          <w:szCs w:val="24"/>
          <w:lang w:eastAsia="en-IN"/>
        </w:rPr>
      </w:pPr>
      <w:r w:rsidRPr="00746DEF">
        <w:rPr>
          <w:rFonts w:ascii="Arial" w:hAnsi="Arial" w:cs="Arial"/>
          <w:b/>
          <w:bCs/>
          <w:szCs w:val="24"/>
          <w:lang w:eastAsia="en-IN"/>
        </w:rPr>
        <w:t>O</w:t>
      </w:r>
      <w:r w:rsidR="00DD6CFE" w:rsidRPr="00746DEF">
        <w:rPr>
          <w:rFonts w:ascii="Arial" w:hAnsi="Arial" w:cs="Arial"/>
          <w:b/>
          <w:bCs/>
          <w:szCs w:val="24"/>
          <w:lang w:eastAsia="en-IN"/>
        </w:rPr>
        <w:t>pportunities</w:t>
      </w:r>
      <w:r>
        <w:rPr>
          <w:rFonts w:ascii="Arial" w:hAnsi="Arial" w:cs="Arial"/>
          <w:b/>
          <w:bCs/>
          <w:szCs w:val="24"/>
          <w:lang w:eastAsia="en-IN"/>
        </w:rPr>
        <w:t xml:space="preserve"> of </w:t>
      </w:r>
      <w:r w:rsidRPr="00746DEF">
        <w:rPr>
          <w:rFonts w:ascii="Arial" w:hAnsi="Arial" w:cs="Arial"/>
          <w:b/>
          <w:bCs/>
          <w:szCs w:val="24"/>
          <w:lang w:eastAsia="en-IN"/>
        </w:rPr>
        <w:t>Co-op</w:t>
      </w:r>
      <w:r>
        <w:rPr>
          <w:rFonts w:ascii="Arial" w:hAnsi="Arial" w:cs="Arial"/>
          <w:b/>
          <w:bCs/>
          <w:szCs w:val="24"/>
          <w:lang w:eastAsia="en-IN"/>
        </w:rPr>
        <w:t xml:space="preserve"> </w:t>
      </w:r>
      <w:r w:rsidRPr="00746DEF">
        <w:rPr>
          <w:rFonts w:ascii="Arial" w:hAnsi="Arial" w:cs="Arial"/>
          <w:b/>
          <w:bCs/>
          <w:szCs w:val="24"/>
          <w:lang w:eastAsia="en-IN"/>
        </w:rPr>
        <w:t>(follower)</w:t>
      </w:r>
      <w:r w:rsidR="00DD6CFE" w:rsidRPr="00746DEF">
        <w:rPr>
          <w:rFonts w:ascii="Arial" w:hAnsi="Arial" w:cs="Arial"/>
          <w:b/>
          <w:bCs/>
          <w:szCs w:val="24"/>
          <w:lang w:eastAsia="en-IN"/>
        </w:rPr>
        <w:t>:</w:t>
      </w:r>
      <w:r w:rsidR="00DD6CFE" w:rsidRPr="00746DEF">
        <w:rPr>
          <w:rFonts w:ascii="Arial" w:hAnsi="Arial" w:cs="Arial"/>
          <w:szCs w:val="24"/>
          <w:lang w:eastAsia="en-IN"/>
        </w:rPr>
        <w:t xml:space="preserve"> Co-op has an opportunity to be more selective in adopting proven platforms (e.g. dedicated online ordering, enhanced online UX, loyalty-oriented offers) and can use a partner platform to spread the risk of investment. The documented design system and experience library of Co-op Digital shows structured, repetitive digital development-appropriate to the benefit of followers by copying/adaptation of best practice at no pioneer scale R&amp;D cost (Co-operative Group Digital, 2024).</w:t>
      </w:r>
    </w:p>
    <w:p w14:paraId="57E1BFD6" w14:textId="6B7FDF71" w:rsidR="00DD6CFE" w:rsidRPr="00746DEF" w:rsidRDefault="004C7F97" w:rsidP="006B4E52">
      <w:pPr>
        <w:rPr>
          <w:rFonts w:ascii="Arial" w:hAnsi="Arial" w:cs="Arial"/>
          <w:szCs w:val="24"/>
          <w:lang w:eastAsia="en-IN"/>
        </w:rPr>
      </w:pPr>
      <w:r w:rsidRPr="00746DEF">
        <w:rPr>
          <w:rFonts w:ascii="Arial" w:hAnsi="Arial" w:cs="Arial"/>
          <w:b/>
          <w:bCs/>
          <w:szCs w:val="24"/>
          <w:lang w:eastAsia="en-IN"/>
        </w:rPr>
        <w:t>T</w:t>
      </w:r>
      <w:r w:rsidR="00DD6CFE" w:rsidRPr="00746DEF">
        <w:rPr>
          <w:rFonts w:ascii="Arial" w:hAnsi="Arial" w:cs="Arial"/>
          <w:b/>
          <w:bCs/>
          <w:szCs w:val="24"/>
          <w:lang w:eastAsia="en-IN"/>
        </w:rPr>
        <w:t>hreats</w:t>
      </w:r>
      <w:r>
        <w:rPr>
          <w:rFonts w:ascii="Arial" w:hAnsi="Arial" w:cs="Arial"/>
          <w:b/>
          <w:bCs/>
          <w:szCs w:val="24"/>
          <w:lang w:eastAsia="en-IN"/>
        </w:rPr>
        <w:t xml:space="preserve"> of </w:t>
      </w:r>
      <w:r w:rsidRPr="00746DEF">
        <w:rPr>
          <w:rFonts w:ascii="Arial" w:hAnsi="Arial" w:cs="Arial"/>
          <w:b/>
          <w:bCs/>
          <w:szCs w:val="24"/>
          <w:lang w:eastAsia="en-IN"/>
        </w:rPr>
        <w:t>Co-op</w:t>
      </w:r>
      <w:r w:rsidR="00DD6CFE" w:rsidRPr="00746DEF">
        <w:rPr>
          <w:rFonts w:ascii="Arial" w:hAnsi="Arial" w:cs="Arial"/>
          <w:b/>
          <w:bCs/>
          <w:szCs w:val="24"/>
          <w:lang w:eastAsia="en-IN"/>
        </w:rPr>
        <w:t>:</w:t>
      </w:r>
      <w:r w:rsidR="00DD6CFE" w:rsidRPr="00746DEF">
        <w:rPr>
          <w:rFonts w:ascii="Arial" w:hAnsi="Arial" w:cs="Arial"/>
          <w:szCs w:val="24"/>
          <w:lang w:eastAsia="en-IN"/>
        </w:rPr>
        <w:t xml:space="preserve"> scale disadvantages in logistics and cost of same-day delivery will mean that the costs per order might increase</w:t>
      </w:r>
      <w:r>
        <w:rPr>
          <w:rFonts w:ascii="Arial" w:hAnsi="Arial" w:cs="Arial"/>
          <w:szCs w:val="24"/>
          <w:lang w:eastAsia="en-IN"/>
        </w:rPr>
        <w:t>. I</w:t>
      </w:r>
      <w:r w:rsidR="00DD6CFE" w:rsidRPr="00746DEF">
        <w:rPr>
          <w:rFonts w:ascii="Arial" w:hAnsi="Arial" w:cs="Arial"/>
          <w:szCs w:val="24"/>
          <w:lang w:eastAsia="en-IN"/>
        </w:rPr>
        <w:t>n addition, lower data pools diminish the performance of personalised retail media. In this way, the follower</w:t>
      </w:r>
      <w:r w:rsidR="00897B12">
        <w:rPr>
          <w:rFonts w:ascii="Arial" w:hAnsi="Arial" w:cs="Arial"/>
          <w:szCs w:val="24"/>
          <w:lang w:eastAsia="en-IN"/>
        </w:rPr>
        <w:t xml:space="preserve"> company, Co-op is</w:t>
      </w:r>
      <w:r w:rsidR="00DD6CFE" w:rsidRPr="00746DEF">
        <w:rPr>
          <w:rFonts w:ascii="Arial" w:hAnsi="Arial" w:cs="Arial"/>
          <w:szCs w:val="24"/>
          <w:lang w:eastAsia="en-IN"/>
        </w:rPr>
        <w:t xml:space="preserve"> at risk of being out-competed on the convenience of fulfilment and value-added services delivered through retail media networks</w:t>
      </w:r>
      <w:r w:rsidR="00897B12">
        <w:rPr>
          <w:rFonts w:ascii="Arial" w:hAnsi="Arial" w:cs="Arial"/>
          <w:szCs w:val="24"/>
          <w:lang w:eastAsia="en-IN"/>
        </w:rPr>
        <w:t xml:space="preserve">. 2023 has marked a total comprehensive loss of </w:t>
      </w:r>
      <w:r w:rsidR="00897B12" w:rsidRPr="00897B12">
        <w:rPr>
          <w:rFonts w:ascii="Arial" w:hAnsi="Arial" w:cs="Arial"/>
          <w:szCs w:val="24"/>
          <w:lang w:eastAsia="en-IN"/>
        </w:rPr>
        <w:t>€</w:t>
      </w:r>
      <w:r w:rsidR="00897B12">
        <w:rPr>
          <w:rFonts w:ascii="Arial" w:hAnsi="Arial" w:cs="Arial"/>
          <w:szCs w:val="24"/>
          <w:lang w:eastAsia="en-IN"/>
        </w:rPr>
        <w:t>1,004 million as in 2024</w:t>
      </w:r>
      <w:r w:rsidR="00DD6CFE" w:rsidRPr="00746DEF">
        <w:rPr>
          <w:rFonts w:ascii="Arial" w:hAnsi="Arial" w:cs="Arial"/>
          <w:szCs w:val="24"/>
          <w:lang w:eastAsia="en-IN"/>
        </w:rPr>
        <w:t xml:space="preserve"> (Co-operative Group Digital, 202</w:t>
      </w:r>
      <w:r w:rsidR="00897B12">
        <w:rPr>
          <w:rFonts w:ascii="Arial" w:hAnsi="Arial" w:cs="Arial"/>
          <w:szCs w:val="24"/>
          <w:lang w:eastAsia="en-IN"/>
        </w:rPr>
        <w:t>4</w:t>
      </w:r>
      <w:r w:rsidR="00DD6CFE" w:rsidRPr="00746DEF">
        <w:rPr>
          <w:rFonts w:ascii="Arial" w:hAnsi="Arial" w:cs="Arial"/>
          <w:szCs w:val="24"/>
          <w:lang w:eastAsia="en-IN"/>
        </w:rPr>
        <w:t>).</w:t>
      </w:r>
    </w:p>
    <w:p w14:paraId="164227EA" w14:textId="513C0D37" w:rsidR="00E262B2" w:rsidRPr="00746DEF" w:rsidRDefault="00E262B2" w:rsidP="006B4E52">
      <w:pPr>
        <w:jc w:val="center"/>
        <w:rPr>
          <w:rFonts w:ascii="Arial" w:hAnsi="Arial" w:cs="Arial"/>
          <w:szCs w:val="24"/>
          <w:lang w:eastAsia="en-IN"/>
        </w:rPr>
      </w:pPr>
      <w:r w:rsidRPr="00746DEF">
        <w:rPr>
          <w:rFonts w:ascii="Arial" w:hAnsi="Arial" w:cs="Arial"/>
          <w:noProof/>
          <w:szCs w:val="24"/>
        </w:rPr>
        <w:drawing>
          <wp:inline distT="0" distB="0" distL="0" distR="0" wp14:anchorId="137FEBE6" wp14:editId="04244F62">
            <wp:extent cx="5274587" cy="350996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88544" cy="3519251"/>
                    </a:xfrm>
                    <a:prstGeom prst="rect">
                      <a:avLst/>
                    </a:prstGeom>
                  </pic:spPr>
                </pic:pic>
              </a:graphicData>
            </a:graphic>
          </wp:inline>
        </w:drawing>
      </w:r>
    </w:p>
    <w:p w14:paraId="07D3CF2D" w14:textId="48F10FC0" w:rsidR="00E262B2" w:rsidRPr="00746DEF" w:rsidRDefault="00E262B2" w:rsidP="006B4E52">
      <w:pPr>
        <w:jc w:val="center"/>
        <w:rPr>
          <w:rFonts w:ascii="Arial" w:hAnsi="Arial" w:cs="Arial"/>
          <w:b/>
          <w:bCs/>
          <w:szCs w:val="24"/>
          <w:lang w:eastAsia="en-IN"/>
        </w:rPr>
      </w:pPr>
      <w:r w:rsidRPr="00746DEF">
        <w:rPr>
          <w:rFonts w:ascii="Arial" w:hAnsi="Arial" w:cs="Arial"/>
          <w:b/>
          <w:bCs/>
          <w:szCs w:val="24"/>
          <w:lang w:eastAsia="en-IN"/>
        </w:rPr>
        <w:lastRenderedPageBreak/>
        <w:t>Figure 2:</w:t>
      </w:r>
      <w:r w:rsidRPr="00746DEF">
        <w:rPr>
          <w:rFonts w:ascii="Arial" w:hAnsi="Arial" w:cs="Arial"/>
          <w:szCs w:val="24"/>
          <w:lang w:eastAsia="en-IN"/>
        </w:rPr>
        <w:t xml:space="preserve"> </w:t>
      </w:r>
      <w:r w:rsidRPr="00746DEF">
        <w:rPr>
          <w:rFonts w:ascii="Arial" w:hAnsi="Arial" w:cs="Arial"/>
          <w:b/>
          <w:bCs/>
          <w:szCs w:val="24"/>
          <w:lang w:eastAsia="en-IN"/>
        </w:rPr>
        <w:t>Consolidated Income Statement</w:t>
      </w:r>
      <w:r w:rsidR="004C7F97">
        <w:rPr>
          <w:rFonts w:ascii="Arial" w:hAnsi="Arial" w:cs="Arial"/>
          <w:b/>
          <w:bCs/>
          <w:szCs w:val="24"/>
          <w:lang w:eastAsia="en-IN"/>
        </w:rPr>
        <w:t xml:space="preserve"> of </w:t>
      </w:r>
      <w:r w:rsidRPr="00746DEF">
        <w:rPr>
          <w:rFonts w:ascii="Arial" w:hAnsi="Arial" w:cs="Arial"/>
          <w:b/>
          <w:bCs/>
          <w:szCs w:val="24"/>
          <w:lang w:eastAsia="en-IN"/>
        </w:rPr>
        <w:t>Co-op</w:t>
      </w:r>
    </w:p>
    <w:p w14:paraId="7E23C87C" w14:textId="3F48C21C" w:rsidR="00E262B2" w:rsidRPr="00746DEF" w:rsidRDefault="00897B12" w:rsidP="006B4E52">
      <w:pPr>
        <w:jc w:val="center"/>
        <w:rPr>
          <w:rFonts w:ascii="Arial" w:hAnsi="Arial" w:cs="Arial"/>
          <w:szCs w:val="24"/>
          <w:lang w:eastAsia="en-IN"/>
        </w:rPr>
      </w:pPr>
      <w:r>
        <w:rPr>
          <w:rFonts w:ascii="Arial" w:hAnsi="Arial" w:cs="Arial"/>
          <w:szCs w:val="24"/>
          <w:lang w:eastAsia="en-IN"/>
        </w:rPr>
        <w:t>(</w:t>
      </w:r>
      <w:r w:rsidR="00E262B2" w:rsidRPr="00746DEF">
        <w:rPr>
          <w:rFonts w:ascii="Arial" w:hAnsi="Arial" w:cs="Arial"/>
          <w:szCs w:val="24"/>
          <w:lang w:eastAsia="en-IN"/>
        </w:rPr>
        <w:t>Source:</w:t>
      </w:r>
      <w:r w:rsidR="00E262B2" w:rsidRPr="00746DEF">
        <w:rPr>
          <w:rFonts w:ascii="Arial" w:hAnsi="Arial" w:cs="Arial"/>
          <w:b/>
          <w:bCs/>
          <w:szCs w:val="24"/>
          <w:lang w:eastAsia="en-IN"/>
        </w:rPr>
        <w:t xml:space="preserve"> </w:t>
      </w:r>
      <w:r w:rsidR="00E262B2" w:rsidRPr="00746DEF">
        <w:rPr>
          <w:rFonts w:ascii="Arial" w:hAnsi="Arial" w:cs="Arial"/>
          <w:szCs w:val="24"/>
        </w:rPr>
        <w:t>Co-operative Group Digital, 2024</w:t>
      </w:r>
      <w:r w:rsidR="00E262B2" w:rsidRPr="00746DEF">
        <w:rPr>
          <w:rFonts w:ascii="Arial" w:hAnsi="Arial" w:cs="Arial"/>
          <w:szCs w:val="24"/>
          <w:lang w:eastAsia="en-IN"/>
        </w:rPr>
        <w:t>)</w:t>
      </w:r>
    </w:p>
    <w:p w14:paraId="43AC3416" w14:textId="77777777" w:rsidR="00DD6CFE" w:rsidRPr="00746DEF" w:rsidRDefault="00DD6CFE" w:rsidP="006B4E52">
      <w:pPr>
        <w:rPr>
          <w:rFonts w:ascii="Arial" w:hAnsi="Arial" w:cs="Arial"/>
          <w:szCs w:val="24"/>
          <w:lang w:eastAsia="en-IN"/>
        </w:rPr>
      </w:pPr>
      <w:r w:rsidRPr="00746DEF">
        <w:rPr>
          <w:rFonts w:ascii="Arial" w:hAnsi="Arial" w:cs="Arial"/>
          <w:b/>
          <w:bCs/>
          <w:szCs w:val="24"/>
          <w:lang w:eastAsia="en-IN"/>
        </w:rPr>
        <w:t>Net effect (retail):</w:t>
      </w:r>
      <w:r w:rsidRPr="00746DEF">
        <w:rPr>
          <w:rFonts w:ascii="Arial" w:hAnsi="Arial" w:cs="Arial"/>
          <w:szCs w:val="24"/>
          <w:lang w:eastAsia="en-IN"/>
        </w:rPr>
        <w:t xml:space="preserve"> Technological change increases the value of data and the scale of fulfilment scale large pioneer advantages, monetisation, and scale in operation, but followers may still compete through the local service focus, membership/community credentials and selective digital adoption.</w:t>
      </w:r>
    </w:p>
    <w:p w14:paraId="4FFD42C9" w14:textId="6E90DD9B" w:rsidR="00DD6CFE" w:rsidRPr="00897B12" w:rsidRDefault="00897B12" w:rsidP="006B4E52">
      <w:pPr>
        <w:rPr>
          <w:rFonts w:ascii="Arial" w:hAnsi="Arial" w:cs="Arial"/>
          <w:b/>
          <w:bCs/>
          <w:i/>
          <w:iCs/>
          <w:szCs w:val="24"/>
          <w:lang w:eastAsia="en-IN"/>
        </w:rPr>
      </w:pPr>
      <w:r w:rsidRPr="00897B12">
        <w:rPr>
          <w:rFonts w:ascii="Arial" w:hAnsi="Arial" w:cs="Arial"/>
          <w:b/>
          <w:bCs/>
          <w:i/>
          <w:iCs/>
          <w:szCs w:val="24"/>
          <w:lang w:eastAsia="en-IN"/>
        </w:rPr>
        <w:t xml:space="preserve">2.1.2 </w:t>
      </w:r>
      <w:r w:rsidR="00DD6CFE" w:rsidRPr="00897B12">
        <w:rPr>
          <w:rFonts w:ascii="Arial" w:hAnsi="Arial" w:cs="Arial"/>
          <w:b/>
          <w:bCs/>
          <w:i/>
          <w:iCs/>
          <w:szCs w:val="24"/>
          <w:lang w:eastAsia="en-IN"/>
        </w:rPr>
        <w:t>Telecommunications: BT Group vs Virgin Media</w:t>
      </w:r>
    </w:p>
    <w:p w14:paraId="41F7EAC4" w14:textId="45D2CEF0" w:rsidR="00DD6CFE" w:rsidRPr="00746DEF" w:rsidRDefault="00DD6CFE" w:rsidP="006B4E52">
      <w:pPr>
        <w:rPr>
          <w:rFonts w:ascii="Arial" w:hAnsi="Arial" w:cs="Arial"/>
          <w:szCs w:val="24"/>
          <w:lang w:eastAsia="en-IN"/>
        </w:rPr>
      </w:pPr>
      <w:r w:rsidRPr="00746DEF">
        <w:rPr>
          <w:rFonts w:ascii="Arial" w:hAnsi="Arial" w:cs="Arial"/>
          <w:szCs w:val="24"/>
          <w:lang w:eastAsia="en-IN"/>
        </w:rPr>
        <w:t>Telecoms is a heavy investment technology sector in which the leadership of a network is important. BT has spent heavily on full-fibre broadband and 5G (EE), and the joint venture (Virgin Media O2) has built a high-capacity fibre network and mobile following the 2021 joint venture. The official strategic reports point to the fact that BT has accomplished previous quarterly records of fibre builds and that converged offerings were strategic.</w:t>
      </w:r>
    </w:p>
    <w:p w14:paraId="283DFB6B" w14:textId="6DE82BE0" w:rsidR="00DD6CFE" w:rsidRPr="00897B12" w:rsidRDefault="00DD6CFE" w:rsidP="006B4E52">
      <w:pPr>
        <w:rPr>
          <w:rFonts w:ascii="Arial" w:hAnsi="Arial" w:cs="Arial"/>
          <w:b/>
          <w:bCs/>
          <w:szCs w:val="24"/>
          <w:lang w:eastAsia="en-IN"/>
        </w:rPr>
      </w:pPr>
      <w:r w:rsidRPr="00746DEF">
        <w:rPr>
          <w:rFonts w:ascii="Arial" w:hAnsi="Arial" w:cs="Arial"/>
          <w:b/>
          <w:bCs/>
          <w:szCs w:val="24"/>
          <w:lang w:eastAsia="en-IN"/>
        </w:rPr>
        <w:t>Pioneer opportunities in BT:</w:t>
      </w:r>
      <w:r w:rsidR="00897B12">
        <w:rPr>
          <w:rFonts w:ascii="Arial" w:hAnsi="Arial" w:cs="Arial"/>
          <w:b/>
          <w:bCs/>
          <w:szCs w:val="24"/>
          <w:lang w:eastAsia="en-IN"/>
        </w:rPr>
        <w:t xml:space="preserve"> </w:t>
      </w:r>
      <w:r w:rsidRPr="00746DEF">
        <w:rPr>
          <w:rFonts w:ascii="Arial" w:hAnsi="Arial" w:cs="Arial"/>
          <w:szCs w:val="24"/>
          <w:lang w:eastAsia="en-IN"/>
        </w:rPr>
        <w:t>The early adoption or first-mover of full-fibre and 5G network differentiation (speed, reliability) allows charging higher prices, B2B contracts and platform opportunities (edge services). The strategic disclosures of BT reflect high-scale rollout of fibre and 5G standalone experiments to support the new services (BT Group, 2025).</w:t>
      </w:r>
      <w:r w:rsidR="00214D61">
        <w:rPr>
          <w:rFonts w:ascii="Arial" w:hAnsi="Arial" w:cs="Arial"/>
          <w:szCs w:val="24"/>
          <w:lang w:eastAsia="en-IN"/>
        </w:rPr>
        <w:t xml:space="preserve"> </w:t>
      </w:r>
    </w:p>
    <w:p w14:paraId="02EA9550" w14:textId="22462C92" w:rsidR="00E262B2" w:rsidRPr="00746DEF" w:rsidRDefault="00214D61" w:rsidP="006B4E52">
      <w:pPr>
        <w:jc w:val="center"/>
        <w:rPr>
          <w:rFonts w:ascii="Arial" w:hAnsi="Arial" w:cs="Arial"/>
          <w:szCs w:val="24"/>
          <w:lang w:eastAsia="en-IN"/>
        </w:rPr>
      </w:pPr>
      <w:r w:rsidRPr="00214D61">
        <w:rPr>
          <w:rFonts w:ascii="Arial" w:hAnsi="Arial" w:cs="Arial"/>
          <w:noProof/>
          <w:szCs w:val="24"/>
          <w:lang w:eastAsia="en-IN"/>
        </w:rPr>
        <w:lastRenderedPageBreak/>
        <w:drawing>
          <wp:inline distT="0" distB="0" distL="0" distR="0" wp14:anchorId="7928B2D4" wp14:editId="16B6625C">
            <wp:extent cx="5731510" cy="4368165"/>
            <wp:effectExtent l="0" t="0" r="2540" b="0"/>
            <wp:docPr id="19176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268" name=""/>
                    <pic:cNvPicPr/>
                  </pic:nvPicPr>
                  <pic:blipFill>
                    <a:blip r:embed="rId11"/>
                    <a:stretch>
                      <a:fillRect/>
                    </a:stretch>
                  </pic:blipFill>
                  <pic:spPr>
                    <a:xfrm>
                      <a:off x="0" y="0"/>
                      <a:ext cx="5731510" cy="4368165"/>
                    </a:xfrm>
                    <a:prstGeom prst="rect">
                      <a:avLst/>
                    </a:prstGeom>
                  </pic:spPr>
                </pic:pic>
              </a:graphicData>
            </a:graphic>
          </wp:inline>
        </w:drawing>
      </w:r>
    </w:p>
    <w:p w14:paraId="76E57F93" w14:textId="33928279" w:rsidR="00E262B2" w:rsidRPr="00746DEF" w:rsidRDefault="00E262B2" w:rsidP="006B4E52">
      <w:pPr>
        <w:jc w:val="center"/>
        <w:rPr>
          <w:rFonts w:ascii="Arial" w:hAnsi="Arial" w:cs="Arial"/>
          <w:b/>
          <w:bCs/>
          <w:szCs w:val="24"/>
          <w:lang w:eastAsia="en-IN"/>
        </w:rPr>
      </w:pPr>
      <w:r w:rsidRPr="00746DEF">
        <w:rPr>
          <w:rFonts w:ascii="Arial" w:hAnsi="Arial" w:cs="Arial"/>
          <w:b/>
          <w:bCs/>
          <w:szCs w:val="24"/>
          <w:lang w:eastAsia="en-IN"/>
        </w:rPr>
        <w:t>Figure 3:</w:t>
      </w:r>
      <w:r w:rsidRPr="00746DEF">
        <w:rPr>
          <w:rFonts w:ascii="Arial" w:hAnsi="Arial" w:cs="Arial"/>
          <w:szCs w:val="24"/>
          <w:lang w:eastAsia="en-IN"/>
        </w:rPr>
        <w:t xml:space="preserve"> </w:t>
      </w:r>
      <w:r w:rsidRPr="00746DEF">
        <w:rPr>
          <w:rFonts w:ascii="Arial" w:hAnsi="Arial" w:cs="Arial"/>
          <w:b/>
          <w:bCs/>
          <w:szCs w:val="24"/>
          <w:lang w:eastAsia="en-IN"/>
        </w:rPr>
        <w:t>Consolidated Income Statement</w:t>
      </w:r>
      <w:r w:rsidR="00214D61">
        <w:rPr>
          <w:rFonts w:ascii="Arial" w:hAnsi="Arial" w:cs="Arial"/>
          <w:b/>
          <w:bCs/>
          <w:szCs w:val="24"/>
          <w:lang w:eastAsia="en-IN"/>
        </w:rPr>
        <w:t xml:space="preserve"> of </w:t>
      </w:r>
      <w:r w:rsidRPr="00746DEF">
        <w:rPr>
          <w:rFonts w:ascii="Arial" w:hAnsi="Arial" w:cs="Arial"/>
          <w:b/>
          <w:bCs/>
          <w:szCs w:val="24"/>
          <w:lang w:eastAsia="en-IN"/>
        </w:rPr>
        <w:t>BT Group</w:t>
      </w:r>
    </w:p>
    <w:p w14:paraId="660BE94C" w14:textId="11951296" w:rsidR="00E262B2" w:rsidRPr="00746DEF" w:rsidRDefault="00897B12" w:rsidP="006B4E52">
      <w:pPr>
        <w:jc w:val="center"/>
        <w:rPr>
          <w:rFonts w:ascii="Arial" w:hAnsi="Arial" w:cs="Arial"/>
          <w:szCs w:val="24"/>
          <w:lang w:eastAsia="en-IN"/>
        </w:rPr>
      </w:pPr>
      <w:r>
        <w:rPr>
          <w:rFonts w:ascii="Arial" w:hAnsi="Arial" w:cs="Arial"/>
          <w:szCs w:val="24"/>
          <w:lang w:eastAsia="en-IN"/>
        </w:rPr>
        <w:t>(</w:t>
      </w:r>
      <w:r w:rsidR="00E262B2" w:rsidRPr="00746DEF">
        <w:rPr>
          <w:rFonts w:ascii="Arial" w:hAnsi="Arial" w:cs="Arial"/>
          <w:szCs w:val="24"/>
          <w:lang w:eastAsia="en-IN"/>
        </w:rPr>
        <w:t>Source:</w:t>
      </w:r>
      <w:r w:rsidR="00E262B2" w:rsidRPr="00746DEF">
        <w:rPr>
          <w:rFonts w:ascii="Arial" w:hAnsi="Arial" w:cs="Arial"/>
          <w:b/>
          <w:bCs/>
          <w:szCs w:val="24"/>
          <w:lang w:eastAsia="en-IN"/>
        </w:rPr>
        <w:t xml:space="preserve"> </w:t>
      </w:r>
      <w:bookmarkStart w:id="3" w:name="_Hlk214470236"/>
      <w:r w:rsidR="008A409B" w:rsidRPr="00746DEF">
        <w:rPr>
          <w:rFonts w:ascii="Arial" w:hAnsi="Arial" w:cs="Arial"/>
          <w:szCs w:val="24"/>
        </w:rPr>
        <w:t>BT Group, 2024</w:t>
      </w:r>
      <w:bookmarkEnd w:id="3"/>
      <w:r w:rsidR="008A409B" w:rsidRPr="00746DEF">
        <w:rPr>
          <w:rFonts w:ascii="Arial" w:hAnsi="Arial" w:cs="Arial"/>
          <w:szCs w:val="24"/>
          <w:lang w:eastAsia="en-IN"/>
        </w:rPr>
        <w:t>)</w:t>
      </w:r>
    </w:p>
    <w:p w14:paraId="5C1D3C74" w14:textId="7219961E" w:rsidR="00DD6CFE" w:rsidRPr="00897B12" w:rsidRDefault="00DD6CFE" w:rsidP="006B4E52">
      <w:pPr>
        <w:rPr>
          <w:rFonts w:ascii="Arial" w:hAnsi="Arial" w:cs="Arial"/>
          <w:b/>
          <w:bCs/>
          <w:szCs w:val="24"/>
          <w:lang w:eastAsia="en-IN"/>
        </w:rPr>
      </w:pPr>
      <w:r w:rsidRPr="00746DEF">
        <w:rPr>
          <w:rFonts w:ascii="Arial" w:hAnsi="Arial" w:cs="Arial"/>
          <w:b/>
          <w:bCs/>
          <w:szCs w:val="24"/>
          <w:lang w:eastAsia="en-IN"/>
        </w:rPr>
        <w:t>Threats for BT:</w:t>
      </w:r>
      <w:r w:rsidR="00897B12">
        <w:rPr>
          <w:rFonts w:ascii="Arial" w:hAnsi="Arial" w:cs="Arial"/>
          <w:b/>
          <w:bCs/>
          <w:szCs w:val="24"/>
          <w:lang w:eastAsia="en-IN"/>
        </w:rPr>
        <w:t xml:space="preserve"> </w:t>
      </w:r>
      <w:r w:rsidRPr="00746DEF">
        <w:rPr>
          <w:rFonts w:ascii="Arial" w:hAnsi="Arial" w:cs="Arial"/>
          <w:szCs w:val="24"/>
          <w:lang w:eastAsia="en-IN"/>
        </w:rPr>
        <w:t>The expense of CAPEX put</w:t>
      </w:r>
      <w:r w:rsidR="00214D61">
        <w:rPr>
          <w:rFonts w:ascii="Arial" w:hAnsi="Arial" w:cs="Arial"/>
          <w:szCs w:val="24"/>
          <w:lang w:eastAsia="en-IN"/>
        </w:rPr>
        <w:t>s</w:t>
      </w:r>
      <w:r w:rsidRPr="00746DEF">
        <w:rPr>
          <w:rFonts w:ascii="Arial" w:hAnsi="Arial" w:cs="Arial"/>
          <w:szCs w:val="24"/>
          <w:lang w:eastAsia="en-IN"/>
        </w:rPr>
        <w:t xml:space="preserve"> a firm in a risky position</w:t>
      </w:r>
      <w:r w:rsidR="00214D61">
        <w:rPr>
          <w:rFonts w:ascii="Arial" w:hAnsi="Arial" w:cs="Arial"/>
          <w:szCs w:val="24"/>
          <w:lang w:eastAsia="en-IN"/>
        </w:rPr>
        <w:t>. It is because</w:t>
      </w:r>
      <w:r w:rsidRPr="00746DEF">
        <w:rPr>
          <w:rFonts w:ascii="Arial" w:hAnsi="Arial" w:cs="Arial"/>
          <w:szCs w:val="24"/>
          <w:lang w:eastAsia="en-IN"/>
        </w:rPr>
        <w:t xml:space="preserve"> the economy slows down, early movers risk regulatory review and risks due to the speed of technological change</w:t>
      </w:r>
      <w:r w:rsidR="00897B12">
        <w:rPr>
          <w:rFonts w:ascii="Arial" w:hAnsi="Arial" w:cs="Arial"/>
          <w:szCs w:val="24"/>
          <w:lang w:eastAsia="en-IN"/>
        </w:rPr>
        <w:t>, such as</w:t>
      </w:r>
      <w:r w:rsidR="00214D61">
        <w:rPr>
          <w:rFonts w:ascii="Arial" w:hAnsi="Arial" w:cs="Arial"/>
          <w:szCs w:val="24"/>
          <w:lang w:eastAsia="en-IN"/>
        </w:rPr>
        <w:t xml:space="preserve"> in the case of</w:t>
      </w:r>
      <w:r w:rsidRPr="00746DEF">
        <w:rPr>
          <w:rFonts w:ascii="Arial" w:hAnsi="Arial" w:cs="Arial"/>
          <w:szCs w:val="24"/>
          <w:lang w:eastAsia="en-IN"/>
        </w:rPr>
        <w:t xml:space="preserve"> WiFi-7</w:t>
      </w:r>
      <w:r w:rsidR="00CB2BF1" w:rsidRPr="00746DEF">
        <w:rPr>
          <w:rFonts w:ascii="Arial" w:hAnsi="Arial" w:cs="Arial"/>
          <w:szCs w:val="24"/>
          <w:lang w:eastAsia="en-IN"/>
        </w:rPr>
        <w:t xml:space="preserve"> </w:t>
      </w:r>
      <w:r w:rsidRPr="00746DEF">
        <w:rPr>
          <w:rFonts w:ascii="Arial" w:hAnsi="Arial" w:cs="Arial"/>
          <w:szCs w:val="24"/>
          <w:lang w:eastAsia="en-IN"/>
        </w:rPr>
        <w:t>(BT Group, 2024).</w:t>
      </w:r>
      <w:r w:rsidR="00214D61">
        <w:rPr>
          <w:rFonts w:ascii="Arial" w:hAnsi="Arial" w:cs="Arial"/>
          <w:szCs w:val="24"/>
          <w:lang w:eastAsia="en-IN"/>
        </w:rPr>
        <w:t xml:space="preserve"> Figure 3 revealed that t</w:t>
      </w:r>
      <w:r w:rsidR="00214D61" w:rsidRPr="00214D61">
        <w:rPr>
          <w:rFonts w:ascii="Arial" w:hAnsi="Arial" w:cs="Arial"/>
          <w:szCs w:val="24"/>
          <w:lang w:eastAsia="en-IN"/>
        </w:rPr>
        <w:t xml:space="preserve">otal operating costs </w:t>
      </w:r>
      <w:r w:rsidR="00214D61">
        <w:rPr>
          <w:rFonts w:ascii="Arial" w:hAnsi="Arial" w:cs="Arial"/>
          <w:szCs w:val="24"/>
          <w:lang w:eastAsia="en-IN"/>
        </w:rPr>
        <w:t xml:space="preserve">of BT has increased from </w:t>
      </w:r>
      <w:r w:rsidR="00214D61" w:rsidRPr="00897B12">
        <w:rPr>
          <w:rFonts w:ascii="Arial" w:hAnsi="Arial" w:cs="Arial"/>
          <w:szCs w:val="24"/>
          <w:lang w:eastAsia="en-IN"/>
        </w:rPr>
        <w:t>€</w:t>
      </w:r>
      <w:r w:rsidR="00214D61" w:rsidRPr="00214D61">
        <w:rPr>
          <w:rFonts w:ascii="Arial" w:hAnsi="Arial" w:cs="Arial"/>
          <w:szCs w:val="24"/>
          <w:lang w:eastAsia="en-IN"/>
        </w:rPr>
        <w:t>18,062</w:t>
      </w:r>
      <w:r w:rsidR="00214D61">
        <w:rPr>
          <w:rFonts w:ascii="Arial" w:hAnsi="Arial" w:cs="Arial"/>
          <w:szCs w:val="24"/>
          <w:lang w:eastAsia="en-IN"/>
        </w:rPr>
        <w:t xml:space="preserve"> (2023)</w:t>
      </w:r>
      <w:r w:rsidR="00214D61" w:rsidRPr="00214D61">
        <w:rPr>
          <w:rFonts w:ascii="Arial" w:hAnsi="Arial" w:cs="Arial"/>
          <w:szCs w:val="24"/>
          <w:lang w:eastAsia="en-IN"/>
        </w:rPr>
        <w:t xml:space="preserve"> </w:t>
      </w:r>
      <w:r w:rsidR="00214D61">
        <w:rPr>
          <w:rFonts w:ascii="Arial" w:hAnsi="Arial" w:cs="Arial"/>
          <w:szCs w:val="24"/>
          <w:lang w:eastAsia="en-IN"/>
        </w:rPr>
        <w:t xml:space="preserve">to </w:t>
      </w:r>
      <w:r w:rsidR="00214D61" w:rsidRPr="00897B12">
        <w:rPr>
          <w:rFonts w:ascii="Arial" w:hAnsi="Arial" w:cs="Arial"/>
          <w:szCs w:val="24"/>
          <w:lang w:eastAsia="en-IN"/>
        </w:rPr>
        <w:t>€</w:t>
      </w:r>
      <w:r w:rsidR="00214D61" w:rsidRPr="00214D61">
        <w:rPr>
          <w:rFonts w:ascii="Arial" w:hAnsi="Arial" w:cs="Arial"/>
          <w:szCs w:val="24"/>
          <w:lang w:eastAsia="en-IN"/>
        </w:rPr>
        <w:t>18,583</w:t>
      </w:r>
      <w:r w:rsidR="00214D61">
        <w:rPr>
          <w:rFonts w:ascii="Arial" w:hAnsi="Arial" w:cs="Arial"/>
          <w:szCs w:val="24"/>
          <w:lang w:eastAsia="en-IN"/>
        </w:rPr>
        <w:t xml:space="preserve"> in 2024 (</w:t>
      </w:r>
      <w:r w:rsidR="00214D61" w:rsidRPr="00746DEF">
        <w:rPr>
          <w:rFonts w:ascii="Arial" w:hAnsi="Arial" w:cs="Arial"/>
          <w:szCs w:val="24"/>
          <w:lang w:eastAsia="en-IN"/>
        </w:rPr>
        <w:t>BT Group, 2024</w:t>
      </w:r>
      <w:r w:rsidR="00214D61">
        <w:rPr>
          <w:rFonts w:ascii="Arial" w:hAnsi="Arial" w:cs="Arial"/>
          <w:szCs w:val="24"/>
          <w:lang w:eastAsia="en-IN"/>
        </w:rPr>
        <w:t xml:space="preserve">). </w:t>
      </w:r>
    </w:p>
    <w:p w14:paraId="21EA4EEC" w14:textId="65C54F8C" w:rsidR="00DD6CFE" w:rsidRPr="00897B12" w:rsidRDefault="00DD6CFE" w:rsidP="006B4E52">
      <w:pPr>
        <w:rPr>
          <w:rFonts w:ascii="Arial" w:hAnsi="Arial" w:cs="Arial"/>
          <w:b/>
          <w:bCs/>
          <w:szCs w:val="24"/>
          <w:lang w:eastAsia="en-IN"/>
        </w:rPr>
      </w:pPr>
      <w:r w:rsidRPr="00746DEF">
        <w:rPr>
          <w:rFonts w:ascii="Arial" w:hAnsi="Arial" w:cs="Arial"/>
          <w:b/>
          <w:bCs/>
          <w:szCs w:val="24"/>
          <w:lang w:eastAsia="en-IN"/>
        </w:rPr>
        <w:t>Virgin Media (follower) opportunities:</w:t>
      </w:r>
      <w:r w:rsidR="00897B12">
        <w:rPr>
          <w:rFonts w:ascii="Arial" w:hAnsi="Arial" w:cs="Arial"/>
          <w:b/>
          <w:bCs/>
          <w:szCs w:val="24"/>
          <w:lang w:eastAsia="en-IN"/>
        </w:rPr>
        <w:t xml:space="preserve"> </w:t>
      </w:r>
      <w:r w:rsidR="009458AA" w:rsidRPr="009458AA">
        <w:rPr>
          <w:rFonts w:ascii="Arial" w:hAnsi="Arial" w:cs="Arial"/>
          <w:szCs w:val="24"/>
          <w:lang w:eastAsia="en-IN"/>
        </w:rPr>
        <w:t>There are scopes for</w:t>
      </w:r>
      <w:r w:rsidR="009458AA">
        <w:rPr>
          <w:rFonts w:ascii="Arial" w:hAnsi="Arial" w:cs="Arial"/>
          <w:b/>
          <w:bCs/>
          <w:szCs w:val="24"/>
          <w:lang w:eastAsia="en-IN"/>
        </w:rPr>
        <w:t xml:space="preserve"> </w:t>
      </w:r>
      <w:r w:rsidRPr="00746DEF">
        <w:rPr>
          <w:rFonts w:ascii="Arial" w:hAnsi="Arial" w:cs="Arial"/>
          <w:szCs w:val="24"/>
          <w:lang w:eastAsia="en-IN"/>
        </w:rPr>
        <w:t xml:space="preserve">Virgin Media </w:t>
      </w:r>
      <w:r w:rsidR="009458AA">
        <w:rPr>
          <w:rFonts w:ascii="Arial" w:hAnsi="Arial" w:cs="Arial"/>
          <w:szCs w:val="24"/>
          <w:lang w:eastAsia="en-IN"/>
        </w:rPr>
        <w:t>to</w:t>
      </w:r>
      <w:r w:rsidRPr="00746DEF">
        <w:rPr>
          <w:rFonts w:ascii="Arial" w:hAnsi="Arial" w:cs="Arial"/>
          <w:szCs w:val="24"/>
          <w:lang w:eastAsia="en-IN"/>
        </w:rPr>
        <w:t xml:space="preserve"> implement successful fibre and bundle strategies and vigorous market speed/value bundling</w:t>
      </w:r>
      <w:r w:rsidR="009458AA">
        <w:rPr>
          <w:rFonts w:ascii="Arial" w:hAnsi="Arial" w:cs="Arial"/>
          <w:szCs w:val="24"/>
          <w:lang w:eastAsia="en-IN"/>
        </w:rPr>
        <w:t>. B</w:t>
      </w:r>
      <w:r w:rsidRPr="00746DEF">
        <w:rPr>
          <w:rFonts w:ascii="Arial" w:hAnsi="Arial" w:cs="Arial"/>
          <w:szCs w:val="24"/>
          <w:lang w:eastAsia="en-IN"/>
        </w:rPr>
        <w:t>eing a challenger with a strong brand, Virgin Media can capture share with promotional pricing, differentiated customer experience, and partnerships (e.g. O2). In the joint-venture documentation, there is a focus on converged offers and the scale of customers (Virgin Media O2, 2022).</w:t>
      </w:r>
    </w:p>
    <w:p w14:paraId="6E7B7ED2" w14:textId="5CC005F5" w:rsidR="00DD6CFE" w:rsidRPr="00215A45" w:rsidRDefault="00DD6CFE" w:rsidP="006B4E52">
      <w:pPr>
        <w:rPr>
          <w:rFonts w:ascii="Arial" w:hAnsi="Arial" w:cs="Arial"/>
          <w:b/>
          <w:bCs/>
          <w:szCs w:val="24"/>
          <w:lang w:eastAsia="en-IN"/>
        </w:rPr>
      </w:pPr>
      <w:r w:rsidRPr="00746DEF">
        <w:rPr>
          <w:rFonts w:ascii="Arial" w:hAnsi="Arial" w:cs="Arial"/>
          <w:b/>
          <w:bCs/>
          <w:szCs w:val="24"/>
          <w:lang w:eastAsia="en-IN"/>
        </w:rPr>
        <w:t>Threats to Virgin Media:</w:t>
      </w:r>
      <w:r w:rsidR="00215A45">
        <w:rPr>
          <w:rFonts w:ascii="Arial" w:hAnsi="Arial" w:cs="Arial"/>
          <w:b/>
          <w:bCs/>
          <w:szCs w:val="24"/>
          <w:lang w:eastAsia="en-IN"/>
        </w:rPr>
        <w:t xml:space="preserve"> </w:t>
      </w:r>
      <w:r w:rsidRPr="00746DEF">
        <w:rPr>
          <w:rFonts w:ascii="Arial" w:hAnsi="Arial" w:cs="Arial"/>
          <w:szCs w:val="24"/>
          <w:lang w:eastAsia="en-IN"/>
        </w:rPr>
        <w:t xml:space="preserve">Provided that challengers experience margin pressure, as well as profitability in a saturated subscription market, they can be undermined by </w:t>
      </w:r>
      <w:r w:rsidRPr="00746DEF">
        <w:rPr>
          <w:rFonts w:ascii="Arial" w:hAnsi="Arial" w:cs="Arial"/>
          <w:szCs w:val="24"/>
          <w:lang w:eastAsia="en-IN"/>
        </w:rPr>
        <w:lastRenderedPageBreak/>
        <w:t>intense price competition. In the case of BT can exploit network scale and regulatory advantages (Virgin Media O2, 2023).</w:t>
      </w:r>
    </w:p>
    <w:p w14:paraId="6BC0954E" w14:textId="0507FE76" w:rsidR="006E28BB" w:rsidRPr="00746DEF" w:rsidRDefault="00DD6CFE" w:rsidP="006B4E52">
      <w:pPr>
        <w:rPr>
          <w:rFonts w:ascii="Arial" w:eastAsia="Times New Roman" w:hAnsi="Arial" w:cs="Arial"/>
          <w:szCs w:val="24"/>
          <w:lang w:eastAsia="en-IN"/>
        </w:rPr>
      </w:pPr>
      <w:r w:rsidRPr="00746DEF">
        <w:rPr>
          <w:rFonts w:ascii="Arial" w:hAnsi="Arial" w:cs="Arial"/>
          <w:b/>
          <w:bCs/>
          <w:szCs w:val="24"/>
          <w:lang w:eastAsia="en-IN"/>
        </w:rPr>
        <w:t>Net effect (telecoms):</w:t>
      </w:r>
      <w:r w:rsidRPr="00746DEF">
        <w:rPr>
          <w:rFonts w:ascii="Arial" w:hAnsi="Arial" w:cs="Arial"/>
          <w:szCs w:val="24"/>
          <w:lang w:eastAsia="en-IN"/>
        </w:rPr>
        <w:t xml:space="preserve"> There must be a tech investment to compete</w:t>
      </w:r>
      <w:r w:rsidR="00410124">
        <w:rPr>
          <w:rFonts w:ascii="Arial" w:hAnsi="Arial" w:cs="Arial"/>
          <w:szCs w:val="24"/>
          <w:lang w:eastAsia="en-IN"/>
        </w:rPr>
        <w:t>. There is also a need to</w:t>
      </w:r>
      <w:r w:rsidRPr="00746DEF">
        <w:rPr>
          <w:rFonts w:ascii="Arial" w:hAnsi="Arial" w:cs="Arial"/>
          <w:szCs w:val="24"/>
          <w:lang w:eastAsia="en-IN"/>
        </w:rPr>
        <w:t xml:space="preserve"> first enjoy national network benefits</w:t>
      </w:r>
      <w:r w:rsidR="00410124">
        <w:rPr>
          <w:rFonts w:ascii="Arial" w:hAnsi="Arial" w:cs="Arial"/>
          <w:szCs w:val="24"/>
          <w:lang w:eastAsia="en-IN"/>
        </w:rPr>
        <w:t xml:space="preserve">. However, </w:t>
      </w:r>
      <w:r w:rsidRPr="00746DEF">
        <w:rPr>
          <w:rFonts w:ascii="Arial" w:hAnsi="Arial" w:cs="Arial"/>
          <w:szCs w:val="24"/>
          <w:lang w:eastAsia="en-IN"/>
        </w:rPr>
        <w:t>these first movers can still be outwitted by second movers using differentiated bundles, marketing and operating efficiency.</w:t>
      </w:r>
    </w:p>
    <w:p w14:paraId="562CC3AD" w14:textId="3BBC58BD" w:rsidR="006E28BB" w:rsidRPr="00746DEF" w:rsidRDefault="006E28BB" w:rsidP="006B4E52">
      <w:pPr>
        <w:pStyle w:val="Heading3"/>
        <w:spacing w:line="360" w:lineRule="auto"/>
        <w:rPr>
          <w:rFonts w:ascii="Arial" w:hAnsi="Arial" w:cs="Arial"/>
          <w:szCs w:val="24"/>
        </w:rPr>
      </w:pPr>
      <w:bookmarkStart w:id="4" w:name="_Toc214544578"/>
      <w:r w:rsidRPr="00746DEF">
        <w:rPr>
          <w:rFonts w:ascii="Arial" w:hAnsi="Arial" w:cs="Arial"/>
          <w:szCs w:val="24"/>
        </w:rPr>
        <w:t>2.2 Economic Factors</w:t>
      </w:r>
      <w:bookmarkEnd w:id="4"/>
      <w:r w:rsidRPr="00746DEF">
        <w:rPr>
          <w:rFonts w:ascii="Arial" w:hAnsi="Arial" w:cs="Arial"/>
          <w:szCs w:val="24"/>
        </w:rPr>
        <w:t xml:space="preserve"> </w:t>
      </w:r>
    </w:p>
    <w:p w14:paraId="0E5BA4E2" w14:textId="706C447C" w:rsidR="006E28BB" w:rsidRPr="00B275E4" w:rsidRDefault="00B275E4" w:rsidP="006B4E52">
      <w:pPr>
        <w:rPr>
          <w:rFonts w:ascii="Arial" w:hAnsi="Arial" w:cs="Arial"/>
          <w:b/>
          <w:bCs/>
          <w:i/>
          <w:iCs/>
          <w:szCs w:val="24"/>
          <w:lang w:eastAsia="en-IN"/>
        </w:rPr>
      </w:pPr>
      <w:r w:rsidRPr="00B275E4">
        <w:rPr>
          <w:rFonts w:ascii="Arial" w:hAnsi="Arial" w:cs="Arial"/>
          <w:b/>
          <w:bCs/>
          <w:i/>
          <w:iCs/>
          <w:szCs w:val="24"/>
          <w:lang w:eastAsia="en-IN"/>
        </w:rPr>
        <w:t xml:space="preserve">Opportunities </w:t>
      </w:r>
      <w:r>
        <w:rPr>
          <w:rFonts w:ascii="Arial" w:hAnsi="Arial" w:cs="Arial"/>
          <w:b/>
          <w:bCs/>
          <w:i/>
          <w:iCs/>
          <w:szCs w:val="24"/>
          <w:lang w:eastAsia="en-IN"/>
        </w:rPr>
        <w:t>and</w:t>
      </w:r>
      <w:r w:rsidRPr="00B275E4">
        <w:rPr>
          <w:rFonts w:ascii="Arial" w:hAnsi="Arial" w:cs="Arial"/>
          <w:b/>
          <w:bCs/>
          <w:i/>
          <w:iCs/>
          <w:szCs w:val="24"/>
          <w:lang w:eastAsia="en-IN"/>
        </w:rPr>
        <w:t xml:space="preserve"> Threats</w:t>
      </w:r>
      <w:r>
        <w:rPr>
          <w:rFonts w:ascii="Arial" w:hAnsi="Arial" w:cs="Arial"/>
          <w:b/>
          <w:bCs/>
          <w:i/>
          <w:iCs/>
          <w:szCs w:val="24"/>
          <w:lang w:eastAsia="en-IN"/>
        </w:rPr>
        <w:t xml:space="preserve"> in the UK </w:t>
      </w:r>
      <w:r w:rsidR="006E28BB" w:rsidRPr="00B275E4">
        <w:rPr>
          <w:rFonts w:ascii="Arial" w:hAnsi="Arial" w:cs="Arial"/>
          <w:b/>
          <w:bCs/>
          <w:i/>
          <w:iCs/>
          <w:szCs w:val="24"/>
          <w:lang w:eastAsia="en-IN"/>
        </w:rPr>
        <w:t>Retail</w:t>
      </w:r>
      <w:r w:rsidR="00DD6CFE" w:rsidRPr="00B275E4">
        <w:rPr>
          <w:rFonts w:ascii="Arial" w:hAnsi="Arial" w:cs="Arial"/>
          <w:b/>
          <w:bCs/>
          <w:i/>
          <w:iCs/>
          <w:szCs w:val="24"/>
          <w:lang w:eastAsia="en-IN"/>
        </w:rPr>
        <w:t xml:space="preserve"> Sector: </w:t>
      </w:r>
      <w:r w:rsidR="006E28BB" w:rsidRPr="00B275E4">
        <w:rPr>
          <w:rFonts w:ascii="Arial" w:hAnsi="Arial" w:cs="Arial"/>
          <w:b/>
          <w:bCs/>
          <w:i/>
          <w:iCs/>
          <w:szCs w:val="24"/>
          <w:lang w:eastAsia="en-IN"/>
        </w:rPr>
        <w:t>Sainsbury’s vs Co-op</w:t>
      </w:r>
    </w:p>
    <w:p w14:paraId="19DA5F26" w14:textId="73F2BFDB" w:rsidR="00DD6CFE" w:rsidRPr="00746DEF" w:rsidRDefault="00DD6CFE" w:rsidP="006B4E52">
      <w:pPr>
        <w:rPr>
          <w:rFonts w:ascii="Arial" w:hAnsi="Arial" w:cs="Arial"/>
          <w:szCs w:val="24"/>
          <w:lang w:eastAsia="en-IN"/>
        </w:rPr>
      </w:pPr>
      <w:r w:rsidRPr="00746DEF">
        <w:rPr>
          <w:rFonts w:ascii="Arial" w:hAnsi="Arial" w:cs="Arial"/>
          <w:szCs w:val="24"/>
          <w:lang w:eastAsia="en-IN"/>
        </w:rPr>
        <w:t>Between 2021-2024, the UK was under high inflation and a cost-of-living crisis</w:t>
      </w:r>
      <w:r w:rsidR="002B271E">
        <w:rPr>
          <w:rFonts w:ascii="Arial" w:hAnsi="Arial" w:cs="Arial"/>
          <w:szCs w:val="24"/>
          <w:lang w:eastAsia="en-IN"/>
        </w:rPr>
        <w:t>. F</w:t>
      </w:r>
      <w:r w:rsidRPr="00746DEF">
        <w:rPr>
          <w:rFonts w:ascii="Arial" w:hAnsi="Arial" w:cs="Arial"/>
          <w:szCs w:val="24"/>
          <w:lang w:eastAsia="en-IN"/>
        </w:rPr>
        <w:t>ood price inflation and real household incomes changed consumer behaviour to value and private label. In literature on economic issues and UK government/think-tank reports, record high demand substitution and trading down in grocery purchases in times of high inflation (</w:t>
      </w:r>
      <w:proofErr w:type="spellStart"/>
      <w:r w:rsidRPr="00746DEF">
        <w:rPr>
          <w:rFonts w:ascii="Arial" w:hAnsi="Arial" w:cs="Arial"/>
          <w:szCs w:val="24"/>
          <w:lang w:eastAsia="en-IN"/>
        </w:rPr>
        <w:t>NatCen</w:t>
      </w:r>
      <w:proofErr w:type="spellEnd"/>
      <w:r w:rsidRPr="00746DEF">
        <w:rPr>
          <w:rFonts w:ascii="Arial" w:hAnsi="Arial" w:cs="Arial"/>
          <w:szCs w:val="24"/>
          <w:lang w:eastAsia="en-IN"/>
        </w:rPr>
        <w:t xml:space="preserve"> Social Research, 2023).</w:t>
      </w:r>
    </w:p>
    <w:p w14:paraId="10BDCAF2" w14:textId="45BE89ED" w:rsidR="00DD6CFE" w:rsidRPr="00746DEF" w:rsidRDefault="00DD6CFE" w:rsidP="006B4E52">
      <w:pPr>
        <w:rPr>
          <w:rFonts w:ascii="Arial" w:hAnsi="Arial" w:cs="Arial"/>
          <w:szCs w:val="24"/>
          <w:lang w:eastAsia="en-IN"/>
        </w:rPr>
      </w:pPr>
      <w:r w:rsidRPr="00B275E4">
        <w:rPr>
          <w:rFonts w:ascii="Arial" w:hAnsi="Arial" w:cs="Arial"/>
          <w:b/>
          <w:bCs/>
          <w:szCs w:val="24"/>
          <w:lang w:eastAsia="en-IN"/>
        </w:rPr>
        <w:t>Sainsbury (pioneer):</w:t>
      </w:r>
      <w:r w:rsidRPr="00746DEF">
        <w:rPr>
          <w:rFonts w:ascii="Arial" w:hAnsi="Arial" w:cs="Arial"/>
          <w:szCs w:val="24"/>
          <w:lang w:eastAsia="en-IN"/>
        </w:rPr>
        <w:t xml:space="preserve"> A major retailer that has a multi-channel presence can use its own labels, leverage economies of scale buying to maintain profit margins, use loyalty data to implement targeted promotions, and divert customers to own-brand items with higher profit margins. The strategic statements that Sainsbury attributes to itself include the focus on value and application of Nectar understanding as a way of retaining customers in the face of economic strain. Nonetheless, macro weakness minimises total basket sizes that influence growth in the top line and necessitates revenue management in margins (Sainsbury, 2025).</w:t>
      </w:r>
    </w:p>
    <w:p w14:paraId="5C1F556B" w14:textId="019AF217" w:rsidR="00DD6CFE" w:rsidRPr="00746DEF" w:rsidRDefault="00DD6CFE" w:rsidP="006B4E52">
      <w:pPr>
        <w:rPr>
          <w:rFonts w:ascii="Arial" w:hAnsi="Arial" w:cs="Arial"/>
          <w:szCs w:val="24"/>
          <w:lang w:eastAsia="en-IN"/>
        </w:rPr>
      </w:pPr>
      <w:r w:rsidRPr="00746DEF">
        <w:rPr>
          <w:rFonts w:ascii="Arial" w:hAnsi="Arial" w:cs="Arial"/>
          <w:b/>
          <w:bCs/>
          <w:szCs w:val="24"/>
          <w:lang w:eastAsia="en-IN"/>
        </w:rPr>
        <w:t>Co-op (follower):</w:t>
      </w:r>
      <w:r w:rsidRPr="00746DEF">
        <w:rPr>
          <w:rFonts w:ascii="Arial" w:hAnsi="Arial" w:cs="Arial"/>
          <w:szCs w:val="24"/>
          <w:lang w:eastAsia="en-IN"/>
        </w:rPr>
        <w:t xml:space="preserve"> Co-op community, convenience positioning. Co-op tends to be situated in the small format stores, which are more susceptible to the cost of inflation (increased per-unit logistic and operating costs). However, member model and ethical positioning can build loyalty during tough times at Co-op. Nevertheless, the consumers who are price-sensitive can switch to discounters, which will be a threat to the top line of Co-op (Co-operative Group Digital, 2023).</w:t>
      </w:r>
    </w:p>
    <w:p w14:paraId="391CC9DB" w14:textId="4C51604F" w:rsidR="00DD6CFE" w:rsidRPr="00746DEF" w:rsidRDefault="00DD6CFE" w:rsidP="006B4E52">
      <w:pPr>
        <w:rPr>
          <w:rFonts w:ascii="Arial" w:hAnsi="Arial" w:cs="Arial"/>
          <w:szCs w:val="24"/>
          <w:lang w:eastAsia="en-IN"/>
        </w:rPr>
      </w:pPr>
      <w:r w:rsidRPr="00746DEF">
        <w:rPr>
          <w:rFonts w:ascii="Arial" w:hAnsi="Arial" w:cs="Arial"/>
          <w:b/>
          <w:bCs/>
          <w:szCs w:val="24"/>
          <w:lang w:eastAsia="en-IN"/>
        </w:rPr>
        <w:t>Net effect (retail):</w:t>
      </w:r>
      <w:r w:rsidRPr="00746DEF">
        <w:rPr>
          <w:rFonts w:ascii="Arial" w:hAnsi="Arial" w:cs="Arial"/>
          <w:szCs w:val="24"/>
          <w:lang w:eastAsia="en-IN"/>
        </w:rPr>
        <w:t xml:space="preserve"> Economic stress raises price sensitivity</w:t>
      </w:r>
      <w:r w:rsidR="006D0D1C">
        <w:rPr>
          <w:rFonts w:ascii="Arial" w:hAnsi="Arial" w:cs="Arial"/>
          <w:szCs w:val="24"/>
          <w:lang w:eastAsia="en-IN"/>
        </w:rPr>
        <w:t>. Under such circumstances,</w:t>
      </w:r>
      <w:r w:rsidRPr="00746DEF">
        <w:rPr>
          <w:rFonts w:ascii="Arial" w:hAnsi="Arial" w:cs="Arial"/>
          <w:szCs w:val="24"/>
          <w:lang w:eastAsia="en-IN"/>
        </w:rPr>
        <w:t xml:space="preserve"> scale and data pioneers can rely on targeted pricing and private label strategies to protect share, whereas followers have to depend on loyalty, convenience and local differentiation to keep customers.</w:t>
      </w:r>
    </w:p>
    <w:p w14:paraId="2078A430" w14:textId="428FB812" w:rsidR="00DD6CFE" w:rsidRPr="00B275E4" w:rsidRDefault="00B275E4" w:rsidP="006B4E52">
      <w:pPr>
        <w:rPr>
          <w:rFonts w:ascii="Arial" w:hAnsi="Arial" w:cs="Arial"/>
          <w:b/>
          <w:bCs/>
          <w:i/>
          <w:iCs/>
          <w:szCs w:val="24"/>
          <w:lang w:eastAsia="en-IN"/>
        </w:rPr>
      </w:pPr>
      <w:r w:rsidRPr="00B275E4">
        <w:rPr>
          <w:rFonts w:ascii="Arial" w:hAnsi="Arial" w:cs="Arial"/>
          <w:b/>
          <w:bCs/>
          <w:i/>
          <w:iCs/>
          <w:szCs w:val="24"/>
          <w:lang w:eastAsia="en-IN"/>
        </w:rPr>
        <w:lastRenderedPageBreak/>
        <w:t>Opportunities and Threats in the UK</w:t>
      </w:r>
      <w:r w:rsidR="00DD6CFE" w:rsidRPr="00B275E4">
        <w:rPr>
          <w:rFonts w:ascii="Arial" w:hAnsi="Arial" w:cs="Arial"/>
          <w:b/>
          <w:bCs/>
          <w:i/>
          <w:iCs/>
          <w:szCs w:val="24"/>
          <w:lang w:eastAsia="en-IN"/>
        </w:rPr>
        <w:t xml:space="preserve"> Telecommunication</w:t>
      </w:r>
      <w:r>
        <w:rPr>
          <w:rFonts w:ascii="Arial" w:hAnsi="Arial" w:cs="Arial"/>
          <w:b/>
          <w:bCs/>
          <w:i/>
          <w:iCs/>
          <w:szCs w:val="24"/>
          <w:lang w:eastAsia="en-IN"/>
        </w:rPr>
        <w:t xml:space="preserve"> Sector</w:t>
      </w:r>
      <w:r w:rsidR="00DD6CFE" w:rsidRPr="00B275E4">
        <w:rPr>
          <w:rFonts w:ascii="Arial" w:hAnsi="Arial" w:cs="Arial"/>
          <w:b/>
          <w:bCs/>
          <w:i/>
          <w:iCs/>
          <w:szCs w:val="24"/>
          <w:lang w:eastAsia="en-IN"/>
        </w:rPr>
        <w:t>: BT vs Virgin Media</w:t>
      </w:r>
    </w:p>
    <w:p w14:paraId="4F3F7FCE" w14:textId="44609ABA" w:rsidR="00DD6CFE" w:rsidRPr="00746DEF" w:rsidRDefault="006D0D1C" w:rsidP="006B4E52">
      <w:pPr>
        <w:rPr>
          <w:rFonts w:ascii="Arial" w:hAnsi="Arial" w:cs="Arial"/>
          <w:szCs w:val="24"/>
          <w:lang w:eastAsia="en-IN"/>
        </w:rPr>
      </w:pPr>
      <w:r>
        <w:rPr>
          <w:rFonts w:ascii="Arial" w:hAnsi="Arial" w:cs="Arial"/>
          <w:szCs w:val="24"/>
          <w:lang w:eastAsia="en-IN"/>
        </w:rPr>
        <w:t xml:space="preserve">As understood from the findings of </w:t>
      </w:r>
      <w:proofErr w:type="spellStart"/>
      <w:r w:rsidRPr="006D0D1C">
        <w:rPr>
          <w:rFonts w:ascii="Arial" w:hAnsi="Arial" w:cs="Arial"/>
          <w:szCs w:val="24"/>
          <w:lang w:eastAsia="en-IN"/>
        </w:rPr>
        <w:t>Akhoundova</w:t>
      </w:r>
      <w:proofErr w:type="spellEnd"/>
      <w:r w:rsidRPr="006D0D1C">
        <w:rPr>
          <w:rFonts w:ascii="Arial" w:hAnsi="Arial" w:cs="Arial"/>
          <w:szCs w:val="24"/>
          <w:lang w:eastAsia="en-IN"/>
        </w:rPr>
        <w:t xml:space="preserve"> </w:t>
      </w:r>
      <w:r>
        <w:rPr>
          <w:rFonts w:ascii="Arial" w:hAnsi="Arial" w:cs="Arial"/>
          <w:szCs w:val="24"/>
          <w:lang w:eastAsia="en-IN"/>
        </w:rPr>
        <w:t>et al. (2025), t</w:t>
      </w:r>
      <w:r w:rsidR="00DD6CFE" w:rsidRPr="00746DEF">
        <w:rPr>
          <w:rFonts w:ascii="Arial" w:hAnsi="Arial" w:cs="Arial"/>
          <w:szCs w:val="24"/>
          <w:lang w:eastAsia="en-IN"/>
        </w:rPr>
        <w:t>he demand in the telecom industry is not that much price-sensitive with core connectivity, whereas the demand for discretionary services (premium pin, content packages) is budget-elastic in the household. The saturation of the market in terms of subscriptions puts an accent on the reduction of churn and management of ARPU (average revenue per user). According to industry and company reports, telecoms came under pressure yet stayed strong because of the necessity of services.</w:t>
      </w:r>
    </w:p>
    <w:p w14:paraId="54D34C8A" w14:textId="35F1A142" w:rsidR="00DD6CFE" w:rsidRPr="00746DEF" w:rsidRDefault="00DD6CFE" w:rsidP="006B4E52">
      <w:pPr>
        <w:rPr>
          <w:rFonts w:ascii="Arial" w:hAnsi="Arial" w:cs="Arial"/>
          <w:szCs w:val="24"/>
          <w:lang w:eastAsia="en-IN"/>
        </w:rPr>
      </w:pPr>
      <w:r w:rsidRPr="00B275E4">
        <w:rPr>
          <w:rFonts w:ascii="Arial" w:hAnsi="Arial" w:cs="Arial"/>
          <w:b/>
          <w:bCs/>
          <w:szCs w:val="24"/>
          <w:lang w:eastAsia="en-IN"/>
        </w:rPr>
        <w:t>BT (pioneer):</w:t>
      </w:r>
      <w:r w:rsidRPr="00746DEF">
        <w:rPr>
          <w:rFonts w:ascii="Arial" w:hAnsi="Arial" w:cs="Arial"/>
          <w:szCs w:val="24"/>
          <w:lang w:eastAsia="en-IN"/>
        </w:rPr>
        <w:t xml:space="preserve"> Capacity established in expansion phases can be utilised to fulfil demand, enabling it to upsell the more expensive services</w:t>
      </w:r>
      <w:r w:rsidR="00714C5A">
        <w:rPr>
          <w:rFonts w:ascii="Arial" w:hAnsi="Arial" w:cs="Arial"/>
          <w:szCs w:val="24"/>
          <w:lang w:eastAsia="en-IN"/>
        </w:rPr>
        <w:t>. H</w:t>
      </w:r>
      <w:r w:rsidRPr="00746DEF">
        <w:rPr>
          <w:rFonts w:ascii="Arial" w:hAnsi="Arial" w:cs="Arial"/>
          <w:szCs w:val="24"/>
          <w:lang w:eastAsia="en-IN"/>
        </w:rPr>
        <w:t>owever, the recession leads to an increased analysis of CAPEX and demand for network projects to clearly demonstrate a payback to the network. According to recent reports, BT focuses on disciplined investment and targets returns on fibre rollouts (BT Group, 2025).</w:t>
      </w:r>
    </w:p>
    <w:p w14:paraId="492C3AD3" w14:textId="5FE9F78B" w:rsidR="00DD6CFE" w:rsidRPr="00746DEF" w:rsidRDefault="00DD6CFE" w:rsidP="006B4E52">
      <w:pPr>
        <w:rPr>
          <w:rFonts w:ascii="Arial" w:hAnsi="Arial" w:cs="Arial"/>
          <w:szCs w:val="24"/>
          <w:lang w:eastAsia="en-IN"/>
        </w:rPr>
      </w:pPr>
      <w:r w:rsidRPr="00746DEF">
        <w:rPr>
          <w:rFonts w:ascii="Arial" w:hAnsi="Arial" w:cs="Arial"/>
          <w:b/>
          <w:bCs/>
          <w:szCs w:val="24"/>
          <w:lang w:eastAsia="en-IN"/>
        </w:rPr>
        <w:t>Virgin Media (follower):</w:t>
      </w:r>
      <w:r w:rsidRPr="00746DEF">
        <w:rPr>
          <w:rFonts w:ascii="Arial" w:hAnsi="Arial" w:cs="Arial"/>
          <w:szCs w:val="24"/>
          <w:lang w:eastAsia="en-IN"/>
        </w:rPr>
        <w:t xml:space="preserve"> Churners can be bought through pricing promotions and bundling (e.g. TV + broadband + mobile), in economic times of stress, but households with a tight budget could reduce premium add-ons, putting pressure on ARPU. The financial reports of the joint venture highlight the significance of bundling and convergence to reduce churn risk (Virgin Media O2, 2023).</w:t>
      </w:r>
    </w:p>
    <w:p w14:paraId="40D991AF" w14:textId="132AD580" w:rsidR="00DD6CFE" w:rsidRPr="00746DEF" w:rsidRDefault="00DD6CFE" w:rsidP="006B4E52">
      <w:pPr>
        <w:rPr>
          <w:rFonts w:ascii="Arial" w:hAnsi="Arial" w:cs="Arial"/>
          <w:szCs w:val="24"/>
          <w:lang w:eastAsia="en-IN"/>
        </w:rPr>
      </w:pPr>
      <w:r w:rsidRPr="00746DEF">
        <w:rPr>
          <w:rFonts w:ascii="Arial" w:hAnsi="Arial" w:cs="Arial"/>
          <w:b/>
          <w:bCs/>
          <w:szCs w:val="24"/>
          <w:lang w:eastAsia="en-IN"/>
        </w:rPr>
        <w:t>Net effect (telecoms):</w:t>
      </w:r>
      <w:r w:rsidRPr="00746DEF">
        <w:rPr>
          <w:rFonts w:ascii="Arial" w:hAnsi="Arial" w:cs="Arial"/>
          <w:szCs w:val="24"/>
          <w:lang w:eastAsia="en-IN"/>
        </w:rPr>
        <w:t xml:space="preserve"> Economic conditions moderate discretionary spend; connectivity is a core service - pioneers with scale can safeguard margins through service differentiation; followers are forced to compete by price, bundle and customer </w:t>
      </w:r>
      <w:r w:rsidR="00931B53" w:rsidRPr="00746DEF">
        <w:rPr>
          <w:rFonts w:ascii="Arial" w:hAnsi="Arial" w:cs="Arial"/>
          <w:szCs w:val="24"/>
          <w:lang w:eastAsia="en-IN"/>
        </w:rPr>
        <w:t>experience (Virgin Media O2, 2023)</w:t>
      </w:r>
      <w:r w:rsidRPr="00746DEF">
        <w:rPr>
          <w:rFonts w:ascii="Arial" w:hAnsi="Arial" w:cs="Arial"/>
          <w:szCs w:val="24"/>
          <w:lang w:eastAsia="en-IN"/>
        </w:rPr>
        <w:t>.</w:t>
      </w:r>
    </w:p>
    <w:p w14:paraId="34D4DAD7" w14:textId="77777777" w:rsidR="001B5F0A" w:rsidRDefault="001B5F0A" w:rsidP="001B5F0A">
      <w:pPr>
        <w:rPr>
          <w:lang w:eastAsia="en-IN"/>
        </w:rPr>
      </w:pPr>
    </w:p>
    <w:p w14:paraId="5917739A" w14:textId="508D8270" w:rsidR="00DD6CFE" w:rsidRPr="00746DEF" w:rsidRDefault="001B5F0A" w:rsidP="006B4E52">
      <w:pPr>
        <w:pStyle w:val="Heading1"/>
        <w:rPr>
          <w:rFonts w:ascii="Arial" w:hAnsi="Arial" w:cs="Arial"/>
          <w:sz w:val="24"/>
          <w:szCs w:val="24"/>
          <w:lang w:eastAsia="en-IN"/>
        </w:rPr>
      </w:pPr>
      <w:bookmarkStart w:id="5" w:name="_Toc214544579"/>
      <w:r>
        <w:rPr>
          <w:rFonts w:ascii="Arial" w:hAnsi="Arial" w:cs="Arial"/>
          <w:sz w:val="24"/>
          <w:szCs w:val="24"/>
          <w:lang w:eastAsia="en-IN"/>
        </w:rPr>
        <w:t xml:space="preserve">3.0 </w:t>
      </w:r>
      <w:r w:rsidR="00DD6CFE" w:rsidRPr="00746DEF">
        <w:rPr>
          <w:rFonts w:ascii="Arial" w:hAnsi="Arial" w:cs="Arial"/>
          <w:sz w:val="24"/>
          <w:szCs w:val="24"/>
          <w:lang w:eastAsia="en-IN"/>
        </w:rPr>
        <w:t>Task 2</w:t>
      </w:r>
      <w:r>
        <w:rPr>
          <w:rFonts w:ascii="Arial" w:hAnsi="Arial" w:cs="Arial"/>
          <w:sz w:val="24"/>
          <w:szCs w:val="24"/>
          <w:lang w:eastAsia="en-IN"/>
        </w:rPr>
        <w:t>:</w:t>
      </w:r>
      <w:r w:rsidR="00DD6CFE" w:rsidRPr="00746DEF">
        <w:rPr>
          <w:rFonts w:ascii="Arial" w:hAnsi="Arial" w:cs="Arial"/>
          <w:sz w:val="24"/>
          <w:szCs w:val="24"/>
          <w:lang w:eastAsia="en-IN"/>
        </w:rPr>
        <w:t xml:space="preserve"> Strategic Responses</w:t>
      </w:r>
      <w:bookmarkEnd w:id="5"/>
    </w:p>
    <w:p w14:paraId="73BAB4DC" w14:textId="523F69DA" w:rsidR="00DD6CFE" w:rsidRPr="00746DEF" w:rsidRDefault="00DD6CFE" w:rsidP="006B4E52">
      <w:pPr>
        <w:pStyle w:val="Heading2"/>
        <w:rPr>
          <w:rFonts w:ascii="Arial" w:hAnsi="Arial" w:cs="Arial"/>
          <w:szCs w:val="24"/>
          <w:lang w:eastAsia="en-IN"/>
        </w:rPr>
      </w:pPr>
      <w:bookmarkStart w:id="6" w:name="_Toc214544580"/>
      <w:r w:rsidRPr="00746DEF">
        <w:rPr>
          <w:rFonts w:ascii="Arial" w:hAnsi="Arial" w:cs="Arial"/>
          <w:szCs w:val="24"/>
          <w:lang w:eastAsia="en-IN"/>
        </w:rPr>
        <w:t xml:space="preserve">3.1 Retail </w:t>
      </w:r>
      <w:r w:rsidR="007B2913">
        <w:rPr>
          <w:rFonts w:ascii="Arial" w:hAnsi="Arial" w:cs="Arial"/>
          <w:szCs w:val="24"/>
          <w:lang w:eastAsia="en-IN"/>
        </w:rPr>
        <w:t>sector</w:t>
      </w:r>
      <w:r w:rsidRPr="00746DEF">
        <w:rPr>
          <w:rFonts w:ascii="Arial" w:hAnsi="Arial" w:cs="Arial"/>
          <w:szCs w:val="24"/>
          <w:lang w:eastAsia="en-IN"/>
        </w:rPr>
        <w:t>: Sainsbury (innovator) vs Co-op (mimic)</w:t>
      </w:r>
      <w:bookmarkEnd w:id="6"/>
    </w:p>
    <w:p w14:paraId="5CB942F2" w14:textId="7574C496" w:rsidR="00DD6CFE" w:rsidRPr="00746DEF" w:rsidRDefault="00DD6CFE" w:rsidP="006B4E52">
      <w:pPr>
        <w:rPr>
          <w:rFonts w:ascii="Arial" w:hAnsi="Arial" w:cs="Arial"/>
          <w:b/>
          <w:bCs/>
          <w:szCs w:val="24"/>
          <w:lang w:eastAsia="en-IN"/>
        </w:rPr>
      </w:pPr>
      <w:r w:rsidRPr="00746DEF">
        <w:rPr>
          <w:rFonts w:ascii="Arial" w:hAnsi="Arial" w:cs="Arial"/>
          <w:b/>
          <w:bCs/>
          <w:szCs w:val="24"/>
          <w:lang w:eastAsia="en-IN"/>
        </w:rPr>
        <w:t xml:space="preserve">Sainsbury-Pioneer strategic </w:t>
      </w:r>
      <w:r w:rsidR="00DA6732">
        <w:rPr>
          <w:rFonts w:ascii="Arial" w:hAnsi="Arial" w:cs="Arial"/>
          <w:b/>
          <w:bCs/>
          <w:szCs w:val="24"/>
          <w:lang w:eastAsia="en-IN"/>
        </w:rPr>
        <w:t>responses</w:t>
      </w:r>
      <w:r w:rsidR="00E262B2" w:rsidRPr="00746DEF">
        <w:rPr>
          <w:rFonts w:ascii="Arial" w:hAnsi="Arial" w:cs="Arial"/>
          <w:b/>
          <w:bCs/>
          <w:szCs w:val="24"/>
          <w:lang w:eastAsia="en-IN"/>
        </w:rPr>
        <w:t>:</w:t>
      </w:r>
    </w:p>
    <w:p w14:paraId="4A4A34D3" w14:textId="09FD1489" w:rsidR="00DD6CFE" w:rsidRDefault="00DD6CFE" w:rsidP="006B4E52">
      <w:pPr>
        <w:rPr>
          <w:rFonts w:ascii="Arial" w:hAnsi="Arial" w:cs="Arial"/>
          <w:szCs w:val="24"/>
          <w:lang w:eastAsia="en-IN"/>
        </w:rPr>
      </w:pPr>
      <w:r w:rsidRPr="007F21B6">
        <w:rPr>
          <w:rFonts w:ascii="Arial" w:hAnsi="Arial" w:cs="Arial"/>
          <w:b/>
          <w:bCs/>
          <w:i/>
          <w:iCs/>
          <w:szCs w:val="24"/>
          <w:lang w:eastAsia="en-IN"/>
        </w:rPr>
        <w:t>Data monetisation/personalised marketing</w:t>
      </w:r>
      <w:r w:rsidR="007F21B6">
        <w:rPr>
          <w:rFonts w:ascii="Arial" w:hAnsi="Arial" w:cs="Arial"/>
          <w:szCs w:val="24"/>
          <w:lang w:eastAsia="en-IN"/>
        </w:rPr>
        <w:t>:</w:t>
      </w:r>
      <w:r w:rsidRPr="00746DEF">
        <w:rPr>
          <w:rFonts w:ascii="Arial" w:hAnsi="Arial" w:cs="Arial"/>
          <w:szCs w:val="24"/>
          <w:lang w:eastAsia="en-IN"/>
        </w:rPr>
        <w:t xml:space="preserve"> </w:t>
      </w:r>
      <w:r w:rsidR="00D662A3" w:rsidRPr="00746DEF">
        <w:rPr>
          <w:rFonts w:ascii="Arial" w:hAnsi="Arial" w:cs="Arial"/>
          <w:szCs w:val="24"/>
          <w:lang w:eastAsia="en-IN"/>
        </w:rPr>
        <w:t>Sainsbury's</w:t>
      </w:r>
      <w:r w:rsidRPr="00746DEF">
        <w:rPr>
          <w:rFonts w:ascii="Arial" w:hAnsi="Arial" w:cs="Arial"/>
          <w:szCs w:val="24"/>
          <w:lang w:eastAsia="en-IN"/>
        </w:rPr>
        <w:t xml:space="preserve"> is expanding Nectar360 retail media, and leveraging loyalty data to make targeted offers and advertise to third parties</w:t>
      </w:r>
      <w:r w:rsidR="007B2913">
        <w:rPr>
          <w:rFonts w:ascii="Arial" w:hAnsi="Arial" w:cs="Arial"/>
          <w:szCs w:val="24"/>
          <w:lang w:eastAsia="en-IN"/>
        </w:rPr>
        <w:t xml:space="preserve">. This </w:t>
      </w:r>
      <w:r w:rsidR="00377711">
        <w:rPr>
          <w:rFonts w:ascii="Arial" w:hAnsi="Arial" w:cs="Arial"/>
          <w:szCs w:val="24"/>
          <w:lang w:eastAsia="en-IN"/>
        </w:rPr>
        <w:t xml:space="preserve">will enable customers to save </w:t>
      </w:r>
      <w:r w:rsidR="00377711" w:rsidRPr="00377711">
        <w:rPr>
          <w:rFonts w:ascii="Arial" w:hAnsi="Arial" w:cs="Arial"/>
          <w:szCs w:val="24"/>
          <w:lang w:eastAsia="en-IN"/>
        </w:rPr>
        <w:t>£13</w:t>
      </w:r>
      <w:r w:rsidR="00377711">
        <w:rPr>
          <w:rFonts w:ascii="Arial" w:hAnsi="Arial" w:cs="Arial"/>
          <w:szCs w:val="24"/>
          <w:lang w:eastAsia="en-IN"/>
        </w:rPr>
        <w:t>-</w:t>
      </w:r>
      <w:r w:rsidR="00377711" w:rsidRPr="00377711">
        <w:rPr>
          <w:rFonts w:ascii="Arial" w:hAnsi="Arial" w:cs="Arial"/>
          <w:szCs w:val="24"/>
          <w:lang w:eastAsia="en-IN"/>
        </w:rPr>
        <w:t>£</w:t>
      </w:r>
      <w:r w:rsidR="00377711">
        <w:rPr>
          <w:rFonts w:ascii="Arial" w:hAnsi="Arial" w:cs="Arial"/>
          <w:szCs w:val="24"/>
          <w:lang w:eastAsia="en-IN"/>
        </w:rPr>
        <w:t xml:space="preserve">80 on weekly shopping. Already customers have saved </w:t>
      </w:r>
      <w:r w:rsidR="00377711" w:rsidRPr="00377711">
        <w:rPr>
          <w:rFonts w:ascii="Arial" w:hAnsi="Arial" w:cs="Arial"/>
          <w:szCs w:val="24"/>
          <w:lang w:eastAsia="en-IN"/>
        </w:rPr>
        <w:t>£</w:t>
      </w:r>
      <w:r w:rsidR="00377711">
        <w:rPr>
          <w:rFonts w:ascii="Arial" w:hAnsi="Arial" w:cs="Arial"/>
          <w:szCs w:val="24"/>
          <w:lang w:eastAsia="en-IN"/>
        </w:rPr>
        <w:t>2 billion in 2024/25</w:t>
      </w:r>
      <w:r w:rsidR="00377711" w:rsidRPr="00377711">
        <w:rPr>
          <w:rFonts w:ascii="Arial" w:hAnsi="Arial" w:cs="Arial"/>
          <w:szCs w:val="24"/>
          <w:lang w:eastAsia="en-IN"/>
        </w:rPr>
        <w:t xml:space="preserve"> </w:t>
      </w:r>
      <w:r w:rsidR="00377711" w:rsidRPr="00746DEF">
        <w:rPr>
          <w:rFonts w:ascii="Arial" w:hAnsi="Arial" w:cs="Arial"/>
          <w:szCs w:val="24"/>
          <w:lang w:eastAsia="en-IN"/>
        </w:rPr>
        <w:t>(Sainsbury, 2025)</w:t>
      </w:r>
      <w:r w:rsidRPr="00746DEF">
        <w:rPr>
          <w:rFonts w:ascii="Arial" w:hAnsi="Arial" w:cs="Arial"/>
          <w:szCs w:val="24"/>
          <w:lang w:eastAsia="en-IN"/>
        </w:rPr>
        <w:t xml:space="preserve">. Such strategic </w:t>
      </w:r>
      <w:r w:rsidRPr="00746DEF">
        <w:rPr>
          <w:rFonts w:ascii="Arial" w:hAnsi="Arial" w:cs="Arial"/>
          <w:szCs w:val="24"/>
          <w:lang w:eastAsia="en-IN"/>
        </w:rPr>
        <w:lastRenderedPageBreak/>
        <w:t>exploitation of the first-party data is a textbook pioneer solution to transform the benefit of data in the form of new revenue and to funnel the customers in with improved personalisation.</w:t>
      </w:r>
    </w:p>
    <w:p w14:paraId="069E8F66" w14:textId="2A4E01C4" w:rsidR="007B2913" w:rsidRDefault="007B2913" w:rsidP="007B2913">
      <w:pPr>
        <w:jc w:val="center"/>
        <w:rPr>
          <w:rFonts w:ascii="Arial" w:hAnsi="Arial" w:cs="Arial"/>
          <w:szCs w:val="24"/>
          <w:lang w:eastAsia="en-IN"/>
        </w:rPr>
      </w:pPr>
      <w:r w:rsidRPr="007B2913">
        <w:rPr>
          <w:rFonts w:ascii="Arial" w:hAnsi="Arial" w:cs="Arial"/>
          <w:noProof/>
          <w:szCs w:val="24"/>
          <w:lang w:eastAsia="en-IN"/>
        </w:rPr>
        <w:drawing>
          <wp:inline distT="0" distB="0" distL="0" distR="0" wp14:anchorId="0DA697EB" wp14:editId="1F1F70E0">
            <wp:extent cx="5382476" cy="2790825"/>
            <wp:effectExtent l="0" t="0" r="8890" b="0"/>
            <wp:docPr id="814980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980651" name=""/>
                    <pic:cNvPicPr/>
                  </pic:nvPicPr>
                  <pic:blipFill>
                    <a:blip r:embed="rId12"/>
                    <a:stretch>
                      <a:fillRect/>
                    </a:stretch>
                  </pic:blipFill>
                  <pic:spPr>
                    <a:xfrm>
                      <a:off x="0" y="0"/>
                      <a:ext cx="5385256" cy="2792266"/>
                    </a:xfrm>
                    <a:prstGeom prst="rect">
                      <a:avLst/>
                    </a:prstGeom>
                  </pic:spPr>
                </pic:pic>
              </a:graphicData>
            </a:graphic>
          </wp:inline>
        </w:drawing>
      </w:r>
    </w:p>
    <w:p w14:paraId="3A5B8B00" w14:textId="3CA78A60" w:rsidR="009A7DEF" w:rsidRDefault="009A7DEF" w:rsidP="007B2913">
      <w:pPr>
        <w:jc w:val="center"/>
        <w:rPr>
          <w:rFonts w:ascii="Arial" w:hAnsi="Arial" w:cs="Arial"/>
          <w:szCs w:val="24"/>
          <w:lang w:eastAsia="en-IN"/>
        </w:rPr>
      </w:pPr>
      <w:r w:rsidRPr="009A7DEF">
        <w:rPr>
          <w:rFonts w:ascii="Arial" w:hAnsi="Arial" w:cs="Arial"/>
          <w:noProof/>
          <w:szCs w:val="24"/>
          <w:lang w:eastAsia="en-IN"/>
        </w:rPr>
        <w:drawing>
          <wp:inline distT="0" distB="0" distL="0" distR="0" wp14:anchorId="02744B89" wp14:editId="6BB02745">
            <wp:extent cx="6218526" cy="3433762"/>
            <wp:effectExtent l="0" t="0" r="0" b="0"/>
            <wp:docPr id="469718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718125" name=""/>
                    <pic:cNvPicPr/>
                  </pic:nvPicPr>
                  <pic:blipFill>
                    <a:blip r:embed="rId13"/>
                    <a:stretch>
                      <a:fillRect/>
                    </a:stretch>
                  </pic:blipFill>
                  <pic:spPr>
                    <a:xfrm>
                      <a:off x="0" y="0"/>
                      <a:ext cx="6222164" cy="3435771"/>
                    </a:xfrm>
                    <a:prstGeom prst="rect">
                      <a:avLst/>
                    </a:prstGeom>
                  </pic:spPr>
                </pic:pic>
              </a:graphicData>
            </a:graphic>
          </wp:inline>
        </w:drawing>
      </w:r>
    </w:p>
    <w:p w14:paraId="00642DF5" w14:textId="511D38B3" w:rsidR="007B2913" w:rsidRPr="00746DEF" w:rsidRDefault="007B2913" w:rsidP="007B2913">
      <w:pPr>
        <w:jc w:val="center"/>
        <w:rPr>
          <w:rFonts w:ascii="Arial" w:hAnsi="Arial" w:cs="Arial"/>
          <w:b/>
          <w:bCs/>
          <w:szCs w:val="24"/>
          <w:lang w:eastAsia="en-IN"/>
        </w:rPr>
      </w:pPr>
      <w:r w:rsidRPr="00746DEF">
        <w:rPr>
          <w:rFonts w:ascii="Arial" w:hAnsi="Arial" w:cs="Arial"/>
          <w:b/>
          <w:bCs/>
          <w:szCs w:val="24"/>
          <w:lang w:eastAsia="en-IN"/>
        </w:rPr>
        <w:t xml:space="preserve">Figure </w:t>
      </w:r>
      <w:r>
        <w:rPr>
          <w:rFonts w:ascii="Arial" w:hAnsi="Arial" w:cs="Arial"/>
          <w:b/>
          <w:bCs/>
          <w:szCs w:val="24"/>
          <w:lang w:eastAsia="en-IN"/>
        </w:rPr>
        <w:t>4</w:t>
      </w:r>
      <w:r w:rsidRPr="00746DEF">
        <w:rPr>
          <w:rFonts w:ascii="Arial" w:hAnsi="Arial" w:cs="Arial"/>
          <w:b/>
          <w:bCs/>
          <w:szCs w:val="24"/>
          <w:lang w:eastAsia="en-IN"/>
        </w:rPr>
        <w:t>:</w:t>
      </w:r>
      <w:r w:rsidRPr="00746DEF">
        <w:rPr>
          <w:rFonts w:ascii="Arial" w:hAnsi="Arial" w:cs="Arial"/>
          <w:szCs w:val="24"/>
          <w:lang w:eastAsia="en-IN"/>
        </w:rPr>
        <w:t xml:space="preserve"> </w:t>
      </w:r>
      <w:r w:rsidR="009A7DEF" w:rsidRPr="009A7DEF">
        <w:rPr>
          <w:rFonts w:ascii="Arial" w:hAnsi="Arial" w:cs="Arial"/>
          <w:b/>
          <w:bCs/>
          <w:szCs w:val="24"/>
          <w:lang w:eastAsia="en-IN"/>
        </w:rPr>
        <w:t>Nectar360</w:t>
      </w:r>
      <w:r w:rsidR="009A7DEF">
        <w:rPr>
          <w:rFonts w:ascii="Arial" w:hAnsi="Arial" w:cs="Arial"/>
          <w:b/>
          <w:bCs/>
          <w:szCs w:val="24"/>
          <w:lang w:eastAsia="en-IN"/>
        </w:rPr>
        <w:t xml:space="preserve"> of Sainsbury</w:t>
      </w:r>
    </w:p>
    <w:p w14:paraId="5903C332" w14:textId="2DFC2C7F" w:rsidR="007B2913" w:rsidRPr="00746DEF" w:rsidRDefault="007B2913" w:rsidP="007B2913">
      <w:pPr>
        <w:jc w:val="center"/>
        <w:rPr>
          <w:rFonts w:ascii="Arial" w:hAnsi="Arial" w:cs="Arial"/>
          <w:szCs w:val="24"/>
          <w:lang w:eastAsia="en-IN"/>
        </w:rPr>
      </w:pPr>
      <w:r>
        <w:rPr>
          <w:rFonts w:ascii="Arial" w:hAnsi="Arial" w:cs="Arial"/>
          <w:szCs w:val="24"/>
          <w:lang w:eastAsia="en-IN"/>
        </w:rPr>
        <w:t>(</w:t>
      </w:r>
      <w:r w:rsidRPr="00746DEF">
        <w:rPr>
          <w:rFonts w:ascii="Arial" w:hAnsi="Arial" w:cs="Arial"/>
          <w:szCs w:val="24"/>
          <w:lang w:eastAsia="en-IN"/>
        </w:rPr>
        <w:t>Source:</w:t>
      </w:r>
      <w:r>
        <w:rPr>
          <w:rFonts w:ascii="Arial" w:hAnsi="Arial" w:cs="Arial"/>
          <w:szCs w:val="24"/>
          <w:lang w:eastAsia="en-IN"/>
        </w:rPr>
        <w:t xml:space="preserve"> </w:t>
      </w:r>
      <w:r w:rsidR="00377711" w:rsidRPr="00746DEF">
        <w:rPr>
          <w:rFonts w:ascii="Arial" w:hAnsi="Arial" w:cs="Arial"/>
          <w:szCs w:val="24"/>
        </w:rPr>
        <w:t>Sainsbury</w:t>
      </w:r>
      <w:r w:rsidR="00377711">
        <w:rPr>
          <w:rFonts w:ascii="Arial" w:hAnsi="Arial" w:cs="Arial"/>
          <w:szCs w:val="24"/>
        </w:rPr>
        <w:t>, 2025</w:t>
      </w:r>
      <w:r>
        <w:rPr>
          <w:rFonts w:ascii="Arial" w:hAnsi="Arial" w:cs="Arial"/>
          <w:szCs w:val="24"/>
          <w:lang w:eastAsia="en-IN"/>
        </w:rPr>
        <w:t>)</w:t>
      </w:r>
    </w:p>
    <w:p w14:paraId="1BD9669C" w14:textId="41931198" w:rsidR="00DD6CFE" w:rsidRPr="00DA6732" w:rsidRDefault="00DD6CFE" w:rsidP="006B4E52">
      <w:pPr>
        <w:rPr>
          <w:rFonts w:ascii="Arial" w:hAnsi="Arial" w:cs="Arial"/>
          <w:b/>
          <w:bCs/>
          <w:i/>
          <w:iCs/>
          <w:szCs w:val="24"/>
          <w:lang w:eastAsia="en-IN"/>
        </w:rPr>
      </w:pPr>
      <w:r w:rsidRPr="00B0558F">
        <w:rPr>
          <w:rFonts w:ascii="Arial" w:hAnsi="Arial" w:cs="Arial"/>
          <w:b/>
          <w:bCs/>
          <w:i/>
          <w:iCs/>
          <w:szCs w:val="24"/>
          <w:lang w:eastAsia="en-IN"/>
        </w:rPr>
        <w:t xml:space="preserve">Omni-channel scale/fulfilment investment: </w:t>
      </w:r>
      <w:r w:rsidRPr="00746DEF">
        <w:rPr>
          <w:rFonts w:ascii="Arial" w:hAnsi="Arial" w:cs="Arial"/>
          <w:szCs w:val="24"/>
          <w:lang w:eastAsia="en-IN"/>
        </w:rPr>
        <w:t>Sainsbury has persistently invested in online fulfilment, click and collect, and supply chain automation to suit speed and convenience requirements, and it is using scale to cut per-order</w:t>
      </w:r>
      <w:r w:rsidR="00D662A3" w:rsidRPr="00746DEF">
        <w:rPr>
          <w:rFonts w:ascii="Arial" w:hAnsi="Arial" w:cs="Arial"/>
          <w:szCs w:val="24"/>
          <w:lang w:eastAsia="en-IN"/>
        </w:rPr>
        <w:t xml:space="preserve"> costs</w:t>
      </w:r>
      <w:r w:rsidRPr="00746DEF">
        <w:rPr>
          <w:rFonts w:ascii="Arial" w:hAnsi="Arial" w:cs="Arial"/>
          <w:szCs w:val="24"/>
          <w:lang w:eastAsia="en-IN"/>
        </w:rPr>
        <w:t xml:space="preserve">, thus protecting </w:t>
      </w:r>
      <w:r w:rsidRPr="00746DEF">
        <w:rPr>
          <w:rFonts w:ascii="Arial" w:hAnsi="Arial" w:cs="Arial"/>
          <w:szCs w:val="24"/>
          <w:lang w:eastAsia="en-IN"/>
        </w:rPr>
        <w:lastRenderedPageBreak/>
        <w:t>its margin as well as covering technological expectations. To implement this strategy, corporate filings focus on planned investment and change of operation to provide it</w:t>
      </w:r>
      <w:r w:rsidR="003A4727" w:rsidRPr="00746DEF">
        <w:rPr>
          <w:rFonts w:ascii="Arial" w:hAnsi="Arial" w:cs="Arial"/>
          <w:szCs w:val="24"/>
          <w:lang w:eastAsia="en-IN"/>
        </w:rPr>
        <w:t xml:space="preserve"> </w:t>
      </w:r>
      <w:r w:rsidRPr="00746DEF">
        <w:rPr>
          <w:rFonts w:ascii="Arial" w:hAnsi="Arial" w:cs="Arial"/>
          <w:szCs w:val="24"/>
          <w:lang w:eastAsia="en-IN"/>
        </w:rPr>
        <w:t>(Sainsbury, 2025).</w:t>
      </w:r>
    </w:p>
    <w:p w14:paraId="7E422DFC" w14:textId="1F09446F" w:rsidR="00DD6CFE" w:rsidRPr="00DA6732" w:rsidRDefault="00DD6CFE" w:rsidP="006B4E52">
      <w:pPr>
        <w:rPr>
          <w:rFonts w:ascii="Arial" w:hAnsi="Arial" w:cs="Arial"/>
          <w:b/>
          <w:bCs/>
          <w:i/>
          <w:iCs/>
          <w:szCs w:val="24"/>
          <w:lang w:eastAsia="en-IN"/>
        </w:rPr>
      </w:pPr>
      <w:r w:rsidRPr="00B0558F">
        <w:rPr>
          <w:rFonts w:ascii="Arial" w:hAnsi="Arial" w:cs="Arial"/>
          <w:b/>
          <w:bCs/>
          <w:i/>
          <w:iCs/>
          <w:szCs w:val="24"/>
          <w:lang w:eastAsia="en-IN"/>
        </w:rPr>
        <w:t xml:space="preserve">Value &amp; own-label strategy: </w:t>
      </w:r>
      <w:r w:rsidRPr="00746DEF">
        <w:rPr>
          <w:rFonts w:ascii="Arial" w:hAnsi="Arial" w:cs="Arial"/>
          <w:szCs w:val="24"/>
          <w:lang w:eastAsia="en-IN"/>
        </w:rPr>
        <w:t>Sainsbury has a stronger own-brand offer during an inflation period that allows it to retain price-sensitive buyers without depleting the brand positioning as a part of the Ansoff/Porter categories of competitive scope and product strategy</w:t>
      </w:r>
      <w:r w:rsidR="003A4727" w:rsidRPr="00746DEF">
        <w:rPr>
          <w:rFonts w:ascii="Arial" w:hAnsi="Arial" w:cs="Arial"/>
          <w:szCs w:val="24"/>
          <w:lang w:eastAsia="en-IN"/>
        </w:rPr>
        <w:t xml:space="preserve"> </w:t>
      </w:r>
      <w:r w:rsidRPr="00746DEF">
        <w:rPr>
          <w:rFonts w:ascii="Arial" w:hAnsi="Arial" w:cs="Arial"/>
          <w:szCs w:val="24"/>
          <w:lang w:eastAsia="en-IN"/>
        </w:rPr>
        <w:t>(Sainsbury, 2025).</w:t>
      </w:r>
      <w:r w:rsidR="003A4727" w:rsidRPr="00746DEF">
        <w:rPr>
          <w:rFonts w:ascii="Arial" w:hAnsi="Arial" w:cs="Arial"/>
          <w:szCs w:val="24"/>
          <w:lang w:eastAsia="en-IN"/>
        </w:rPr>
        <w:t xml:space="preserve"> </w:t>
      </w:r>
    </w:p>
    <w:p w14:paraId="4BEB090B" w14:textId="73376DA3" w:rsidR="00DD6CFE" w:rsidRPr="00746DEF" w:rsidRDefault="00DD6CFE" w:rsidP="006B4E52">
      <w:pPr>
        <w:rPr>
          <w:rFonts w:ascii="Arial" w:hAnsi="Arial" w:cs="Arial"/>
          <w:szCs w:val="24"/>
          <w:lang w:eastAsia="en-IN"/>
        </w:rPr>
      </w:pPr>
      <w:r w:rsidRPr="00746DEF">
        <w:rPr>
          <w:rFonts w:ascii="Arial" w:hAnsi="Arial" w:cs="Arial"/>
          <w:szCs w:val="24"/>
          <w:lang w:eastAsia="en-IN"/>
        </w:rPr>
        <w:t xml:space="preserve">The first-mover logic of the pioneer actions by Sainsbury is to ensure that assets (data, fulfilment networks) have been secured, and that these assets generate switching costs and are monetised. The risks include capital intensity and complexity of the executions (data integration, compliance with privacy). </w:t>
      </w:r>
      <w:r w:rsidR="00C76A69" w:rsidRPr="00746DEF">
        <w:rPr>
          <w:rFonts w:ascii="Arial" w:hAnsi="Arial" w:cs="Arial"/>
          <w:szCs w:val="24"/>
          <w:lang w:eastAsia="en-IN"/>
        </w:rPr>
        <w:t>Halberstadt</w:t>
      </w:r>
      <w:r w:rsidR="00C76A69">
        <w:rPr>
          <w:rFonts w:ascii="Arial" w:hAnsi="Arial" w:cs="Arial"/>
          <w:szCs w:val="24"/>
          <w:lang w:eastAsia="en-IN"/>
        </w:rPr>
        <w:t xml:space="preserve"> (</w:t>
      </w:r>
      <w:r w:rsidR="00C76A69" w:rsidRPr="00746DEF">
        <w:rPr>
          <w:rFonts w:ascii="Arial" w:hAnsi="Arial" w:cs="Arial"/>
          <w:szCs w:val="24"/>
          <w:lang w:eastAsia="en-IN"/>
        </w:rPr>
        <w:t>2022)</w:t>
      </w:r>
      <w:r w:rsidR="00C76A69">
        <w:rPr>
          <w:rFonts w:ascii="Arial" w:hAnsi="Arial" w:cs="Arial"/>
          <w:szCs w:val="24"/>
          <w:lang w:eastAsia="en-IN"/>
        </w:rPr>
        <w:t xml:space="preserve"> </w:t>
      </w:r>
      <w:r w:rsidRPr="00746DEF">
        <w:rPr>
          <w:rFonts w:ascii="Arial" w:hAnsi="Arial" w:cs="Arial"/>
          <w:szCs w:val="24"/>
          <w:lang w:eastAsia="en-IN"/>
        </w:rPr>
        <w:t>cautions that innovators need to couple the expenditure and organisational capacity so that they can achieve benefits.</w:t>
      </w:r>
    </w:p>
    <w:p w14:paraId="12C6C570" w14:textId="6D80FF8D" w:rsidR="00DD6CFE" w:rsidRPr="00746DEF" w:rsidRDefault="00DD6CFE" w:rsidP="006B4E52">
      <w:pPr>
        <w:rPr>
          <w:rFonts w:ascii="Arial" w:hAnsi="Arial" w:cs="Arial"/>
          <w:b/>
          <w:bCs/>
          <w:szCs w:val="24"/>
          <w:lang w:eastAsia="en-IN"/>
        </w:rPr>
      </w:pPr>
      <w:r w:rsidRPr="00746DEF">
        <w:rPr>
          <w:rFonts w:ascii="Arial" w:hAnsi="Arial" w:cs="Arial"/>
          <w:b/>
          <w:bCs/>
          <w:szCs w:val="24"/>
          <w:lang w:eastAsia="en-IN"/>
        </w:rPr>
        <w:t>Co-op Follower strategy responses</w:t>
      </w:r>
      <w:r w:rsidR="00E262B2" w:rsidRPr="00746DEF">
        <w:rPr>
          <w:rFonts w:ascii="Arial" w:hAnsi="Arial" w:cs="Arial"/>
          <w:b/>
          <w:bCs/>
          <w:szCs w:val="24"/>
          <w:lang w:eastAsia="en-IN"/>
        </w:rPr>
        <w:t>:</w:t>
      </w:r>
    </w:p>
    <w:p w14:paraId="6E911660" w14:textId="55C284DF" w:rsidR="00DD6CFE" w:rsidRPr="00746DEF" w:rsidRDefault="00DD6CFE" w:rsidP="006B4E52">
      <w:pPr>
        <w:rPr>
          <w:rFonts w:ascii="Arial" w:hAnsi="Arial" w:cs="Arial"/>
          <w:szCs w:val="24"/>
          <w:lang w:eastAsia="en-IN"/>
        </w:rPr>
      </w:pPr>
      <w:r w:rsidRPr="007F21B6">
        <w:rPr>
          <w:rFonts w:ascii="Arial" w:hAnsi="Arial" w:cs="Arial"/>
          <w:b/>
          <w:bCs/>
          <w:i/>
          <w:iCs/>
          <w:szCs w:val="24"/>
          <w:lang w:eastAsia="en-IN"/>
        </w:rPr>
        <w:t>Targeted digital adoption:</w:t>
      </w:r>
      <w:r w:rsidRPr="00746DEF">
        <w:rPr>
          <w:rFonts w:ascii="Arial" w:hAnsi="Arial" w:cs="Arial"/>
          <w:szCs w:val="24"/>
          <w:lang w:eastAsia="en-IN"/>
        </w:rPr>
        <w:t xml:space="preserve"> Co-op has created modular design systems and experience libraries that allow it to make digital incremental improvements: improved web/app UX, local offers and membership capabilities that can create deeper loyalty without the size CAPEX of a nationwide fulfilment network (Co-operative Group Digital, 2023).</w:t>
      </w:r>
    </w:p>
    <w:p w14:paraId="4F146606" w14:textId="1351C703" w:rsidR="00DD6CFE" w:rsidRDefault="00DD6CFE" w:rsidP="006B4E52">
      <w:pPr>
        <w:rPr>
          <w:rFonts w:ascii="Arial" w:hAnsi="Arial" w:cs="Arial"/>
          <w:szCs w:val="24"/>
          <w:lang w:eastAsia="en-IN"/>
        </w:rPr>
      </w:pPr>
      <w:r w:rsidRPr="00C76A69">
        <w:rPr>
          <w:rFonts w:ascii="Arial" w:hAnsi="Arial" w:cs="Arial"/>
          <w:b/>
          <w:bCs/>
          <w:i/>
          <w:iCs/>
          <w:szCs w:val="24"/>
          <w:lang w:eastAsia="en-IN"/>
        </w:rPr>
        <w:t>Membership/value-based marketing:</w:t>
      </w:r>
      <w:r w:rsidRPr="00746DEF">
        <w:rPr>
          <w:rFonts w:ascii="Arial" w:hAnsi="Arial" w:cs="Arial"/>
          <w:szCs w:val="24"/>
          <w:lang w:eastAsia="en-IN"/>
        </w:rPr>
        <w:t xml:space="preserve"> Co-op uses member ownership and community programs as a differentiation strategy</w:t>
      </w:r>
      <w:r w:rsidR="00C76A69">
        <w:rPr>
          <w:rFonts w:ascii="Arial" w:hAnsi="Arial" w:cs="Arial"/>
          <w:szCs w:val="24"/>
          <w:lang w:eastAsia="en-IN"/>
        </w:rPr>
        <w:t>. I</w:t>
      </w:r>
      <w:r w:rsidRPr="00746DEF">
        <w:rPr>
          <w:rFonts w:ascii="Arial" w:hAnsi="Arial" w:cs="Arial"/>
          <w:szCs w:val="24"/>
          <w:lang w:eastAsia="en-IN"/>
        </w:rPr>
        <w:t>n economic stress, community focus enables retention with perceived shared value and trust. It is a non-price strategy of differentiation among followers</w:t>
      </w:r>
      <w:r w:rsidR="000C1185">
        <w:rPr>
          <w:rFonts w:ascii="Arial" w:hAnsi="Arial" w:cs="Arial"/>
          <w:szCs w:val="24"/>
          <w:lang w:eastAsia="en-IN"/>
        </w:rPr>
        <w:t xml:space="preserve"> that has enabled it to </w:t>
      </w:r>
      <w:r w:rsidR="0098592E">
        <w:rPr>
          <w:rFonts w:ascii="Arial" w:hAnsi="Arial" w:cs="Arial"/>
          <w:szCs w:val="24"/>
          <w:lang w:eastAsia="en-IN"/>
        </w:rPr>
        <w:t>serve more than 150 local co-operatives and 650+ communities</w:t>
      </w:r>
      <w:r w:rsidR="004A797C">
        <w:rPr>
          <w:rFonts w:ascii="Arial" w:hAnsi="Arial" w:cs="Arial"/>
          <w:szCs w:val="24"/>
          <w:lang w:eastAsia="en-IN"/>
        </w:rPr>
        <w:t>,</w:t>
      </w:r>
      <w:r w:rsidRPr="00746DEF">
        <w:rPr>
          <w:rFonts w:ascii="Arial" w:hAnsi="Arial" w:cs="Arial"/>
          <w:szCs w:val="24"/>
          <w:lang w:eastAsia="en-IN"/>
        </w:rPr>
        <w:t xml:space="preserve"> </w:t>
      </w:r>
      <w:r w:rsidR="004A797C">
        <w:rPr>
          <w:rFonts w:ascii="Arial" w:hAnsi="Arial" w:cs="Arial"/>
          <w:szCs w:val="24"/>
          <w:lang w:eastAsia="en-IN"/>
        </w:rPr>
        <w:t xml:space="preserve">as shown in figure 5 </w:t>
      </w:r>
      <w:r w:rsidRPr="00746DEF">
        <w:rPr>
          <w:rFonts w:ascii="Arial" w:hAnsi="Arial" w:cs="Arial"/>
          <w:szCs w:val="24"/>
          <w:lang w:eastAsia="en-IN"/>
        </w:rPr>
        <w:t>(</w:t>
      </w:r>
      <w:r w:rsidR="004A797C">
        <w:rPr>
          <w:rFonts w:ascii="Arial" w:hAnsi="Arial" w:cs="Arial"/>
          <w:szCs w:val="24"/>
        </w:rPr>
        <w:t>Co-op, 2025</w:t>
      </w:r>
      <w:r w:rsidRPr="00746DEF">
        <w:rPr>
          <w:rFonts w:ascii="Arial" w:hAnsi="Arial" w:cs="Arial"/>
          <w:szCs w:val="24"/>
          <w:lang w:eastAsia="en-IN"/>
        </w:rPr>
        <w:t>).</w:t>
      </w:r>
    </w:p>
    <w:p w14:paraId="3B8826FD" w14:textId="40F5B92F" w:rsidR="004A797C" w:rsidRDefault="004A797C" w:rsidP="004A797C">
      <w:pPr>
        <w:jc w:val="center"/>
        <w:rPr>
          <w:rFonts w:ascii="Arial" w:hAnsi="Arial" w:cs="Arial"/>
          <w:b/>
          <w:bCs/>
          <w:szCs w:val="24"/>
          <w:lang w:eastAsia="en-IN"/>
        </w:rPr>
      </w:pPr>
      <w:r w:rsidRPr="004A797C">
        <w:rPr>
          <w:rFonts w:ascii="Arial" w:hAnsi="Arial" w:cs="Arial"/>
          <w:b/>
          <w:bCs/>
          <w:noProof/>
          <w:szCs w:val="24"/>
          <w:lang w:eastAsia="en-IN"/>
        </w:rPr>
        <w:lastRenderedPageBreak/>
        <w:drawing>
          <wp:inline distT="0" distB="0" distL="0" distR="0" wp14:anchorId="2DCE2980" wp14:editId="1FC6C70B">
            <wp:extent cx="6007317" cy="2643188"/>
            <wp:effectExtent l="0" t="0" r="0" b="5080"/>
            <wp:docPr id="299001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001533" name=""/>
                    <pic:cNvPicPr/>
                  </pic:nvPicPr>
                  <pic:blipFill>
                    <a:blip r:embed="rId14"/>
                    <a:stretch>
                      <a:fillRect/>
                    </a:stretch>
                  </pic:blipFill>
                  <pic:spPr>
                    <a:xfrm>
                      <a:off x="0" y="0"/>
                      <a:ext cx="6013036" cy="2645704"/>
                    </a:xfrm>
                    <a:prstGeom prst="rect">
                      <a:avLst/>
                    </a:prstGeom>
                  </pic:spPr>
                </pic:pic>
              </a:graphicData>
            </a:graphic>
          </wp:inline>
        </w:drawing>
      </w:r>
    </w:p>
    <w:p w14:paraId="1CE3D9D4" w14:textId="6C385F0F" w:rsidR="004A797C" w:rsidRPr="00746DEF" w:rsidRDefault="004A797C" w:rsidP="004A797C">
      <w:pPr>
        <w:jc w:val="center"/>
        <w:rPr>
          <w:rFonts w:ascii="Arial" w:hAnsi="Arial" w:cs="Arial"/>
          <w:b/>
          <w:bCs/>
          <w:szCs w:val="24"/>
          <w:lang w:eastAsia="en-IN"/>
        </w:rPr>
      </w:pPr>
      <w:r w:rsidRPr="00746DEF">
        <w:rPr>
          <w:rFonts w:ascii="Arial" w:hAnsi="Arial" w:cs="Arial"/>
          <w:b/>
          <w:bCs/>
          <w:szCs w:val="24"/>
          <w:lang w:eastAsia="en-IN"/>
        </w:rPr>
        <w:t xml:space="preserve">Figure </w:t>
      </w:r>
      <w:r>
        <w:rPr>
          <w:rFonts w:ascii="Arial" w:hAnsi="Arial" w:cs="Arial"/>
          <w:b/>
          <w:bCs/>
          <w:szCs w:val="24"/>
          <w:lang w:eastAsia="en-IN"/>
        </w:rPr>
        <w:t>5</w:t>
      </w:r>
      <w:r w:rsidRPr="00746DEF">
        <w:rPr>
          <w:rFonts w:ascii="Arial" w:hAnsi="Arial" w:cs="Arial"/>
          <w:b/>
          <w:bCs/>
          <w:szCs w:val="24"/>
          <w:lang w:eastAsia="en-IN"/>
        </w:rPr>
        <w:t>:</w:t>
      </w:r>
      <w:r w:rsidRPr="00746DEF">
        <w:rPr>
          <w:rFonts w:ascii="Arial" w:hAnsi="Arial" w:cs="Arial"/>
          <w:szCs w:val="24"/>
          <w:lang w:eastAsia="en-IN"/>
        </w:rPr>
        <w:t xml:space="preserve"> </w:t>
      </w:r>
      <w:r w:rsidR="008B3C9B" w:rsidRPr="008B3C9B">
        <w:rPr>
          <w:rFonts w:ascii="Arial" w:hAnsi="Arial" w:cs="Arial"/>
          <w:b/>
          <w:bCs/>
          <w:szCs w:val="24"/>
          <w:lang w:eastAsia="en-IN"/>
        </w:rPr>
        <w:t>Strategic aspects of</w:t>
      </w:r>
      <w:r w:rsidR="008B3C9B">
        <w:rPr>
          <w:rFonts w:ascii="Arial" w:hAnsi="Arial" w:cs="Arial"/>
          <w:szCs w:val="24"/>
          <w:lang w:eastAsia="en-IN"/>
        </w:rPr>
        <w:t xml:space="preserve"> </w:t>
      </w:r>
      <w:r w:rsidR="008B3C9B">
        <w:rPr>
          <w:rFonts w:ascii="Arial" w:hAnsi="Arial" w:cs="Arial"/>
          <w:b/>
          <w:bCs/>
          <w:szCs w:val="24"/>
          <w:lang w:eastAsia="en-IN"/>
        </w:rPr>
        <w:t>Co-op</w:t>
      </w:r>
    </w:p>
    <w:p w14:paraId="5794AA36" w14:textId="0D363015" w:rsidR="004A797C" w:rsidRPr="004A797C" w:rsidRDefault="004A797C" w:rsidP="004A797C">
      <w:pPr>
        <w:jc w:val="center"/>
        <w:rPr>
          <w:rFonts w:ascii="Arial" w:hAnsi="Arial" w:cs="Arial"/>
          <w:szCs w:val="24"/>
          <w:lang w:eastAsia="en-IN"/>
        </w:rPr>
      </w:pPr>
      <w:r>
        <w:rPr>
          <w:rFonts w:ascii="Arial" w:hAnsi="Arial" w:cs="Arial"/>
          <w:szCs w:val="24"/>
          <w:lang w:eastAsia="en-IN"/>
        </w:rPr>
        <w:t>(</w:t>
      </w:r>
      <w:r w:rsidRPr="00746DEF">
        <w:rPr>
          <w:rFonts w:ascii="Arial" w:hAnsi="Arial" w:cs="Arial"/>
          <w:szCs w:val="24"/>
          <w:lang w:eastAsia="en-IN"/>
        </w:rPr>
        <w:t>Source:</w:t>
      </w:r>
      <w:r>
        <w:rPr>
          <w:rFonts w:ascii="Arial" w:hAnsi="Arial" w:cs="Arial"/>
          <w:szCs w:val="24"/>
          <w:lang w:eastAsia="en-IN"/>
        </w:rPr>
        <w:t xml:space="preserve"> </w:t>
      </w:r>
      <w:r w:rsidR="0098592E">
        <w:rPr>
          <w:rFonts w:ascii="Arial" w:hAnsi="Arial" w:cs="Arial"/>
          <w:szCs w:val="24"/>
        </w:rPr>
        <w:t>Co-op, 2025</w:t>
      </w:r>
      <w:r>
        <w:rPr>
          <w:rFonts w:ascii="Arial" w:hAnsi="Arial" w:cs="Arial"/>
          <w:szCs w:val="24"/>
          <w:lang w:eastAsia="en-IN"/>
        </w:rPr>
        <w:t>)</w:t>
      </w:r>
    </w:p>
    <w:p w14:paraId="5C9AC57A" w14:textId="3990B7D3" w:rsidR="00DD6CFE" w:rsidRPr="00C76A69" w:rsidRDefault="00DD6CFE" w:rsidP="006B4E52">
      <w:pPr>
        <w:rPr>
          <w:rFonts w:ascii="Arial" w:hAnsi="Arial" w:cs="Arial"/>
          <w:b/>
          <w:bCs/>
          <w:szCs w:val="24"/>
          <w:lang w:eastAsia="en-IN"/>
        </w:rPr>
      </w:pPr>
      <w:r w:rsidRPr="00C76A69">
        <w:rPr>
          <w:rFonts w:ascii="Arial" w:hAnsi="Arial" w:cs="Arial"/>
          <w:b/>
          <w:bCs/>
          <w:i/>
          <w:iCs/>
          <w:szCs w:val="24"/>
          <w:lang w:eastAsia="en-IN"/>
        </w:rPr>
        <w:t>Selective alliances:</w:t>
      </w:r>
      <w:r w:rsidRPr="00746DEF">
        <w:rPr>
          <w:rFonts w:ascii="Arial" w:hAnsi="Arial" w:cs="Arial"/>
          <w:b/>
          <w:bCs/>
          <w:szCs w:val="24"/>
          <w:lang w:eastAsia="en-IN"/>
        </w:rPr>
        <w:t xml:space="preserve"> </w:t>
      </w:r>
      <w:r w:rsidRPr="00746DEF">
        <w:rPr>
          <w:rFonts w:ascii="Arial" w:hAnsi="Arial" w:cs="Arial"/>
          <w:szCs w:val="24"/>
          <w:lang w:eastAsia="en-IN"/>
        </w:rPr>
        <w:t>Co-op can partner on last-mile delivery instead of developing full-scale fulfilment or utilise third-party services to conduct ecommerce, lowering the amount of capital expenditure and time to market, which is a follower-type response that saves the risk (Co-operative Group Digital, 2023).</w:t>
      </w:r>
    </w:p>
    <w:p w14:paraId="531DD6EB" w14:textId="483D1AD6" w:rsidR="00DD6CFE" w:rsidRPr="00746DEF" w:rsidRDefault="00DD6CFE" w:rsidP="006B4E52">
      <w:pPr>
        <w:rPr>
          <w:rFonts w:ascii="Arial" w:hAnsi="Arial" w:cs="Arial"/>
          <w:szCs w:val="24"/>
          <w:lang w:eastAsia="en-IN"/>
        </w:rPr>
      </w:pPr>
      <w:r w:rsidRPr="00746DEF">
        <w:rPr>
          <w:rFonts w:ascii="Arial" w:hAnsi="Arial" w:cs="Arial"/>
          <w:szCs w:val="24"/>
          <w:lang w:eastAsia="en-IN"/>
        </w:rPr>
        <w:t>Co-op approach corresponds to follower benefits</w:t>
      </w:r>
      <w:r w:rsidR="003123B3">
        <w:rPr>
          <w:rFonts w:ascii="Arial" w:hAnsi="Arial" w:cs="Arial"/>
          <w:szCs w:val="24"/>
          <w:lang w:eastAsia="en-IN"/>
        </w:rPr>
        <w:t xml:space="preserve"> with</w:t>
      </w:r>
      <w:r w:rsidRPr="00746DEF">
        <w:rPr>
          <w:rFonts w:ascii="Arial" w:hAnsi="Arial" w:cs="Arial"/>
          <w:szCs w:val="24"/>
          <w:lang w:eastAsia="en-IN"/>
        </w:rPr>
        <w:t xml:space="preserve"> reduced initial investment, adaptation of proven technology and emphasis on non-price differentiation (ethics, community). The negative is that it is prone to convenience competition as well as price competition, in which scale is an important factor.</w:t>
      </w:r>
    </w:p>
    <w:p w14:paraId="679E7E12" w14:textId="2A99389E" w:rsidR="006E28BB" w:rsidRPr="00746DEF" w:rsidRDefault="006E28BB" w:rsidP="006B4E52">
      <w:pPr>
        <w:pStyle w:val="Heading2"/>
        <w:rPr>
          <w:rFonts w:ascii="Arial" w:eastAsia="Times New Roman" w:hAnsi="Arial" w:cs="Arial"/>
          <w:szCs w:val="24"/>
          <w:lang w:eastAsia="en-IN"/>
        </w:rPr>
      </w:pPr>
      <w:bookmarkStart w:id="7" w:name="_Toc214544581"/>
      <w:r w:rsidRPr="00746DEF">
        <w:rPr>
          <w:rFonts w:ascii="Arial" w:eastAsia="Times New Roman" w:hAnsi="Arial" w:cs="Arial"/>
          <w:szCs w:val="24"/>
          <w:lang w:eastAsia="en-IN"/>
        </w:rPr>
        <w:t>3.2 Telecoms responses: BT Group (pioneer) vs Virgin Media (follower/challenger)</w:t>
      </w:r>
      <w:bookmarkEnd w:id="7"/>
      <w:r w:rsidRPr="00746DEF">
        <w:rPr>
          <w:rFonts w:ascii="Arial" w:eastAsia="Times New Roman" w:hAnsi="Arial" w:cs="Arial"/>
          <w:szCs w:val="24"/>
          <w:lang w:eastAsia="en-IN"/>
        </w:rPr>
        <w:t xml:space="preserve"> </w:t>
      </w:r>
    </w:p>
    <w:p w14:paraId="435B97E6" w14:textId="6C250076" w:rsidR="00DD6CFE" w:rsidRPr="00746DEF" w:rsidRDefault="00DD6CFE" w:rsidP="006B4E52">
      <w:pPr>
        <w:rPr>
          <w:rFonts w:ascii="Arial" w:hAnsi="Arial" w:cs="Arial"/>
          <w:b/>
          <w:bCs/>
          <w:szCs w:val="24"/>
          <w:lang w:eastAsia="en-IN"/>
        </w:rPr>
      </w:pPr>
      <w:r w:rsidRPr="00746DEF">
        <w:rPr>
          <w:rFonts w:ascii="Arial" w:hAnsi="Arial" w:cs="Arial"/>
          <w:b/>
          <w:bCs/>
          <w:szCs w:val="24"/>
          <w:lang w:eastAsia="en-IN"/>
        </w:rPr>
        <w:t>BT Group Pioneer strategic responses</w:t>
      </w:r>
      <w:r w:rsidR="00E262B2" w:rsidRPr="00746DEF">
        <w:rPr>
          <w:rFonts w:ascii="Arial" w:hAnsi="Arial" w:cs="Arial"/>
          <w:b/>
          <w:bCs/>
          <w:szCs w:val="24"/>
          <w:lang w:eastAsia="en-IN"/>
        </w:rPr>
        <w:t xml:space="preserve">: </w:t>
      </w:r>
    </w:p>
    <w:p w14:paraId="2BDF1D7C" w14:textId="01AEEA5E" w:rsidR="00DD6CFE" w:rsidRDefault="00DD6CFE" w:rsidP="006B4E52">
      <w:pPr>
        <w:rPr>
          <w:rFonts w:ascii="Arial" w:hAnsi="Arial" w:cs="Arial"/>
          <w:szCs w:val="24"/>
          <w:lang w:eastAsia="en-IN"/>
        </w:rPr>
      </w:pPr>
      <w:r w:rsidRPr="007F21B6">
        <w:rPr>
          <w:rFonts w:ascii="Arial" w:hAnsi="Arial" w:cs="Arial"/>
          <w:b/>
          <w:bCs/>
          <w:i/>
          <w:iCs/>
          <w:szCs w:val="24"/>
          <w:lang w:eastAsia="en-IN"/>
        </w:rPr>
        <w:t>Network scale/ product uplifts:</w:t>
      </w:r>
      <w:r w:rsidRPr="00746DEF">
        <w:rPr>
          <w:rFonts w:ascii="Arial" w:hAnsi="Arial" w:cs="Arial"/>
          <w:szCs w:val="24"/>
          <w:lang w:eastAsia="en-IN"/>
        </w:rPr>
        <w:t xml:space="preserve"> BT is offering a sustainable capability through its large-scale implementation of full fibre and 5G</w:t>
      </w:r>
      <w:r w:rsidR="001712BE">
        <w:rPr>
          <w:rFonts w:ascii="Arial" w:hAnsi="Arial" w:cs="Arial"/>
          <w:szCs w:val="24"/>
          <w:lang w:eastAsia="en-IN"/>
        </w:rPr>
        <w:t xml:space="preserve"> for </w:t>
      </w:r>
      <w:r w:rsidR="001712BE" w:rsidRPr="001712BE">
        <w:rPr>
          <w:rFonts w:ascii="Arial" w:hAnsi="Arial" w:cs="Arial"/>
          <w:szCs w:val="24"/>
          <w:lang w:eastAsia="en-IN"/>
        </w:rPr>
        <w:t>95</w:t>
      </w:r>
      <w:r w:rsidR="001712BE">
        <w:rPr>
          <w:rFonts w:ascii="Arial" w:hAnsi="Arial" w:cs="Arial"/>
          <w:szCs w:val="24"/>
          <w:lang w:eastAsia="en-IN"/>
        </w:rPr>
        <w:t>% coverage (</w:t>
      </w:r>
      <w:r w:rsidR="00F92136">
        <w:rPr>
          <w:rFonts w:ascii="Arial" w:hAnsi="Arial" w:cs="Arial"/>
          <w:szCs w:val="24"/>
        </w:rPr>
        <w:t>EE, 2024</w:t>
      </w:r>
      <w:r w:rsidR="001712BE">
        <w:rPr>
          <w:rFonts w:ascii="Arial" w:hAnsi="Arial" w:cs="Arial"/>
          <w:szCs w:val="24"/>
          <w:lang w:eastAsia="en-IN"/>
        </w:rPr>
        <w:t>)</w:t>
      </w:r>
      <w:r w:rsidRPr="00746DEF">
        <w:rPr>
          <w:rFonts w:ascii="Arial" w:hAnsi="Arial" w:cs="Arial"/>
          <w:szCs w:val="24"/>
          <w:lang w:eastAsia="en-IN"/>
        </w:rPr>
        <w:t xml:space="preserve">. </w:t>
      </w:r>
      <w:r w:rsidR="001F6C2C">
        <w:rPr>
          <w:rFonts w:ascii="Arial" w:hAnsi="Arial" w:cs="Arial"/>
          <w:szCs w:val="24"/>
          <w:lang w:eastAsia="en-IN"/>
        </w:rPr>
        <w:t xml:space="preserve">As seen in </w:t>
      </w:r>
      <w:r w:rsidR="001F6C2C" w:rsidRPr="001F6C2C">
        <w:rPr>
          <w:rFonts w:ascii="Arial" w:hAnsi="Arial" w:cs="Arial"/>
          <w:szCs w:val="24"/>
          <w:lang w:eastAsia="en-IN"/>
        </w:rPr>
        <w:t>Figure 6</w:t>
      </w:r>
      <w:r w:rsidR="001F6C2C">
        <w:rPr>
          <w:rFonts w:ascii="Arial" w:hAnsi="Arial" w:cs="Arial"/>
          <w:szCs w:val="24"/>
          <w:lang w:eastAsia="en-IN"/>
        </w:rPr>
        <w:t xml:space="preserve">, </w:t>
      </w:r>
      <w:r w:rsidRPr="00746DEF">
        <w:rPr>
          <w:rFonts w:ascii="Arial" w:hAnsi="Arial" w:cs="Arial"/>
          <w:szCs w:val="24"/>
          <w:lang w:eastAsia="en-IN"/>
        </w:rPr>
        <w:t xml:space="preserve">BT </w:t>
      </w:r>
      <w:r w:rsidR="001F6C2C">
        <w:rPr>
          <w:rFonts w:ascii="Arial" w:hAnsi="Arial" w:cs="Arial"/>
          <w:szCs w:val="24"/>
          <w:lang w:eastAsia="en-IN"/>
        </w:rPr>
        <w:t>has</w:t>
      </w:r>
      <w:r w:rsidRPr="00746DEF">
        <w:rPr>
          <w:rFonts w:ascii="Arial" w:hAnsi="Arial" w:cs="Arial"/>
          <w:szCs w:val="24"/>
          <w:lang w:eastAsia="en-IN"/>
        </w:rPr>
        <w:t xml:space="preserve"> launch</w:t>
      </w:r>
      <w:r w:rsidR="001F6C2C">
        <w:rPr>
          <w:rFonts w:ascii="Arial" w:hAnsi="Arial" w:cs="Arial"/>
          <w:szCs w:val="24"/>
          <w:lang w:eastAsia="en-IN"/>
        </w:rPr>
        <w:t>ed</w:t>
      </w:r>
      <w:r w:rsidRPr="00746DEF">
        <w:rPr>
          <w:rFonts w:ascii="Arial" w:hAnsi="Arial" w:cs="Arial"/>
          <w:szCs w:val="24"/>
          <w:lang w:eastAsia="en-IN"/>
        </w:rPr>
        <w:t xml:space="preserve"> network upgrades (5G standalone, trials with WiFi-7) as networks</w:t>
      </w:r>
      <w:r w:rsidR="001F6C2C">
        <w:rPr>
          <w:rFonts w:ascii="Arial" w:hAnsi="Arial" w:cs="Arial"/>
          <w:szCs w:val="24"/>
          <w:lang w:eastAsia="en-IN"/>
        </w:rPr>
        <w:t>.</w:t>
      </w:r>
      <w:r w:rsidRPr="00746DEF">
        <w:rPr>
          <w:rFonts w:ascii="Arial" w:hAnsi="Arial" w:cs="Arial"/>
          <w:szCs w:val="24"/>
          <w:lang w:eastAsia="en-IN"/>
        </w:rPr>
        <w:t xml:space="preserve"> </w:t>
      </w:r>
      <w:r w:rsidR="001F6C2C">
        <w:rPr>
          <w:rFonts w:ascii="Arial" w:hAnsi="Arial" w:cs="Arial"/>
          <w:szCs w:val="24"/>
          <w:lang w:eastAsia="en-IN"/>
        </w:rPr>
        <w:t xml:space="preserve">These </w:t>
      </w:r>
      <w:r w:rsidRPr="00746DEF">
        <w:rPr>
          <w:rFonts w:ascii="Arial" w:hAnsi="Arial" w:cs="Arial"/>
          <w:szCs w:val="24"/>
          <w:lang w:eastAsia="en-IN"/>
        </w:rPr>
        <w:t>services (enterprise edge computing, B2B connectivity) differentiate them in consumer markets where speed and reliability are valued at a premium. In annual strategic reporting, sustained fibre build goals and technology leadership remain focal points (BT Group, 2025).</w:t>
      </w:r>
    </w:p>
    <w:p w14:paraId="6E85BF51" w14:textId="5CF1AF44" w:rsidR="001F6C2C" w:rsidRDefault="001F6C2C" w:rsidP="001F6C2C">
      <w:pPr>
        <w:jc w:val="center"/>
        <w:rPr>
          <w:rFonts w:ascii="Arial" w:hAnsi="Arial" w:cs="Arial"/>
          <w:szCs w:val="24"/>
          <w:lang w:eastAsia="en-IN"/>
        </w:rPr>
      </w:pPr>
      <w:r w:rsidRPr="001F6C2C">
        <w:rPr>
          <w:rFonts w:ascii="Arial" w:hAnsi="Arial" w:cs="Arial"/>
          <w:noProof/>
          <w:szCs w:val="24"/>
          <w:lang w:eastAsia="en-IN"/>
        </w:rPr>
        <w:lastRenderedPageBreak/>
        <w:drawing>
          <wp:inline distT="0" distB="0" distL="0" distR="0" wp14:anchorId="3EDDA689" wp14:editId="73A6D18C">
            <wp:extent cx="4938712" cy="4416595"/>
            <wp:effectExtent l="0" t="0" r="0" b="3175"/>
            <wp:docPr id="62854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4245" name=""/>
                    <pic:cNvPicPr/>
                  </pic:nvPicPr>
                  <pic:blipFill>
                    <a:blip r:embed="rId15"/>
                    <a:stretch>
                      <a:fillRect/>
                    </a:stretch>
                  </pic:blipFill>
                  <pic:spPr>
                    <a:xfrm>
                      <a:off x="0" y="0"/>
                      <a:ext cx="4943249" cy="4420653"/>
                    </a:xfrm>
                    <a:prstGeom prst="rect">
                      <a:avLst/>
                    </a:prstGeom>
                  </pic:spPr>
                </pic:pic>
              </a:graphicData>
            </a:graphic>
          </wp:inline>
        </w:drawing>
      </w:r>
    </w:p>
    <w:p w14:paraId="1D950D95" w14:textId="5D4AA5A3" w:rsidR="001F6C2C" w:rsidRPr="001712BE" w:rsidRDefault="001F6C2C" w:rsidP="001F6C2C">
      <w:pPr>
        <w:jc w:val="center"/>
        <w:rPr>
          <w:rFonts w:ascii="Arial" w:hAnsi="Arial" w:cs="Arial"/>
          <w:b/>
          <w:bCs/>
          <w:szCs w:val="24"/>
          <w:lang w:eastAsia="en-IN"/>
        </w:rPr>
      </w:pPr>
      <w:r w:rsidRPr="001712BE">
        <w:rPr>
          <w:rFonts w:ascii="Arial" w:hAnsi="Arial" w:cs="Arial"/>
          <w:b/>
          <w:bCs/>
          <w:szCs w:val="24"/>
          <w:lang w:eastAsia="en-IN"/>
        </w:rPr>
        <w:t xml:space="preserve">Figure 6: </w:t>
      </w:r>
      <w:r w:rsidR="001712BE" w:rsidRPr="001712BE">
        <w:rPr>
          <w:rFonts w:ascii="Arial" w:hAnsi="Arial" w:cs="Arial"/>
          <w:b/>
          <w:bCs/>
          <w:szCs w:val="24"/>
          <w:lang w:eastAsia="en-IN"/>
        </w:rPr>
        <w:t>5G standalone network and next-gen Wi-Fi 7 of BT</w:t>
      </w:r>
    </w:p>
    <w:p w14:paraId="2E696D5B" w14:textId="7295822E" w:rsidR="001F6C2C" w:rsidRPr="00746DEF" w:rsidRDefault="001F6C2C" w:rsidP="001F6C2C">
      <w:pPr>
        <w:jc w:val="center"/>
        <w:rPr>
          <w:rFonts w:ascii="Arial" w:hAnsi="Arial" w:cs="Arial"/>
          <w:szCs w:val="24"/>
          <w:lang w:eastAsia="en-IN"/>
        </w:rPr>
      </w:pPr>
      <w:r>
        <w:rPr>
          <w:rFonts w:ascii="Arial" w:hAnsi="Arial" w:cs="Arial"/>
          <w:szCs w:val="24"/>
          <w:lang w:eastAsia="en-IN"/>
        </w:rPr>
        <w:t>(</w:t>
      </w:r>
      <w:r w:rsidRPr="00746DEF">
        <w:rPr>
          <w:rFonts w:ascii="Arial" w:hAnsi="Arial" w:cs="Arial"/>
          <w:szCs w:val="24"/>
          <w:lang w:eastAsia="en-IN"/>
        </w:rPr>
        <w:t>Source:</w:t>
      </w:r>
      <w:r>
        <w:rPr>
          <w:rFonts w:ascii="Arial" w:hAnsi="Arial" w:cs="Arial"/>
          <w:szCs w:val="24"/>
          <w:lang w:eastAsia="en-IN"/>
        </w:rPr>
        <w:t xml:space="preserve"> </w:t>
      </w:r>
      <w:r w:rsidR="00F92136">
        <w:rPr>
          <w:rFonts w:ascii="Arial" w:hAnsi="Arial" w:cs="Arial"/>
          <w:szCs w:val="24"/>
        </w:rPr>
        <w:t>EE, 2024</w:t>
      </w:r>
      <w:r>
        <w:rPr>
          <w:rFonts w:ascii="Arial" w:hAnsi="Arial" w:cs="Arial"/>
          <w:szCs w:val="24"/>
          <w:lang w:eastAsia="en-IN"/>
        </w:rPr>
        <w:t>)</w:t>
      </w:r>
    </w:p>
    <w:p w14:paraId="297AEA1A" w14:textId="6A07E112" w:rsidR="00DD6CFE" w:rsidRPr="002D5CE8" w:rsidRDefault="00DD6CFE" w:rsidP="006B4E52">
      <w:pPr>
        <w:rPr>
          <w:rFonts w:ascii="Arial" w:hAnsi="Arial" w:cs="Arial"/>
          <w:b/>
          <w:bCs/>
          <w:szCs w:val="24"/>
          <w:lang w:eastAsia="en-IN"/>
        </w:rPr>
      </w:pPr>
      <w:r w:rsidRPr="002D5CE8">
        <w:rPr>
          <w:rFonts w:ascii="Arial" w:hAnsi="Arial" w:cs="Arial"/>
          <w:b/>
          <w:bCs/>
          <w:i/>
          <w:iCs/>
          <w:szCs w:val="24"/>
          <w:lang w:eastAsia="en-IN"/>
        </w:rPr>
        <w:t>Monetisation through services and partnerships:</w:t>
      </w:r>
      <w:r w:rsidR="002D5CE8">
        <w:rPr>
          <w:rFonts w:ascii="Arial" w:hAnsi="Arial" w:cs="Arial"/>
          <w:b/>
          <w:bCs/>
          <w:szCs w:val="24"/>
          <w:lang w:eastAsia="en-IN"/>
        </w:rPr>
        <w:t xml:space="preserve"> </w:t>
      </w:r>
      <w:r w:rsidRPr="00746DEF">
        <w:rPr>
          <w:rFonts w:ascii="Arial" w:hAnsi="Arial" w:cs="Arial"/>
          <w:szCs w:val="24"/>
          <w:lang w:eastAsia="en-IN"/>
        </w:rPr>
        <w:t>BT uses network assets to offer value-added services (security, managed services, media rights in the past)</w:t>
      </w:r>
      <w:r w:rsidR="009E36D7">
        <w:rPr>
          <w:rFonts w:ascii="Arial" w:hAnsi="Arial" w:cs="Arial"/>
          <w:szCs w:val="24"/>
          <w:lang w:eastAsia="en-IN"/>
        </w:rPr>
        <w:t xml:space="preserve"> </w:t>
      </w:r>
      <w:r w:rsidR="009E36D7" w:rsidRPr="00746DEF">
        <w:rPr>
          <w:rFonts w:ascii="Arial" w:hAnsi="Arial" w:cs="Arial"/>
          <w:szCs w:val="24"/>
          <w:lang w:eastAsia="en-IN"/>
        </w:rPr>
        <w:t>(BT Group, 2024)</w:t>
      </w:r>
      <w:r w:rsidR="009E36D7">
        <w:rPr>
          <w:rFonts w:ascii="Arial" w:hAnsi="Arial" w:cs="Arial"/>
          <w:szCs w:val="24"/>
          <w:lang w:eastAsia="en-IN"/>
        </w:rPr>
        <w:t xml:space="preserve">. It also </w:t>
      </w:r>
      <w:r w:rsidRPr="00746DEF">
        <w:rPr>
          <w:rFonts w:ascii="Arial" w:hAnsi="Arial" w:cs="Arial"/>
          <w:szCs w:val="24"/>
          <w:lang w:eastAsia="en-IN"/>
        </w:rPr>
        <w:t>negotiate</w:t>
      </w:r>
      <w:r w:rsidR="009E36D7">
        <w:rPr>
          <w:rFonts w:ascii="Arial" w:hAnsi="Arial" w:cs="Arial"/>
          <w:szCs w:val="24"/>
          <w:lang w:eastAsia="en-IN"/>
        </w:rPr>
        <w:t>s</w:t>
      </w:r>
      <w:r w:rsidRPr="00746DEF">
        <w:rPr>
          <w:rFonts w:ascii="Arial" w:hAnsi="Arial" w:cs="Arial"/>
          <w:szCs w:val="24"/>
          <w:lang w:eastAsia="en-IN"/>
        </w:rPr>
        <w:t xml:space="preserve"> with regulators and the government to enter contracts involving other parties</w:t>
      </w:r>
      <w:r w:rsidR="009E36D7">
        <w:rPr>
          <w:rFonts w:ascii="Arial" w:hAnsi="Arial" w:cs="Arial"/>
          <w:szCs w:val="24"/>
          <w:lang w:eastAsia="en-IN"/>
        </w:rPr>
        <w:t xml:space="preserve">. This </w:t>
      </w:r>
      <w:r w:rsidRPr="00746DEF">
        <w:rPr>
          <w:rFonts w:ascii="Arial" w:hAnsi="Arial" w:cs="Arial"/>
          <w:szCs w:val="24"/>
          <w:lang w:eastAsia="en-IN"/>
        </w:rPr>
        <w:t>aligns with early efforts to transform infrastructure into ongoing revenue-generating opportunities.</w:t>
      </w:r>
    </w:p>
    <w:p w14:paraId="6B73A8EE" w14:textId="3A2B30A6" w:rsidR="00DD6CFE" w:rsidRPr="002D5CE8" w:rsidRDefault="00DD6CFE" w:rsidP="006B4E52">
      <w:pPr>
        <w:rPr>
          <w:rFonts w:ascii="Arial" w:hAnsi="Arial" w:cs="Arial"/>
          <w:b/>
          <w:bCs/>
          <w:szCs w:val="24"/>
          <w:lang w:eastAsia="en-IN"/>
        </w:rPr>
      </w:pPr>
      <w:r w:rsidRPr="002D5CE8">
        <w:rPr>
          <w:rFonts w:ascii="Arial" w:hAnsi="Arial" w:cs="Arial"/>
          <w:b/>
          <w:bCs/>
          <w:i/>
          <w:iCs/>
          <w:szCs w:val="24"/>
          <w:lang w:eastAsia="en-IN"/>
        </w:rPr>
        <w:t>Focus on customer retention:</w:t>
      </w:r>
      <w:r w:rsidRPr="00746DEF">
        <w:rPr>
          <w:rFonts w:ascii="Arial" w:hAnsi="Arial" w:cs="Arial"/>
          <w:szCs w:val="24"/>
          <w:lang w:eastAsia="en-IN"/>
        </w:rPr>
        <w:t xml:space="preserve"> Innovative investments </w:t>
      </w:r>
      <w:r w:rsidR="001F6C2C">
        <w:rPr>
          <w:rFonts w:ascii="Arial" w:hAnsi="Arial" w:cs="Arial"/>
          <w:szCs w:val="24"/>
          <w:lang w:eastAsia="en-IN"/>
        </w:rPr>
        <w:t>are</w:t>
      </w:r>
      <w:r w:rsidRPr="00746DEF">
        <w:rPr>
          <w:rFonts w:ascii="Arial" w:hAnsi="Arial" w:cs="Arial"/>
          <w:szCs w:val="24"/>
          <w:lang w:eastAsia="en-IN"/>
        </w:rPr>
        <w:t xml:space="preserve"> be accompanied by marketing that secures ARPU</w:t>
      </w:r>
      <w:r w:rsidR="00551069">
        <w:rPr>
          <w:rFonts w:ascii="Arial" w:hAnsi="Arial" w:cs="Arial"/>
          <w:szCs w:val="24"/>
          <w:lang w:eastAsia="en-IN"/>
        </w:rPr>
        <w:t>.</w:t>
      </w:r>
      <w:r w:rsidRPr="00746DEF">
        <w:rPr>
          <w:rFonts w:ascii="Arial" w:hAnsi="Arial" w:cs="Arial"/>
          <w:szCs w:val="24"/>
          <w:lang w:eastAsia="en-IN"/>
        </w:rPr>
        <w:t xml:space="preserve"> BT focuses on offer</w:t>
      </w:r>
      <w:r w:rsidR="00551069">
        <w:rPr>
          <w:rFonts w:ascii="Arial" w:hAnsi="Arial" w:cs="Arial"/>
          <w:szCs w:val="24"/>
          <w:lang w:eastAsia="en-IN"/>
        </w:rPr>
        <w:t>ing</w:t>
      </w:r>
      <w:r w:rsidRPr="00746DEF">
        <w:rPr>
          <w:rFonts w:ascii="Arial" w:hAnsi="Arial" w:cs="Arial"/>
          <w:szCs w:val="24"/>
          <w:lang w:eastAsia="en-IN"/>
        </w:rPr>
        <w:t xml:space="preserve"> bundles, loyalty schemes and service </w:t>
      </w:r>
      <w:r w:rsidR="001F6C2C" w:rsidRPr="00746DEF">
        <w:rPr>
          <w:rFonts w:ascii="Arial" w:hAnsi="Arial" w:cs="Arial"/>
          <w:szCs w:val="24"/>
          <w:lang w:eastAsia="en-IN"/>
        </w:rPr>
        <w:t>guarantee</w:t>
      </w:r>
      <w:r w:rsidRPr="00746DEF">
        <w:rPr>
          <w:rFonts w:ascii="Arial" w:hAnsi="Arial" w:cs="Arial"/>
          <w:szCs w:val="24"/>
          <w:lang w:eastAsia="en-IN"/>
        </w:rPr>
        <w:t xml:space="preserve"> to retain share (BT Group, 2024).</w:t>
      </w:r>
    </w:p>
    <w:p w14:paraId="4F24A939" w14:textId="761323D0" w:rsidR="00DD6CFE" w:rsidRPr="00746DEF" w:rsidRDefault="00DD6CFE" w:rsidP="006B4E52">
      <w:pPr>
        <w:rPr>
          <w:rFonts w:ascii="Arial" w:hAnsi="Arial" w:cs="Arial"/>
          <w:szCs w:val="24"/>
          <w:lang w:eastAsia="en-IN"/>
        </w:rPr>
      </w:pPr>
      <w:r w:rsidRPr="00746DEF">
        <w:rPr>
          <w:rFonts w:ascii="Arial" w:hAnsi="Arial" w:cs="Arial"/>
          <w:szCs w:val="24"/>
          <w:lang w:eastAsia="en-IN"/>
        </w:rPr>
        <w:t>The pioneer playbook that BT has developed is CAPEX-heavy, but able to provide scale economies and differentiated service levels. The long payback, however, implies macroeconomic sensitivity and regulatory risk.</w:t>
      </w:r>
    </w:p>
    <w:p w14:paraId="4C7CC5CD" w14:textId="0E97AE17" w:rsidR="00DD6CFE" w:rsidRPr="00746DEF" w:rsidRDefault="00DD6CFE" w:rsidP="006B4E52">
      <w:pPr>
        <w:rPr>
          <w:rFonts w:ascii="Arial" w:hAnsi="Arial" w:cs="Arial"/>
          <w:b/>
          <w:bCs/>
          <w:szCs w:val="24"/>
          <w:lang w:eastAsia="en-IN"/>
        </w:rPr>
      </w:pPr>
      <w:r w:rsidRPr="00746DEF">
        <w:rPr>
          <w:rFonts w:ascii="Arial" w:hAnsi="Arial" w:cs="Arial"/>
          <w:b/>
          <w:bCs/>
          <w:szCs w:val="24"/>
          <w:lang w:eastAsia="en-IN"/>
        </w:rPr>
        <w:t>Virgin Media- Follower/challenger strategy response</w:t>
      </w:r>
      <w:r w:rsidR="00E262B2" w:rsidRPr="00746DEF">
        <w:rPr>
          <w:rFonts w:ascii="Arial" w:hAnsi="Arial" w:cs="Arial"/>
          <w:b/>
          <w:bCs/>
          <w:szCs w:val="24"/>
          <w:lang w:eastAsia="en-IN"/>
        </w:rPr>
        <w:t>:</w:t>
      </w:r>
    </w:p>
    <w:p w14:paraId="69BD17FF" w14:textId="4B152C88" w:rsidR="00DD6CFE" w:rsidRPr="00A37281" w:rsidRDefault="00DD6CFE" w:rsidP="006B4E52">
      <w:pPr>
        <w:rPr>
          <w:rFonts w:ascii="Arial" w:hAnsi="Arial" w:cs="Arial"/>
          <w:b/>
          <w:bCs/>
          <w:szCs w:val="24"/>
          <w:lang w:eastAsia="en-IN"/>
        </w:rPr>
      </w:pPr>
      <w:r w:rsidRPr="00A37281">
        <w:rPr>
          <w:rFonts w:ascii="Arial" w:hAnsi="Arial" w:cs="Arial"/>
          <w:b/>
          <w:bCs/>
          <w:i/>
          <w:iCs/>
          <w:szCs w:val="24"/>
          <w:lang w:eastAsia="en-IN"/>
        </w:rPr>
        <w:lastRenderedPageBreak/>
        <w:t>Fierce bundling and positioning:</w:t>
      </w:r>
      <w:r w:rsidR="00A37281">
        <w:rPr>
          <w:rFonts w:ascii="Arial" w:hAnsi="Arial" w:cs="Arial"/>
          <w:b/>
          <w:bCs/>
          <w:szCs w:val="24"/>
          <w:lang w:eastAsia="en-IN"/>
        </w:rPr>
        <w:t xml:space="preserve"> </w:t>
      </w:r>
      <w:r w:rsidRPr="00746DEF">
        <w:rPr>
          <w:rFonts w:ascii="Arial" w:hAnsi="Arial" w:cs="Arial"/>
          <w:szCs w:val="24"/>
          <w:lang w:eastAsia="en-IN"/>
        </w:rPr>
        <w:t>Virgin Media O2 uses a combination of broadband and mobile resources to provide aggressive bundling and prices through promotion, by focusing on speed and convergence to gain market share. The joint-venture announcements highlight the business logic of convergence (Virgin Media O2, 2023).</w:t>
      </w:r>
    </w:p>
    <w:p w14:paraId="421C0412" w14:textId="77777777" w:rsidR="00E262B2" w:rsidRPr="002D5CE8" w:rsidRDefault="00DD6CFE" w:rsidP="006B4E52">
      <w:pPr>
        <w:rPr>
          <w:rFonts w:ascii="Arial" w:hAnsi="Arial" w:cs="Arial"/>
          <w:b/>
          <w:bCs/>
          <w:i/>
          <w:iCs/>
          <w:szCs w:val="24"/>
          <w:lang w:eastAsia="en-IN"/>
        </w:rPr>
      </w:pPr>
      <w:r w:rsidRPr="002D5CE8">
        <w:rPr>
          <w:rFonts w:ascii="Arial" w:hAnsi="Arial" w:cs="Arial"/>
          <w:b/>
          <w:bCs/>
          <w:i/>
          <w:iCs/>
          <w:szCs w:val="24"/>
          <w:lang w:eastAsia="en-IN"/>
        </w:rPr>
        <w:t>Brand/customer as differentiator</w:t>
      </w:r>
      <w:r w:rsidR="00E262B2" w:rsidRPr="002D5CE8">
        <w:rPr>
          <w:rFonts w:ascii="Arial" w:hAnsi="Arial" w:cs="Arial"/>
          <w:b/>
          <w:bCs/>
          <w:i/>
          <w:iCs/>
          <w:szCs w:val="24"/>
          <w:lang w:eastAsia="en-IN"/>
        </w:rPr>
        <w:t xml:space="preserve">: </w:t>
      </w:r>
    </w:p>
    <w:p w14:paraId="164E7944" w14:textId="14B8780F" w:rsidR="00DD6CFE" w:rsidRPr="00746DEF" w:rsidRDefault="00DD6CFE" w:rsidP="006B4E52">
      <w:pPr>
        <w:rPr>
          <w:rFonts w:ascii="Arial" w:hAnsi="Arial" w:cs="Arial"/>
          <w:szCs w:val="24"/>
          <w:lang w:eastAsia="en-IN"/>
        </w:rPr>
      </w:pPr>
      <w:r w:rsidRPr="00746DEF">
        <w:rPr>
          <w:rFonts w:ascii="Arial" w:hAnsi="Arial" w:cs="Arial"/>
          <w:szCs w:val="24"/>
          <w:lang w:eastAsia="en-IN"/>
        </w:rPr>
        <w:t>Virgin uses its brand and marketing to establish a sense of value; its followers tend to outcompete on marketing agility and customer experience, and not the owning pure infrastructure. Corporate governance and strategy documents indicate that they focus on customer centricity and brand-led propositions</w:t>
      </w:r>
      <w:r w:rsidR="003A4727" w:rsidRPr="00746DEF">
        <w:rPr>
          <w:rFonts w:ascii="Arial" w:hAnsi="Arial" w:cs="Arial"/>
          <w:szCs w:val="24"/>
          <w:lang w:eastAsia="en-IN"/>
        </w:rPr>
        <w:t xml:space="preserve"> </w:t>
      </w:r>
      <w:r w:rsidRPr="00746DEF">
        <w:rPr>
          <w:rFonts w:ascii="Arial" w:hAnsi="Arial" w:cs="Arial"/>
          <w:szCs w:val="24"/>
          <w:lang w:eastAsia="en-IN"/>
        </w:rPr>
        <w:t>(Virgin Media O2, 2022).</w:t>
      </w:r>
    </w:p>
    <w:p w14:paraId="5B8EE132" w14:textId="065A4C87" w:rsidR="00DD6CFE" w:rsidRPr="00A37281" w:rsidRDefault="00DD6CFE" w:rsidP="006B4E52">
      <w:pPr>
        <w:rPr>
          <w:rFonts w:ascii="Arial" w:hAnsi="Arial" w:cs="Arial"/>
          <w:b/>
          <w:bCs/>
          <w:i/>
          <w:iCs/>
          <w:szCs w:val="24"/>
          <w:lang w:eastAsia="en-IN"/>
        </w:rPr>
      </w:pPr>
      <w:r w:rsidRPr="00A37281">
        <w:rPr>
          <w:rFonts w:ascii="Arial" w:hAnsi="Arial" w:cs="Arial"/>
          <w:b/>
          <w:bCs/>
          <w:i/>
          <w:iCs/>
          <w:szCs w:val="24"/>
          <w:lang w:eastAsia="en-IN"/>
        </w:rPr>
        <w:t>Operational efficiency &amp; focused investments:</w:t>
      </w:r>
      <w:r w:rsidRPr="00746DEF">
        <w:rPr>
          <w:rFonts w:ascii="Arial" w:hAnsi="Arial" w:cs="Arial"/>
          <w:szCs w:val="24"/>
          <w:lang w:eastAsia="en-IN"/>
        </w:rPr>
        <w:t xml:space="preserve"> A follower does not have to waste money trying to match the pioneer on a nationwide fibre but can invest in segments with high yields (urban fibre, Wi-Fi mesh in customer premises) and extract higher ARPU using marketing (Virgin Media O2, 2022).</w:t>
      </w:r>
    </w:p>
    <w:p w14:paraId="13621D8C" w14:textId="3C33D1EE" w:rsidR="00DD6CFE" w:rsidRPr="00746DEF" w:rsidRDefault="00DD6CFE" w:rsidP="006B4E52">
      <w:pPr>
        <w:rPr>
          <w:rFonts w:ascii="Arial" w:hAnsi="Arial" w:cs="Arial"/>
          <w:szCs w:val="24"/>
          <w:lang w:eastAsia="en-IN"/>
        </w:rPr>
      </w:pPr>
      <w:r w:rsidRPr="00746DEF">
        <w:rPr>
          <w:rFonts w:ascii="Arial" w:hAnsi="Arial" w:cs="Arial"/>
          <w:szCs w:val="24"/>
          <w:lang w:eastAsia="en-IN"/>
        </w:rPr>
        <w:t>Virgin has a follower strategy bundle, brand, and targeted investment, which allows it to obtain market share without as much countrywide CAPEX as BT. However, profitability is conditional upon good control of churn and the prevention of devastating price wars.</w:t>
      </w:r>
    </w:p>
    <w:p w14:paraId="36144A4B" w14:textId="05ED4772" w:rsidR="00DD6CFE" w:rsidRPr="00746DEF" w:rsidRDefault="00E262B2" w:rsidP="006B4E52">
      <w:pPr>
        <w:pStyle w:val="Heading1"/>
        <w:rPr>
          <w:rFonts w:ascii="Arial" w:hAnsi="Arial" w:cs="Arial"/>
          <w:sz w:val="24"/>
          <w:szCs w:val="24"/>
          <w:lang w:eastAsia="en-IN"/>
        </w:rPr>
      </w:pPr>
      <w:bookmarkStart w:id="8" w:name="_Toc214544582"/>
      <w:r w:rsidRPr="00746DEF">
        <w:rPr>
          <w:rFonts w:ascii="Arial" w:hAnsi="Arial" w:cs="Arial"/>
          <w:sz w:val="24"/>
          <w:szCs w:val="24"/>
          <w:lang w:eastAsia="en-IN"/>
        </w:rPr>
        <w:t xml:space="preserve">4.0 </w:t>
      </w:r>
      <w:r w:rsidR="00DD6CFE" w:rsidRPr="00746DEF">
        <w:rPr>
          <w:rFonts w:ascii="Arial" w:hAnsi="Arial" w:cs="Arial"/>
          <w:sz w:val="24"/>
          <w:szCs w:val="24"/>
          <w:lang w:eastAsia="en-IN"/>
        </w:rPr>
        <w:t>Conclusion</w:t>
      </w:r>
      <w:bookmarkEnd w:id="8"/>
    </w:p>
    <w:p w14:paraId="4BDEDC40" w14:textId="03957410" w:rsidR="001B5F0A" w:rsidRPr="00746DEF" w:rsidRDefault="00DD6CFE" w:rsidP="001B5F0A">
      <w:pPr>
        <w:rPr>
          <w:rFonts w:ascii="Arial" w:hAnsi="Arial" w:cs="Arial"/>
          <w:szCs w:val="24"/>
          <w:lang w:eastAsia="en-IN"/>
        </w:rPr>
      </w:pPr>
      <w:r w:rsidRPr="00746DEF">
        <w:rPr>
          <w:rFonts w:ascii="Arial" w:hAnsi="Arial" w:cs="Arial"/>
          <w:szCs w:val="24"/>
          <w:lang w:eastAsia="en-IN"/>
        </w:rPr>
        <w:t xml:space="preserve">The impact of technological and economic macro-forces on pioneers and followers is different. Technology magnifies scale and data benefits and favours innovators that can monetise first-party information and have access to nationwide infrastructure (Sainsbury, BT). The economic shocks make the prices more sensitive, straining the margins and boosting the significance of the targeted promotions and own labels (retail) and bundle management (telecoms). </w:t>
      </w:r>
    </w:p>
    <w:p w14:paraId="0B36B648" w14:textId="4D098251" w:rsidR="00D662A3" w:rsidRPr="00746DEF" w:rsidRDefault="00DD6CFE" w:rsidP="007F21B6">
      <w:pPr>
        <w:rPr>
          <w:rFonts w:ascii="Arial" w:hAnsi="Arial" w:cs="Arial"/>
          <w:szCs w:val="24"/>
          <w:lang w:eastAsia="en-IN"/>
        </w:rPr>
      </w:pPr>
      <w:r w:rsidRPr="00746DEF">
        <w:rPr>
          <w:rFonts w:ascii="Arial" w:hAnsi="Arial" w:cs="Arial"/>
          <w:szCs w:val="24"/>
          <w:lang w:eastAsia="en-IN"/>
        </w:rPr>
        <w:t xml:space="preserve">The followers (Co-op, Virgin Media) can prosper by adopting the proven technologies selectively, capitalising on the brand/community differences, and employing focused operational models without incurring the heavy CAPEX of pioneers. Tactically, a first-mover in the context of technology needs to invest and marketing and have the capability to maintain the first-mover benefit; the followers need to use agility, targeted differentiation and alliances. Ongoing environmental scanning and alignment of </w:t>
      </w:r>
      <w:r w:rsidRPr="00746DEF">
        <w:rPr>
          <w:rFonts w:ascii="Arial" w:hAnsi="Arial" w:cs="Arial"/>
          <w:szCs w:val="24"/>
          <w:lang w:eastAsia="en-IN"/>
        </w:rPr>
        <w:lastRenderedPageBreak/>
        <w:t>marketing strategy to external changes are thus critical towards the maintenance of competitiveness.</w:t>
      </w:r>
      <w:r w:rsidR="00D662A3" w:rsidRPr="00746DEF">
        <w:rPr>
          <w:rFonts w:ascii="Arial" w:hAnsi="Arial" w:cs="Arial"/>
          <w:szCs w:val="24"/>
          <w:lang w:eastAsia="en-IN"/>
        </w:rPr>
        <w:br w:type="page"/>
      </w:r>
    </w:p>
    <w:p w14:paraId="45BDB5BE" w14:textId="6CCAE547" w:rsidR="00D662A3" w:rsidRPr="00746DEF" w:rsidRDefault="00D662A3" w:rsidP="006B4E52">
      <w:pPr>
        <w:pStyle w:val="Heading1"/>
        <w:rPr>
          <w:rFonts w:ascii="Arial" w:hAnsi="Arial" w:cs="Arial"/>
          <w:sz w:val="24"/>
          <w:szCs w:val="24"/>
        </w:rPr>
      </w:pPr>
      <w:bookmarkStart w:id="9" w:name="_Toc214544583"/>
      <w:r w:rsidRPr="00746DEF">
        <w:rPr>
          <w:rFonts w:ascii="Arial" w:hAnsi="Arial" w:cs="Arial"/>
          <w:sz w:val="24"/>
          <w:szCs w:val="24"/>
        </w:rPr>
        <w:lastRenderedPageBreak/>
        <w:t>References</w:t>
      </w:r>
      <w:bookmarkEnd w:id="9"/>
      <w:r w:rsidRPr="00746DEF">
        <w:rPr>
          <w:rFonts w:ascii="Arial" w:hAnsi="Arial" w:cs="Arial"/>
          <w:sz w:val="24"/>
          <w:szCs w:val="24"/>
        </w:rPr>
        <w:t xml:space="preserve"> </w:t>
      </w:r>
    </w:p>
    <w:p w14:paraId="48E8FDB1" w14:textId="77777777" w:rsidR="00085FE7" w:rsidRDefault="00085FE7" w:rsidP="006B4E52">
      <w:pPr>
        <w:rPr>
          <w:rFonts w:ascii="Arial" w:hAnsi="Arial" w:cs="Arial"/>
          <w:szCs w:val="24"/>
        </w:rPr>
      </w:pPr>
      <w:r w:rsidRPr="00714C5A">
        <w:rPr>
          <w:rFonts w:ascii="Arial" w:hAnsi="Arial" w:cs="Arial"/>
          <w:szCs w:val="24"/>
        </w:rPr>
        <w:t xml:space="preserve">Akhoundova, L., Colebrook, C., Crawford, A., Rincon Aznar, A., </w:t>
      </w:r>
      <w:proofErr w:type="spellStart"/>
      <w:r w:rsidRPr="00714C5A">
        <w:rPr>
          <w:rFonts w:ascii="Arial" w:hAnsi="Arial" w:cs="Arial"/>
          <w:szCs w:val="24"/>
        </w:rPr>
        <w:t>Schneebacher</w:t>
      </w:r>
      <w:proofErr w:type="spellEnd"/>
      <w:r w:rsidRPr="00714C5A">
        <w:rPr>
          <w:rFonts w:ascii="Arial" w:hAnsi="Arial" w:cs="Arial"/>
          <w:szCs w:val="24"/>
        </w:rPr>
        <w:t xml:space="preserve">, J., Thakrar, A. and Walker, M., </w:t>
      </w:r>
      <w:r>
        <w:rPr>
          <w:rFonts w:ascii="Arial" w:hAnsi="Arial" w:cs="Arial"/>
          <w:szCs w:val="24"/>
        </w:rPr>
        <w:t>(</w:t>
      </w:r>
      <w:r w:rsidRPr="00714C5A">
        <w:rPr>
          <w:rFonts w:ascii="Arial" w:hAnsi="Arial" w:cs="Arial"/>
          <w:szCs w:val="24"/>
        </w:rPr>
        <w:t>2025</w:t>
      </w:r>
      <w:r>
        <w:rPr>
          <w:rFonts w:ascii="Arial" w:hAnsi="Arial" w:cs="Arial"/>
          <w:szCs w:val="24"/>
        </w:rPr>
        <w:t>)</w:t>
      </w:r>
      <w:r w:rsidRPr="00714C5A">
        <w:rPr>
          <w:rFonts w:ascii="Arial" w:hAnsi="Arial" w:cs="Arial"/>
          <w:szCs w:val="24"/>
        </w:rPr>
        <w:t>. Recent Developments at the CMA: 2024–25. </w:t>
      </w:r>
      <w:r w:rsidRPr="00714C5A">
        <w:rPr>
          <w:rFonts w:ascii="Arial" w:hAnsi="Arial" w:cs="Arial"/>
          <w:i/>
          <w:iCs/>
          <w:szCs w:val="24"/>
        </w:rPr>
        <w:t>Review of Industrial Organization</w:t>
      </w:r>
      <w:r w:rsidRPr="00714C5A">
        <w:rPr>
          <w:rFonts w:ascii="Arial" w:hAnsi="Arial" w:cs="Arial"/>
          <w:szCs w:val="24"/>
        </w:rPr>
        <w:t>, pp.1-28.</w:t>
      </w:r>
      <w:r>
        <w:rPr>
          <w:rFonts w:ascii="Arial" w:hAnsi="Arial" w:cs="Arial"/>
          <w:szCs w:val="24"/>
        </w:rPr>
        <w:t xml:space="preserve"> </w:t>
      </w:r>
      <w:hyperlink r:id="rId16" w:history="1">
        <w:r w:rsidRPr="0091395D">
          <w:rPr>
            <w:rStyle w:val="Hyperlink"/>
            <w:rFonts w:ascii="Arial" w:hAnsi="Arial" w:cs="Arial"/>
            <w:szCs w:val="24"/>
          </w:rPr>
          <w:t>https://link.springer.com/article/10.1007/s11151-025-10037-x</w:t>
        </w:r>
      </w:hyperlink>
      <w:r>
        <w:rPr>
          <w:rFonts w:ascii="Arial" w:hAnsi="Arial" w:cs="Arial"/>
          <w:szCs w:val="24"/>
        </w:rPr>
        <w:t xml:space="preserve"> </w:t>
      </w:r>
    </w:p>
    <w:p w14:paraId="2D593A28" w14:textId="77777777" w:rsidR="00085FE7" w:rsidRPr="00746DEF" w:rsidRDefault="00085FE7" w:rsidP="006B4E52">
      <w:pPr>
        <w:rPr>
          <w:rFonts w:ascii="Arial" w:hAnsi="Arial" w:cs="Arial"/>
          <w:szCs w:val="24"/>
        </w:rPr>
      </w:pPr>
      <w:r w:rsidRPr="00746DEF">
        <w:rPr>
          <w:rFonts w:ascii="Arial" w:hAnsi="Arial" w:cs="Arial"/>
          <w:szCs w:val="24"/>
        </w:rPr>
        <w:t>BBC News (2023) ‘</w:t>
      </w:r>
      <w:r w:rsidRPr="004B078C">
        <w:rPr>
          <w:rFonts w:ascii="Arial" w:hAnsi="Arial" w:cs="Arial"/>
          <w:i/>
          <w:iCs/>
          <w:szCs w:val="24"/>
        </w:rPr>
        <w:t>Cost of living: Households cut premium streaming and telecom bundles’,</w:t>
      </w:r>
      <w:r w:rsidRPr="00746DEF">
        <w:rPr>
          <w:rFonts w:ascii="Arial" w:hAnsi="Arial" w:cs="Arial"/>
          <w:szCs w:val="24"/>
        </w:rPr>
        <w:t xml:space="preserve"> BBC News. </w:t>
      </w:r>
      <w:r>
        <w:rPr>
          <w:rFonts w:ascii="Arial" w:hAnsi="Arial" w:cs="Arial"/>
          <w:szCs w:val="24"/>
        </w:rPr>
        <w:t>Available at:</w:t>
      </w:r>
      <w:r w:rsidRPr="00746DEF">
        <w:rPr>
          <w:rFonts w:ascii="Arial" w:hAnsi="Arial" w:cs="Arial"/>
          <w:szCs w:val="24"/>
        </w:rPr>
        <w:t xml:space="preserve"> </w:t>
      </w:r>
      <w:hyperlink r:id="rId17" w:history="1">
        <w:r w:rsidRPr="00746DEF">
          <w:rPr>
            <w:rStyle w:val="Hyperlink"/>
            <w:rFonts w:ascii="Arial" w:hAnsi="Arial" w:cs="Arial"/>
            <w:szCs w:val="24"/>
          </w:rPr>
          <w:t>https://www.bbc.co.uk/news/business-66578982</w:t>
        </w:r>
      </w:hyperlink>
      <w:r w:rsidRPr="00746DEF">
        <w:rPr>
          <w:rFonts w:ascii="Arial" w:hAnsi="Arial" w:cs="Arial"/>
          <w:szCs w:val="24"/>
        </w:rPr>
        <w:t xml:space="preserve"> </w:t>
      </w:r>
      <w:r>
        <w:rPr>
          <w:rFonts w:ascii="Arial" w:hAnsi="Arial" w:cs="Arial"/>
          <w:szCs w:val="24"/>
        </w:rPr>
        <w:t>[Accessed on 10.11.2025]</w:t>
      </w:r>
    </w:p>
    <w:p w14:paraId="5318D59D" w14:textId="77777777" w:rsidR="00085FE7" w:rsidRPr="00746DEF" w:rsidRDefault="00085FE7" w:rsidP="006B4E52">
      <w:pPr>
        <w:rPr>
          <w:rFonts w:ascii="Arial" w:hAnsi="Arial" w:cs="Arial"/>
          <w:szCs w:val="24"/>
        </w:rPr>
      </w:pPr>
      <w:r w:rsidRPr="00746DEF">
        <w:rPr>
          <w:rFonts w:ascii="Arial" w:hAnsi="Arial" w:cs="Arial"/>
          <w:szCs w:val="24"/>
        </w:rPr>
        <w:t xml:space="preserve">BT Group (2024) </w:t>
      </w:r>
      <w:r w:rsidRPr="004B078C">
        <w:rPr>
          <w:rFonts w:ascii="Arial" w:hAnsi="Arial" w:cs="Arial"/>
          <w:i/>
          <w:iCs/>
          <w:szCs w:val="24"/>
        </w:rPr>
        <w:t>Annual Report and Financial Statements 2024</w:t>
      </w:r>
      <w:r w:rsidRPr="00746DEF">
        <w:rPr>
          <w:rFonts w:ascii="Arial" w:hAnsi="Arial" w:cs="Arial"/>
          <w:szCs w:val="24"/>
        </w:rPr>
        <w:t xml:space="preserve">. London: BT Group plc. </w:t>
      </w:r>
      <w:r>
        <w:rPr>
          <w:rFonts w:ascii="Arial" w:hAnsi="Arial" w:cs="Arial"/>
          <w:szCs w:val="24"/>
        </w:rPr>
        <w:t xml:space="preserve">Available at: </w:t>
      </w:r>
      <w:hyperlink r:id="rId18" w:history="1">
        <w:r w:rsidRPr="0091395D">
          <w:rPr>
            <w:rStyle w:val="Hyperlink"/>
            <w:rFonts w:ascii="Arial" w:hAnsi="Arial" w:cs="Arial"/>
            <w:szCs w:val="24"/>
          </w:rPr>
          <w:t>https://data.fca.org.uk/artefacts/NSM/Portal/NI-000098321/NI-000098321.pdf</w:t>
        </w:r>
      </w:hyperlink>
      <w:r w:rsidRPr="00746DEF">
        <w:rPr>
          <w:rFonts w:ascii="Arial" w:hAnsi="Arial" w:cs="Arial"/>
          <w:szCs w:val="24"/>
        </w:rPr>
        <w:t xml:space="preserve"> </w:t>
      </w:r>
      <w:r>
        <w:rPr>
          <w:rFonts w:ascii="Arial" w:hAnsi="Arial" w:cs="Arial"/>
          <w:szCs w:val="24"/>
        </w:rPr>
        <w:t>[Accessed on 10.11.2025]</w:t>
      </w:r>
    </w:p>
    <w:p w14:paraId="7AC7D401" w14:textId="77777777" w:rsidR="00085FE7" w:rsidRDefault="00085FE7" w:rsidP="006B4E52">
      <w:pPr>
        <w:rPr>
          <w:rFonts w:ascii="Arial" w:hAnsi="Arial" w:cs="Arial"/>
          <w:szCs w:val="24"/>
        </w:rPr>
      </w:pPr>
      <w:r w:rsidRPr="00746DEF">
        <w:rPr>
          <w:rFonts w:ascii="Arial" w:hAnsi="Arial" w:cs="Arial"/>
          <w:szCs w:val="24"/>
        </w:rPr>
        <w:t xml:space="preserve">BT Group (2025) </w:t>
      </w:r>
      <w:r w:rsidRPr="004B078C">
        <w:rPr>
          <w:rFonts w:ascii="Arial" w:hAnsi="Arial" w:cs="Arial"/>
          <w:i/>
          <w:iCs/>
          <w:szCs w:val="24"/>
        </w:rPr>
        <w:t>Strategic Report: Full Fibre and 5G Expansion. London: BT Group plc.</w:t>
      </w:r>
      <w:r w:rsidRPr="00746DEF">
        <w:rPr>
          <w:rFonts w:ascii="Arial" w:hAnsi="Arial" w:cs="Arial"/>
          <w:szCs w:val="24"/>
        </w:rPr>
        <w:t xml:space="preserve"> </w:t>
      </w:r>
      <w:r>
        <w:rPr>
          <w:rFonts w:ascii="Arial" w:hAnsi="Arial" w:cs="Arial"/>
          <w:szCs w:val="24"/>
        </w:rPr>
        <w:t>Available at:</w:t>
      </w:r>
      <w:r w:rsidRPr="00746DEF">
        <w:rPr>
          <w:rFonts w:ascii="Arial" w:hAnsi="Arial" w:cs="Arial"/>
          <w:szCs w:val="24"/>
        </w:rPr>
        <w:t xml:space="preserve"> </w:t>
      </w:r>
      <w:hyperlink r:id="rId19" w:history="1">
        <w:r w:rsidRPr="00746DEF">
          <w:rPr>
            <w:rStyle w:val="Hyperlink"/>
            <w:rFonts w:ascii="Arial" w:hAnsi="Arial" w:cs="Arial"/>
            <w:szCs w:val="24"/>
          </w:rPr>
          <w:t>https://www.bt.com/bt-plc/assets/documents/investors/financial-reporting-and-news/annual-reports/2025/2025-bt-group-plc-strategic-report.pdf</w:t>
        </w:r>
      </w:hyperlink>
      <w:r>
        <w:rPr>
          <w:rFonts w:ascii="Arial" w:hAnsi="Arial" w:cs="Arial"/>
          <w:szCs w:val="24"/>
        </w:rPr>
        <w:t xml:space="preserve"> [Accessed on 15.11.2025]</w:t>
      </w:r>
    </w:p>
    <w:p w14:paraId="5F1D20C0" w14:textId="77777777" w:rsidR="00085FE7" w:rsidRDefault="00085FE7" w:rsidP="006B4E52">
      <w:pPr>
        <w:rPr>
          <w:rFonts w:ascii="Arial" w:hAnsi="Arial" w:cs="Arial"/>
          <w:szCs w:val="24"/>
        </w:rPr>
      </w:pPr>
      <w:r>
        <w:rPr>
          <w:rFonts w:ascii="Arial" w:hAnsi="Arial" w:cs="Arial"/>
          <w:szCs w:val="24"/>
        </w:rPr>
        <w:t xml:space="preserve">Co-op. (2025). </w:t>
      </w:r>
      <w:r>
        <w:rPr>
          <w:rFonts w:ascii="Arial" w:hAnsi="Arial" w:cs="Arial"/>
          <w:i/>
          <w:iCs/>
          <w:szCs w:val="24"/>
        </w:rPr>
        <w:t xml:space="preserve">ABOUT. </w:t>
      </w:r>
      <w:r>
        <w:rPr>
          <w:rFonts w:ascii="Arial" w:hAnsi="Arial" w:cs="Arial"/>
          <w:szCs w:val="24"/>
        </w:rPr>
        <w:t>Available at:</w:t>
      </w:r>
      <w:r w:rsidRPr="00746DEF">
        <w:rPr>
          <w:rFonts w:ascii="Arial" w:hAnsi="Arial" w:cs="Arial"/>
          <w:szCs w:val="24"/>
        </w:rPr>
        <w:t xml:space="preserve"> </w:t>
      </w:r>
      <w:hyperlink r:id="rId20" w:anchor=":~:text=We%20are%20Co%2Dop&amp;text=We%20are%20owned%20by%20our,most%20common%20%E2%80%93%20to%20our%20members" w:history="1">
        <w:r w:rsidRPr="0091395D">
          <w:rPr>
            <w:rStyle w:val="Hyperlink"/>
            <w:rFonts w:ascii="Arial" w:hAnsi="Arial" w:cs="Arial"/>
            <w:szCs w:val="24"/>
          </w:rPr>
          <w:t>https://www.co-op.crs/about#:~:text=We%20are%20Co%2Dop&amp;text=We%20are%20owned%20by%20our,most%20common%20%E2%80%93%20to%20our%20members</w:t>
        </w:r>
      </w:hyperlink>
      <w:r w:rsidRPr="000C1185">
        <w:rPr>
          <w:rFonts w:ascii="Arial" w:hAnsi="Arial" w:cs="Arial"/>
          <w:szCs w:val="24"/>
        </w:rPr>
        <w:t>.</w:t>
      </w:r>
      <w:r>
        <w:rPr>
          <w:rFonts w:ascii="Arial" w:hAnsi="Arial" w:cs="Arial"/>
          <w:szCs w:val="24"/>
        </w:rPr>
        <w:t xml:space="preserve"> [Accessed on 15.11.2025] </w:t>
      </w:r>
    </w:p>
    <w:p w14:paraId="7B7E3F49" w14:textId="77777777" w:rsidR="00085FE7" w:rsidRPr="00746DEF" w:rsidRDefault="00085FE7" w:rsidP="006B4E52">
      <w:pPr>
        <w:rPr>
          <w:rFonts w:ascii="Arial" w:hAnsi="Arial" w:cs="Arial"/>
          <w:szCs w:val="24"/>
        </w:rPr>
      </w:pPr>
      <w:r w:rsidRPr="00746DEF">
        <w:rPr>
          <w:rFonts w:ascii="Arial" w:hAnsi="Arial" w:cs="Arial"/>
          <w:szCs w:val="24"/>
        </w:rPr>
        <w:t xml:space="preserve">Co-operative Group Digital (2024). </w:t>
      </w:r>
      <w:r w:rsidRPr="004B078C">
        <w:rPr>
          <w:rFonts w:ascii="Arial" w:hAnsi="Arial" w:cs="Arial"/>
          <w:i/>
          <w:iCs/>
          <w:szCs w:val="24"/>
        </w:rPr>
        <w:t>Co-op Digital: Design System and Experience Library.  Manchester: Co-operative Group.</w:t>
      </w:r>
      <w:r w:rsidRPr="00746DEF">
        <w:rPr>
          <w:rFonts w:ascii="Arial" w:hAnsi="Arial" w:cs="Arial"/>
          <w:szCs w:val="24"/>
        </w:rPr>
        <w:t xml:space="preserve"> </w:t>
      </w:r>
      <w:r>
        <w:rPr>
          <w:rFonts w:ascii="Arial" w:hAnsi="Arial" w:cs="Arial"/>
          <w:szCs w:val="24"/>
        </w:rPr>
        <w:t xml:space="preserve">Available at: </w:t>
      </w:r>
      <w:hyperlink r:id="rId21" w:history="1">
        <w:r w:rsidRPr="0091395D">
          <w:rPr>
            <w:rStyle w:val="Hyperlink"/>
            <w:rFonts w:ascii="Arial" w:hAnsi="Arial" w:cs="Arial"/>
            <w:szCs w:val="24"/>
          </w:rPr>
          <w:t>https://digitalblog.coop.co.uk/wp-content/uploads/2024/05/Co-op-Digital-Design-System-Experience-Library.pdf</w:t>
        </w:r>
      </w:hyperlink>
      <w:r w:rsidRPr="00746DEF">
        <w:rPr>
          <w:rFonts w:ascii="Arial" w:hAnsi="Arial" w:cs="Arial"/>
          <w:szCs w:val="24"/>
        </w:rPr>
        <w:t xml:space="preserve"> </w:t>
      </w:r>
    </w:p>
    <w:p w14:paraId="354ED60C" w14:textId="77777777" w:rsidR="00085FE7" w:rsidRPr="00746DEF" w:rsidRDefault="00085FE7" w:rsidP="006B4E52">
      <w:pPr>
        <w:rPr>
          <w:rFonts w:ascii="Arial" w:hAnsi="Arial" w:cs="Arial"/>
          <w:szCs w:val="24"/>
        </w:rPr>
      </w:pPr>
      <w:r w:rsidRPr="00746DEF">
        <w:rPr>
          <w:rFonts w:ascii="Arial" w:hAnsi="Arial" w:cs="Arial"/>
          <w:szCs w:val="24"/>
        </w:rPr>
        <w:t xml:space="preserve">Co-operative Group Limited (2023) </w:t>
      </w:r>
      <w:r w:rsidRPr="004B078C">
        <w:rPr>
          <w:rFonts w:ascii="Arial" w:hAnsi="Arial" w:cs="Arial"/>
          <w:i/>
          <w:iCs/>
          <w:szCs w:val="24"/>
        </w:rPr>
        <w:t>Annual Report and Accounts 2023. Manchester: Co-operative Group Limited.</w:t>
      </w:r>
      <w:r w:rsidRPr="00746DEF">
        <w:rPr>
          <w:rFonts w:ascii="Arial" w:hAnsi="Arial" w:cs="Arial"/>
          <w:szCs w:val="24"/>
        </w:rPr>
        <w:t xml:space="preserve"> </w:t>
      </w:r>
      <w:r>
        <w:rPr>
          <w:rFonts w:ascii="Arial" w:hAnsi="Arial" w:cs="Arial"/>
          <w:szCs w:val="24"/>
        </w:rPr>
        <w:t xml:space="preserve">Available at: </w:t>
      </w:r>
      <w:hyperlink r:id="rId22" w:history="1">
        <w:r w:rsidRPr="0091395D">
          <w:rPr>
            <w:rStyle w:val="Hyperlink"/>
            <w:rFonts w:ascii="Arial" w:hAnsi="Arial" w:cs="Arial"/>
            <w:szCs w:val="24"/>
          </w:rPr>
          <w:t>https://www.coop.co.uk/media/3250/annual-report-and-accounts-2023.pdf</w:t>
        </w:r>
      </w:hyperlink>
      <w:r w:rsidRPr="00746DEF">
        <w:rPr>
          <w:rFonts w:ascii="Arial" w:hAnsi="Arial" w:cs="Arial"/>
          <w:szCs w:val="24"/>
        </w:rPr>
        <w:t xml:space="preserve"> </w:t>
      </w:r>
      <w:bookmarkStart w:id="10" w:name="_Hlk214470092"/>
      <w:r>
        <w:rPr>
          <w:rFonts w:ascii="Arial" w:hAnsi="Arial" w:cs="Arial"/>
          <w:szCs w:val="24"/>
        </w:rPr>
        <w:t>[Accessed on 15.11.2025]</w:t>
      </w:r>
    </w:p>
    <w:bookmarkEnd w:id="10"/>
    <w:p w14:paraId="2C764E05" w14:textId="77777777" w:rsidR="00085FE7" w:rsidRPr="00746DEF" w:rsidRDefault="00085FE7" w:rsidP="006B4E52">
      <w:pPr>
        <w:rPr>
          <w:rFonts w:ascii="Arial" w:hAnsi="Arial" w:cs="Arial"/>
          <w:szCs w:val="24"/>
        </w:rPr>
      </w:pPr>
      <w:r w:rsidRPr="00746DEF">
        <w:rPr>
          <w:rFonts w:ascii="Arial" w:hAnsi="Arial" w:cs="Arial"/>
          <w:szCs w:val="24"/>
        </w:rPr>
        <w:t xml:space="preserve">Dekimpe, M., Helsen, K. and </w:t>
      </w:r>
      <w:proofErr w:type="spellStart"/>
      <w:r w:rsidRPr="00746DEF">
        <w:rPr>
          <w:rFonts w:ascii="Arial" w:hAnsi="Arial" w:cs="Arial"/>
          <w:szCs w:val="24"/>
        </w:rPr>
        <w:t>Geyskens</w:t>
      </w:r>
      <w:proofErr w:type="spellEnd"/>
      <w:r w:rsidRPr="00746DEF">
        <w:rPr>
          <w:rFonts w:ascii="Arial" w:hAnsi="Arial" w:cs="Arial"/>
          <w:szCs w:val="24"/>
        </w:rPr>
        <w:t xml:space="preserve">, I. (2023) ‘Retailing in times of soaring inflation: What we know and need to know’, </w:t>
      </w:r>
      <w:r w:rsidRPr="004B078C">
        <w:rPr>
          <w:rFonts w:ascii="Arial" w:hAnsi="Arial" w:cs="Arial"/>
          <w:i/>
          <w:iCs/>
          <w:szCs w:val="24"/>
        </w:rPr>
        <w:t>Journal of Retailing, 99</w:t>
      </w:r>
      <w:r w:rsidRPr="00746DEF">
        <w:rPr>
          <w:rFonts w:ascii="Arial" w:hAnsi="Arial" w:cs="Arial"/>
          <w:szCs w:val="24"/>
        </w:rPr>
        <w:t xml:space="preserve">(3), pp. 435–455.  </w:t>
      </w:r>
      <w:hyperlink r:id="rId23" w:history="1">
        <w:r w:rsidRPr="00746DEF">
          <w:rPr>
            <w:rStyle w:val="Hyperlink"/>
            <w:rFonts w:ascii="Arial" w:hAnsi="Arial" w:cs="Arial"/>
            <w:szCs w:val="24"/>
          </w:rPr>
          <w:t>https://doi.org/10.1016/j.jretai.2023.07.004</w:t>
        </w:r>
      </w:hyperlink>
      <w:r w:rsidRPr="00746DEF">
        <w:rPr>
          <w:rFonts w:ascii="Arial" w:hAnsi="Arial" w:cs="Arial"/>
          <w:szCs w:val="24"/>
        </w:rPr>
        <w:t xml:space="preserve"> </w:t>
      </w:r>
    </w:p>
    <w:p w14:paraId="519BF07B" w14:textId="77777777" w:rsidR="00085FE7" w:rsidRDefault="00085FE7" w:rsidP="006B4E52">
      <w:pPr>
        <w:rPr>
          <w:rFonts w:ascii="Arial" w:hAnsi="Arial" w:cs="Arial"/>
          <w:szCs w:val="24"/>
        </w:rPr>
      </w:pPr>
      <w:r>
        <w:rPr>
          <w:rFonts w:ascii="Arial" w:hAnsi="Arial" w:cs="Arial"/>
          <w:szCs w:val="24"/>
        </w:rPr>
        <w:lastRenderedPageBreak/>
        <w:t xml:space="preserve">EE. (2024). </w:t>
      </w:r>
      <w:r w:rsidRPr="001712BE">
        <w:rPr>
          <w:rFonts w:ascii="Arial" w:hAnsi="Arial" w:cs="Arial"/>
          <w:i/>
          <w:iCs/>
          <w:szCs w:val="24"/>
        </w:rPr>
        <w:t>BT's EE launches 5G standalone network and next-gen Wi-Fi 7 router.</w:t>
      </w:r>
      <w:r>
        <w:rPr>
          <w:rFonts w:ascii="Arial" w:hAnsi="Arial" w:cs="Arial"/>
          <w:szCs w:val="24"/>
        </w:rPr>
        <w:t xml:space="preserve"> Available at:</w:t>
      </w:r>
      <w:r w:rsidRPr="00746DEF">
        <w:rPr>
          <w:rFonts w:ascii="Arial" w:hAnsi="Arial" w:cs="Arial"/>
          <w:szCs w:val="24"/>
        </w:rPr>
        <w:t xml:space="preserve"> </w:t>
      </w:r>
      <w:hyperlink r:id="rId24" w:anchor=":~:text=Via%20EE,and%20out%20of%20the%20home" w:history="1">
        <w:r w:rsidRPr="0091395D">
          <w:rPr>
            <w:rStyle w:val="Hyperlink"/>
            <w:rFonts w:ascii="Arial" w:hAnsi="Arial" w:cs="Arial"/>
            <w:szCs w:val="24"/>
          </w:rPr>
          <w:t>https://www.telecomtv.com/content/5g/bts-ee-launches-5g-standalone-network-and-next-gen-wi-fi-7-router-51204/#:~:text=Via%20EE,and%20out%20of%20the%20home</w:t>
        </w:r>
      </w:hyperlink>
      <w:r w:rsidRPr="001712BE">
        <w:rPr>
          <w:rFonts w:ascii="Arial" w:hAnsi="Arial" w:cs="Arial"/>
          <w:szCs w:val="24"/>
        </w:rPr>
        <w:t>.</w:t>
      </w:r>
      <w:r>
        <w:rPr>
          <w:rFonts w:ascii="Arial" w:hAnsi="Arial" w:cs="Arial"/>
          <w:szCs w:val="24"/>
        </w:rPr>
        <w:t xml:space="preserve"> [Accessed on 18.11.2025]</w:t>
      </w:r>
    </w:p>
    <w:p w14:paraId="66657047" w14:textId="77777777" w:rsidR="00085FE7" w:rsidRPr="00746DEF" w:rsidRDefault="00085FE7" w:rsidP="006B4E52">
      <w:pPr>
        <w:rPr>
          <w:rFonts w:ascii="Arial" w:hAnsi="Arial" w:cs="Arial"/>
          <w:szCs w:val="24"/>
        </w:rPr>
      </w:pPr>
      <w:r w:rsidRPr="00746DEF">
        <w:rPr>
          <w:rFonts w:ascii="Arial" w:hAnsi="Arial" w:cs="Arial"/>
          <w:szCs w:val="24"/>
        </w:rPr>
        <w:t>Financial Times (2024) ‘</w:t>
      </w:r>
      <w:r w:rsidRPr="004B078C">
        <w:rPr>
          <w:rFonts w:ascii="Arial" w:hAnsi="Arial" w:cs="Arial"/>
          <w:i/>
          <w:iCs/>
          <w:szCs w:val="24"/>
        </w:rPr>
        <w:t>UK grocers battle market inflation through loyalty pricing shifts’,</w:t>
      </w:r>
      <w:r w:rsidRPr="00746DEF">
        <w:rPr>
          <w:rFonts w:ascii="Arial" w:hAnsi="Arial" w:cs="Arial"/>
          <w:szCs w:val="24"/>
        </w:rPr>
        <w:t xml:space="preserve"> Financial Times, 22 February. </w:t>
      </w:r>
      <w:r>
        <w:rPr>
          <w:rFonts w:ascii="Arial" w:hAnsi="Arial" w:cs="Arial"/>
          <w:szCs w:val="24"/>
        </w:rPr>
        <w:t xml:space="preserve">Available at: </w:t>
      </w:r>
      <w:hyperlink r:id="rId25" w:history="1">
        <w:r w:rsidRPr="0091395D">
          <w:rPr>
            <w:rStyle w:val="Hyperlink"/>
            <w:rFonts w:ascii="Arial" w:hAnsi="Arial" w:cs="Arial"/>
            <w:szCs w:val="24"/>
          </w:rPr>
          <w:t>https://www.ft.com/content/3a12bd1e-4f09-4a35-bf17-9b09e3c1f0e4</w:t>
        </w:r>
      </w:hyperlink>
      <w:r w:rsidRPr="00746DEF">
        <w:rPr>
          <w:rFonts w:ascii="Arial" w:hAnsi="Arial" w:cs="Arial"/>
          <w:szCs w:val="24"/>
        </w:rPr>
        <w:t xml:space="preserve"> </w:t>
      </w:r>
      <w:r>
        <w:rPr>
          <w:rFonts w:ascii="Arial" w:hAnsi="Arial" w:cs="Arial"/>
          <w:szCs w:val="24"/>
        </w:rPr>
        <w:t>[Accessed on 12.11.2025]</w:t>
      </w:r>
    </w:p>
    <w:p w14:paraId="5C914C93" w14:textId="77777777" w:rsidR="00085FE7" w:rsidRDefault="00085FE7" w:rsidP="006B4E52">
      <w:pPr>
        <w:rPr>
          <w:rFonts w:ascii="Arial" w:hAnsi="Arial" w:cs="Arial"/>
          <w:szCs w:val="24"/>
        </w:rPr>
      </w:pPr>
      <w:r w:rsidRPr="00746DEF">
        <w:rPr>
          <w:rFonts w:ascii="Arial" w:hAnsi="Arial" w:cs="Arial"/>
          <w:szCs w:val="24"/>
        </w:rPr>
        <w:t xml:space="preserve">Halberstadt, J. (2022) ‘Revisiting first-mover advantages: A systematic review of pioneer and early follower strategies’, </w:t>
      </w:r>
      <w:r w:rsidRPr="004B078C">
        <w:rPr>
          <w:rFonts w:ascii="Arial" w:hAnsi="Arial" w:cs="Arial"/>
          <w:i/>
          <w:iCs/>
          <w:szCs w:val="24"/>
        </w:rPr>
        <w:t>Journal of Business Research, 147</w:t>
      </w:r>
      <w:r w:rsidRPr="00746DEF">
        <w:rPr>
          <w:rFonts w:ascii="Arial" w:hAnsi="Arial" w:cs="Arial"/>
          <w:szCs w:val="24"/>
        </w:rPr>
        <w:t xml:space="preserve">, pp. 112–130.  </w:t>
      </w:r>
      <w:hyperlink r:id="rId26" w:history="1">
        <w:r w:rsidRPr="00746DEF">
          <w:rPr>
            <w:rStyle w:val="Hyperlink"/>
            <w:rFonts w:ascii="Arial" w:hAnsi="Arial" w:cs="Arial"/>
            <w:szCs w:val="24"/>
          </w:rPr>
          <w:t>https://doi.org/10.1016/j.jbusres.2022.06.018</w:t>
        </w:r>
      </w:hyperlink>
      <w:r w:rsidRPr="00746DEF">
        <w:rPr>
          <w:rFonts w:ascii="Arial" w:hAnsi="Arial" w:cs="Arial"/>
          <w:szCs w:val="24"/>
        </w:rPr>
        <w:t xml:space="preserve"> </w:t>
      </w:r>
    </w:p>
    <w:p w14:paraId="4D339C1D" w14:textId="77777777" w:rsidR="00085FE7" w:rsidRPr="00746DEF" w:rsidRDefault="00085FE7" w:rsidP="006B4E52">
      <w:pPr>
        <w:rPr>
          <w:rFonts w:ascii="Arial" w:hAnsi="Arial" w:cs="Arial"/>
          <w:szCs w:val="24"/>
        </w:rPr>
      </w:pPr>
      <w:bookmarkStart w:id="11" w:name="_Hlk214469910"/>
      <w:proofErr w:type="spellStart"/>
      <w:r w:rsidRPr="00746DEF">
        <w:rPr>
          <w:rFonts w:ascii="Arial" w:hAnsi="Arial" w:cs="Arial"/>
          <w:szCs w:val="24"/>
        </w:rPr>
        <w:t>Makvandi</w:t>
      </w:r>
      <w:proofErr w:type="spellEnd"/>
      <w:r w:rsidRPr="00746DEF">
        <w:rPr>
          <w:rFonts w:ascii="Arial" w:hAnsi="Arial" w:cs="Arial"/>
          <w:szCs w:val="24"/>
        </w:rPr>
        <w:t>, R. (2024)</w:t>
      </w:r>
      <w:bookmarkEnd w:id="11"/>
      <w:r w:rsidRPr="00746DEF">
        <w:rPr>
          <w:rFonts w:ascii="Arial" w:hAnsi="Arial" w:cs="Arial"/>
          <w:szCs w:val="24"/>
        </w:rPr>
        <w:t xml:space="preserve">. Analysis of the Impact of Macroeconomic Factors on the Development of Financial Products: Application of the PESTEL Model in Identifying Opportunities and Threats. </w:t>
      </w:r>
      <w:r w:rsidRPr="004B078C">
        <w:rPr>
          <w:rFonts w:ascii="Arial" w:hAnsi="Arial" w:cs="Arial"/>
          <w:i/>
          <w:iCs/>
          <w:szCs w:val="24"/>
        </w:rPr>
        <w:t>Transactions on Quantitative Finance and Beyond, 1</w:t>
      </w:r>
      <w:r w:rsidRPr="00746DEF">
        <w:rPr>
          <w:rFonts w:ascii="Arial" w:hAnsi="Arial" w:cs="Arial"/>
          <w:szCs w:val="24"/>
        </w:rPr>
        <w:t xml:space="preserve">(2), pp.233-246. </w:t>
      </w:r>
      <w:hyperlink r:id="rId27" w:history="1">
        <w:r w:rsidRPr="00746DEF">
          <w:rPr>
            <w:rStyle w:val="Hyperlink"/>
            <w:rFonts w:ascii="Arial" w:hAnsi="Arial" w:cs="Arial"/>
            <w:szCs w:val="24"/>
          </w:rPr>
          <w:t>https://www.tqfb.reapress.com/journal/article/download/40/74</w:t>
        </w:r>
      </w:hyperlink>
      <w:r w:rsidRPr="00746DEF">
        <w:rPr>
          <w:rFonts w:ascii="Arial" w:hAnsi="Arial" w:cs="Arial"/>
          <w:szCs w:val="24"/>
        </w:rPr>
        <w:t xml:space="preserve"> </w:t>
      </w:r>
    </w:p>
    <w:p w14:paraId="4FF8CFEA" w14:textId="77777777" w:rsidR="00085FE7" w:rsidRPr="00746DEF" w:rsidRDefault="00085FE7" w:rsidP="006B4E52">
      <w:pPr>
        <w:rPr>
          <w:rFonts w:ascii="Arial" w:hAnsi="Arial" w:cs="Arial"/>
          <w:szCs w:val="24"/>
        </w:rPr>
      </w:pPr>
      <w:r w:rsidRPr="00746DEF">
        <w:rPr>
          <w:rFonts w:ascii="Arial" w:hAnsi="Arial" w:cs="Arial"/>
          <w:szCs w:val="24"/>
        </w:rPr>
        <w:t>Mobile News (2023) ‘</w:t>
      </w:r>
      <w:r w:rsidRPr="004B078C">
        <w:rPr>
          <w:rFonts w:ascii="Arial" w:hAnsi="Arial" w:cs="Arial"/>
          <w:i/>
          <w:iCs/>
          <w:szCs w:val="24"/>
        </w:rPr>
        <w:t>BT launches 5G Standalone with WiFi-7 trials’</w:t>
      </w:r>
      <w:r w:rsidRPr="00746DEF">
        <w:rPr>
          <w:rFonts w:ascii="Arial" w:hAnsi="Arial" w:cs="Arial"/>
          <w:szCs w:val="24"/>
        </w:rPr>
        <w:t xml:space="preserve">, Mobile News, 8 November. </w:t>
      </w:r>
      <w:r>
        <w:rPr>
          <w:rFonts w:ascii="Arial" w:hAnsi="Arial" w:cs="Arial"/>
          <w:szCs w:val="24"/>
        </w:rPr>
        <w:t>Available at:</w:t>
      </w:r>
      <w:r w:rsidRPr="00746DEF">
        <w:rPr>
          <w:rFonts w:ascii="Arial" w:hAnsi="Arial" w:cs="Arial"/>
          <w:szCs w:val="24"/>
        </w:rPr>
        <w:t xml:space="preserve"> </w:t>
      </w:r>
      <w:hyperlink r:id="rId28" w:history="1">
        <w:r w:rsidRPr="00746DEF">
          <w:rPr>
            <w:rStyle w:val="Hyperlink"/>
            <w:rFonts w:ascii="Arial" w:hAnsi="Arial" w:cs="Arial"/>
            <w:szCs w:val="24"/>
          </w:rPr>
          <w:t>https://www.mobilenews.com/articles/bt-launches-5g-standalone-with-wifi-7-trials</w:t>
        </w:r>
      </w:hyperlink>
      <w:r w:rsidRPr="00746DEF">
        <w:rPr>
          <w:rFonts w:ascii="Arial" w:hAnsi="Arial" w:cs="Arial"/>
          <w:szCs w:val="24"/>
        </w:rPr>
        <w:t xml:space="preserve"> </w:t>
      </w:r>
      <w:r>
        <w:rPr>
          <w:rFonts w:ascii="Arial" w:hAnsi="Arial" w:cs="Arial"/>
          <w:szCs w:val="24"/>
        </w:rPr>
        <w:t>[Accessed on 12.11.2025]</w:t>
      </w:r>
    </w:p>
    <w:p w14:paraId="174D1382" w14:textId="77777777" w:rsidR="00085FE7" w:rsidRPr="00746DEF" w:rsidRDefault="00085FE7" w:rsidP="006B4E52">
      <w:pPr>
        <w:rPr>
          <w:rFonts w:ascii="Arial" w:hAnsi="Arial" w:cs="Arial"/>
          <w:szCs w:val="24"/>
        </w:rPr>
      </w:pPr>
      <w:proofErr w:type="spellStart"/>
      <w:r w:rsidRPr="00746DEF">
        <w:rPr>
          <w:rFonts w:ascii="Arial" w:hAnsi="Arial" w:cs="Arial"/>
          <w:szCs w:val="24"/>
        </w:rPr>
        <w:t>NatCen</w:t>
      </w:r>
      <w:proofErr w:type="spellEnd"/>
      <w:r w:rsidRPr="00746DEF">
        <w:rPr>
          <w:rFonts w:ascii="Arial" w:hAnsi="Arial" w:cs="Arial"/>
          <w:szCs w:val="24"/>
        </w:rPr>
        <w:t xml:space="preserve"> Social Research (2023). </w:t>
      </w:r>
      <w:r w:rsidRPr="004B078C">
        <w:rPr>
          <w:rFonts w:ascii="Arial" w:hAnsi="Arial" w:cs="Arial"/>
          <w:i/>
          <w:iCs/>
          <w:szCs w:val="24"/>
        </w:rPr>
        <w:t>The Price We Pay: The social impact of the cost-of-living crisis in the UK</w:t>
      </w:r>
      <w:r w:rsidRPr="00746DEF">
        <w:rPr>
          <w:rFonts w:ascii="Arial" w:hAnsi="Arial" w:cs="Arial"/>
          <w:szCs w:val="24"/>
        </w:rPr>
        <w:t xml:space="preserve">. London: </w:t>
      </w:r>
      <w:proofErr w:type="spellStart"/>
      <w:r w:rsidRPr="00746DEF">
        <w:rPr>
          <w:rFonts w:ascii="Arial" w:hAnsi="Arial" w:cs="Arial"/>
          <w:szCs w:val="24"/>
        </w:rPr>
        <w:t>NatCen</w:t>
      </w:r>
      <w:proofErr w:type="spellEnd"/>
      <w:r w:rsidRPr="00746DEF">
        <w:rPr>
          <w:rFonts w:ascii="Arial" w:hAnsi="Arial" w:cs="Arial"/>
          <w:szCs w:val="24"/>
        </w:rPr>
        <w:t xml:space="preserve">. </w:t>
      </w:r>
      <w:r>
        <w:rPr>
          <w:rFonts w:ascii="Arial" w:hAnsi="Arial" w:cs="Arial"/>
          <w:szCs w:val="24"/>
        </w:rPr>
        <w:t xml:space="preserve">Available at: </w:t>
      </w:r>
      <w:hyperlink r:id="rId29" w:history="1">
        <w:r w:rsidRPr="0091395D">
          <w:rPr>
            <w:rStyle w:val="Hyperlink"/>
            <w:rFonts w:ascii="Arial" w:hAnsi="Arial" w:cs="Arial"/>
            <w:szCs w:val="24"/>
          </w:rPr>
          <w:t>https://natcen.ac.uk/sites/default/files/2023-07/Society%20Watch%202023_The%20Price%20We%20Pay_the%20social%20impact%20of%20the%20cost%20of%20living%20crisis.pdf</w:t>
        </w:r>
      </w:hyperlink>
      <w:r>
        <w:rPr>
          <w:rFonts w:ascii="Arial" w:hAnsi="Arial" w:cs="Arial"/>
          <w:szCs w:val="24"/>
        </w:rPr>
        <w:t xml:space="preserve"> [Accessed on 18.11.2025]</w:t>
      </w:r>
    </w:p>
    <w:p w14:paraId="02F2315B" w14:textId="77777777" w:rsidR="00085FE7" w:rsidRPr="00746DEF" w:rsidRDefault="00085FE7" w:rsidP="006B4E52">
      <w:pPr>
        <w:rPr>
          <w:rFonts w:ascii="Arial" w:hAnsi="Arial" w:cs="Arial"/>
          <w:szCs w:val="24"/>
        </w:rPr>
      </w:pPr>
      <w:r w:rsidRPr="00746DEF">
        <w:rPr>
          <w:rFonts w:ascii="Arial" w:hAnsi="Arial" w:cs="Arial"/>
          <w:szCs w:val="24"/>
        </w:rPr>
        <w:t>Reuters (2023) ‘</w:t>
      </w:r>
      <w:r w:rsidRPr="004B078C">
        <w:rPr>
          <w:rFonts w:ascii="Arial" w:hAnsi="Arial" w:cs="Arial"/>
          <w:i/>
          <w:iCs/>
          <w:szCs w:val="24"/>
        </w:rPr>
        <w:t>UK inflation and consumer demand pressures reshape retail spending’,</w:t>
      </w:r>
      <w:r w:rsidRPr="00746DEF">
        <w:rPr>
          <w:rFonts w:ascii="Arial" w:hAnsi="Arial" w:cs="Arial"/>
          <w:szCs w:val="24"/>
        </w:rPr>
        <w:t xml:space="preserve"> Reuters. </w:t>
      </w:r>
      <w:r>
        <w:rPr>
          <w:rFonts w:ascii="Arial" w:hAnsi="Arial" w:cs="Arial"/>
          <w:szCs w:val="24"/>
        </w:rPr>
        <w:t xml:space="preserve">Available at: </w:t>
      </w:r>
      <w:hyperlink r:id="rId30" w:history="1">
        <w:r w:rsidRPr="0091395D">
          <w:rPr>
            <w:rStyle w:val="Hyperlink"/>
            <w:rFonts w:ascii="Arial" w:hAnsi="Arial" w:cs="Arial"/>
            <w:szCs w:val="24"/>
          </w:rPr>
          <w:t>https://www.reuters.com/world/uk/food-retail-landscape-is-changing-good-says-britains-ocado-2021-02-09/</w:t>
        </w:r>
      </w:hyperlink>
      <w:r>
        <w:rPr>
          <w:rFonts w:ascii="Arial" w:hAnsi="Arial" w:cs="Arial"/>
          <w:szCs w:val="24"/>
        </w:rPr>
        <w:t xml:space="preserve"> [Accessed on 15.11.2025]</w:t>
      </w:r>
    </w:p>
    <w:p w14:paraId="205C1C58" w14:textId="77777777" w:rsidR="00085FE7" w:rsidRPr="00746DEF" w:rsidRDefault="00085FE7" w:rsidP="006B4E52">
      <w:pPr>
        <w:rPr>
          <w:rFonts w:ascii="Arial" w:hAnsi="Arial" w:cs="Arial"/>
          <w:szCs w:val="24"/>
        </w:rPr>
      </w:pPr>
      <w:r w:rsidRPr="00746DEF">
        <w:rPr>
          <w:rFonts w:ascii="Arial" w:hAnsi="Arial" w:cs="Arial"/>
          <w:szCs w:val="24"/>
        </w:rPr>
        <w:t xml:space="preserve">Sainsbury (2024) </w:t>
      </w:r>
      <w:r w:rsidRPr="004B078C">
        <w:rPr>
          <w:rFonts w:ascii="Arial" w:hAnsi="Arial" w:cs="Arial"/>
          <w:i/>
          <w:iCs/>
          <w:szCs w:val="24"/>
        </w:rPr>
        <w:t>Annual Report and Financial Statements 2024</w:t>
      </w:r>
      <w:r w:rsidRPr="00746DEF">
        <w:rPr>
          <w:rFonts w:ascii="Arial" w:hAnsi="Arial" w:cs="Arial"/>
          <w:szCs w:val="24"/>
        </w:rPr>
        <w:t xml:space="preserve">. London: J Sainsbury plc. </w:t>
      </w:r>
      <w:r>
        <w:rPr>
          <w:rFonts w:ascii="Arial" w:hAnsi="Arial" w:cs="Arial"/>
          <w:szCs w:val="24"/>
        </w:rPr>
        <w:t>Available at:</w:t>
      </w:r>
      <w:r w:rsidRPr="00746DEF">
        <w:rPr>
          <w:rFonts w:ascii="Arial" w:hAnsi="Arial" w:cs="Arial"/>
          <w:szCs w:val="24"/>
        </w:rPr>
        <w:t xml:space="preserve"> </w:t>
      </w:r>
      <w:hyperlink r:id="rId31" w:history="1">
        <w:r w:rsidRPr="00746DEF">
          <w:rPr>
            <w:rStyle w:val="Hyperlink"/>
            <w:rFonts w:ascii="Arial" w:hAnsi="Arial" w:cs="Arial"/>
            <w:szCs w:val="24"/>
          </w:rPr>
          <w:t>https://corporate.sainsburys.co.uk/media/n3bdgevz/sainsbury-annual-report-and-financial-statements-2024.pdf</w:t>
        </w:r>
      </w:hyperlink>
      <w:r>
        <w:rPr>
          <w:rFonts w:ascii="Arial" w:hAnsi="Arial" w:cs="Arial"/>
          <w:szCs w:val="24"/>
        </w:rPr>
        <w:t xml:space="preserve"> [Accessed on 15.11.2025]</w:t>
      </w:r>
    </w:p>
    <w:p w14:paraId="08B81CDD" w14:textId="77777777" w:rsidR="00085FE7" w:rsidRPr="00746DEF" w:rsidRDefault="00085FE7" w:rsidP="006B4E52">
      <w:pPr>
        <w:rPr>
          <w:rFonts w:ascii="Arial" w:hAnsi="Arial" w:cs="Arial"/>
          <w:szCs w:val="24"/>
        </w:rPr>
      </w:pPr>
      <w:r w:rsidRPr="00746DEF">
        <w:rPr>
          <w:rFonts w:ascii="Arial" w:hAnsi="Arial" w:cs="Arial"/>
          <w:szCs w:val="24"/>
        </w:rPr>
        <w:lastRenderedPageBreak/>
        <w:t xml:space="preserve">Sainsbury (2025) </w:t>
      </w:r>
      <w:r w:rsidRPr="009A7DEF">
        <w:rPr>
          <w:rFonts w:ascii="Arial" w:hAnsi="Arial" w:cs="Arial"/>
          <w:i/>
          <w:iCs/>
          <w:szCs w:val="24"/>
        </w:rPr>
        <w:t xml:space="preserve">Nectar360 Retail Media and Data Transformation – Preliminary Results Presentation. </w:t>
      </w:r>
      <w:r w:rsidRPr="00746DEF">
        <w:rPr>
          <w:rFonts w:ascii="Arial" w:hAnsi="Arial" w:cs="Arial"/>
          <w:szCs w:val="24"/>
        </w:rPr>
        <w:t xml:space="preserve">London: J Sainsbury plc. </w:t>
      </w:r>
      <w:r>
        <w:rPr>
          <w:rFonts w:ascii="Arial" w:hAnsi="Arial" w:cs="Arial"/>
          <w:szCs w:val="24"/>
        </w:rPr>
        <w:t xml:space="preserve">Available at: </w:t>
      </w:r>
      <w:hyperlink r:id="rId32" w:history="1">
        <w:r w:rsidRPr="0091395D">
          <w:rPr>
            <w:rStyle w:val="Hyperlink"/>
            <w:rFonts w:ascii="Arial" w:hAnsi="Arial" w:cs="Arial"/>
            <w:szCs w:val="24"/>
          </w:rPr>
          <w:t>https://corporate.sainsburys.co.uk/media/gwlnbo1p/j-sainsbury-plc-preliminary-results-2425-presentation.pdf</w:t>
        </w:r>
      </w:hyperlink>
      <w:r>
        <w:rPr>
          <w:rFonts w:ascii="Arial" w:hAnsi="Arial" w:cs="Arial"/>
          <w:szCs w:val="24"/>
        </w:rPr>
        <w:t xml:space="preserve"> [Accessed on 12.11.2025]</w:t>
      </w:r>
    </w:p>
    <w:p w14:paraId="1A37F9F1" w14:textId="77777777" w:rsidR="00085FE7" w:rsidRPr="00746DEF" w:rsidRDefault="00085FE7" w:rsidP="006B4E52">
      <w:pPr>
        <w:rPr>
          <w:rFonts w:ascii="Arial" w:hAnsi="Arial" w:cs="Arial"/>
          <w:szCs w:val="24"/>
        </w:rPr>
      </w:pPr>
      <w:r w:rsidRPr="00746DEF">
        <w:rPr>
          <w:rFonts w:ascii="Arial" w:hAnsi="Arial" w:cs="Arial"/>
          <w:szCs w:val="24"/>
        </w:rPr>
        <w:t xml:space="preserve">Sainsbury (2025) </w:t>
      </w:r>
      <w:r w:rsidRPr="004B078C">
        <w:rPr>
          <w:rFonts w:ascii="Arial" w:hAnsi="Arial" w:cs="Arial"/>
          <w:i/>
          <w:iCs/>
          <w:szCs w:val="24"/>
        </w:rPr>
        <w:t>Plan for Better and Next Level Growth Strategy Update.</w:t>
      </w:r>
      <w:r w:rsidRPr="00746DEF">
        <w:rPr>
          <w:rFonts w:ascii="Arial" w:hAnsi="Arial" w:cs="Arial"/>
          <w:szCs w:val="24"/>
        </w:rPr>
        <w:t xml:space="preserve"> London: J Sainsbury plc.</w:t>
      </w:r>
      <w:r>
        <w:rPr>
          <w:rFonts w:ascii="Arial" w:hAnsi="Arial" w:cs="Arial"/>
          <w:szCs w:val="24"/>
        </w:rPr>
        <w:t xml:space="preserve"> Available at: </w:t>
      </w:r>
      <w:hyperlink r:id="rId33" w:history="1">
        <w:r w:rsidRPr="0091395D">
          <w:rPr>
            <w:rStyle w:val="Hyperlink"/>
            <w:rFonts w:ascii="Arial" w:hAnsi="Arial" w:cs="Arial"/>
            <w:szCs w:val="24"/>
          </w:rPr>
          <w:t>https://corporate.sainsburys.co.uk/media/qe2cmbah/sainsbury-annual-report-and-financial-statements-2025-purpose-in-action.pdf</w:t>
        </w:r>
      </w:hyperlink>
      <w:r w:rsidRPr="00746DEF">
        <w:rPr>
          <w:rFonts w:ascii="Arial" w:hAnsi="Arial" w:cs="Arial"/>
          <w:szCs w:val="24"/>
        </w:rPr>
        <w:t xml:space="preserve"> </w:t>
      </w:r>
      <w:r>
        <w:rPr>
          <w:rFonts w:ascii="Arial" w:hAnsi="Arial" w:cs="Arial"/>
          <w:szCs w:val="24"/>
        </w:rPr>
        <w:t>[Accessed on 15.11.2025]</w:t>
      </w:r>
    </w:p>
    <w:p w14:paraId="707C5A1B" w14:textId="77777777" w:rsidR="00085FE7" w:rsidRPr="00746DEF" w:rsidRDefault="00085FE7" w:rsidP="006B4E52">
      <w:pPr>
        <w:rPr>
          <w:rFonts w:ascii="Arial" w:hAnsi="Arial" w:cs="Arial"/>
          <w:szCs w:val="24"/>
        </w:rPr>
      </w:pPr>
      <w:r w:rsidRPr="004C7F97">
        <w:rPr>
          <w:rFonts w:ascii="Arial" w:hAnsi="Arial" w:cs="Arial"/>
          <w:szCs w:val="24"/>
        </w:rPr>
        <w:t xml:space="preserve">Shaik, A.S. and Dhir, S., </w:t>
      </w:r>
      <w:r>
        <w:rPr>
          <w:rFonts w:ascii="Arial" w:hAnsi="Arial" w:cs="Arial"/>
          <w:szCs w:val="24"/>
        </w:rPr>
        <w:t>(</w:t>
      </w:r>
      <w:r w:rsidRPr="004C7F97">
        <w:rPr>
          <w:rFonts w:ascii="Arial" w:hAnsi="Arial" w:cs="Arial"/>
          <w:szCs w:val="24"/>
        </w:rPr>
        <w:t>2021</w:t>
      </w:r>
      <w:r>
        <w:rPr>
          <w:rFonts w:ascii="Arial" w:hAnsi="Arial" w:cs="Arial"/>
          <w:szCs w:val="24"/>
        </w:rPr>
        <w:t>)</w:t>
      </w:r>
      <w:r w:rsidRPr="004C7F97">
        <w:rPr>
          <w:rFonts w:ascii="Arial" w:hAnsi="Arial" w:cs="Arial"/>
          <w:szCs w:val="24"/>
        </w:rPr>
        <w:t>. What drives organisational performance: strategic thinking, technological change, strategic risks? A modified total interpretive structural modelling approach and MICMAC analysis. </w:t>
      </w:r>
      <w:r w:rsidRPr="004C7F97">
        <w:rPr>
          <w:rFonts w:ascii="Arial" w:hAnsi="Arial" w:cs="Arial"/>
          <w:i/>
          <w:iCs/>
          <w:szCs w:val="24"/>
        </w:rPr>
        <w:t>Journal of Indian Business Research</w:t>
      </w:r>
      <w:r w:rsidRPr="004C7F97">
        <w:rPr>
          <w:rFonts w:ascii="Arial" w:hAnsi="Arial" w:cs="Arial"/>
          <w:szCs w:val="24"/>
        </w:rPr>
        <w:t>, </w:t>
      </w:r>
      <w:r w:rsidRPr="004C7F97">
        <w:rPr>
          <w:rFonts w:ascii="Arial" w:hAnsi="Arial" w:cs="Arial"/>
          <w:i/>
          <w:iCs/>
          <w:szCs w:val="24"/>
        </w:rPr>
        <w:t>13</w:t>
      </w:r>
      <w:r w:rsidRPr="004C7F97">
        <w:rPr>
          <w:rFonts w:ascii="Arial" w:hAnsi="Arial" w:cs="Arial"/>
          <w:szCs w:val="24"/>
        </w:rPr>
        <w:t>(4), pp.533-563.</w:t>
      </w:r>
      <w:r>
        <w:rPr>
          <w:rFonts w:ascii="Arial" w:hAnsi="Arial" w:cs="Arial"/>
          <w:szCs w:val="24"/>
        </w:rPr>
        <w:t xml:space="preserve"> </w:t>
      </w:r>
      <w:hyperlink r:id="rId34" w:history="1">
        <w:r w:rsidRPr="0091395D">
          <w:rPr>
            <w:rStyle w:val="Hyperlink"/>
            <w:rFonts w:ascii="Arial" w:hAnsi="Arial" w:cs="Arial"/>
            <w:szCs w:val="24"/>
          </w:rPr>
          <w:t>https://www.emerald.com/insight/content/doi/10.1108/JIBR-09-2020-0309/full/html</w:t>
        </w:r>
      </w:hyperlink>
      <w:r>
        <w:rPr>
          <w:rFonts w:ascii="Arial" w:hAnsi="Arial" w:cs="Arial"/>
          <w:szCs w:val="24"/>
        </w:rPr>
        <w:t xml:space="preserve"> </w:t>
      </w:r>
    </w:p>
    <w:p w14:paraId="6D99A98E" w14:textId="77777777" w:rsidR="00085FE7" w:rsidRPr="00746DEF" w:rsidRDefault="00085FE7" w:rsidP="006B4E52">
      <w:pPr>
        <w:rPr>
          <w:rFonts w:ascii="Arial" w:hAnsi="Arial" w:cs="Arial"/>
          <w:szCs w:val="24"/>
        </w:rPr>
      </w:pPr>
      <w:proofErr w:type="spellStart"/>
      <w:r w:rsidRPr="00746DEF">
        <w:rPr>
          <w:rFonts w:ascii="Arial" w:hAnsi="Arial" w:cs="Arial"/>
          <w:szCs w:val="24"/>
        </w:rPr>
        <w:t>Stecuła</w:t>
      </w:r>
      <w:proofErr w:type="spellEnd"/>
      <w:r w:rsidRPr="00746DEF">
        <w:rPr>
          <w:rFonts w:ascii="Arial" w:hAnsi="Arial" w:cs="Arial"/>
          <w:szCs w:val="24"/>
        </w:rPr>
        <w:t xml:space="preserve">, K. (2024) ‘Technology development in online grocery shopping: A systematic review’, </w:t>
      </w:r>
      <w:r w:rsidRPr="004B078C">
        <w:rPr>
          <w:rFonts w:ascii="Arial" w:hAnsi="Arial" w:cs="Arial"/>
          <w:i/>
          <w:iCs/>
          <w:szCs w:val="24"/>
        </w:rPr>
        <w:t>Foods, 13</w:t>
      </w:r>
      <w:r w:rsidRPr="00746DEF">
        <w:rPr>
          <w:rFonts w:ascii="Arial" w:hAnsi="Arial" w:cs="Arial"/>
          <w:szCs w:val="24"/>
        </w:rPr>
        <w:t xml:space="preserve">(5), pp. 850–870. </w:t>
      </w:r>
      <w:hyperlink r:id="rId35" w:history="1">
        <w:r w:rsidRPr="0091395D">
          <w:rPr>
            <w:rStyle w:val="Hyperlink"/>
            <w:rFonts w:ascii="Arial" w:hAnsi="Arial" w:cs="Arial"/>
            <w:szCs w:val="24"/>
          </w:rPr>
          <w:t>https://www.mdpi.com/2304-8158/13/5/850</w:t>
        </w:r>
      </w:hyperlink>
      <w:r w:rsidRPr="00746DEF">
        <w:rPr>
          <w:rFonts w:ascii="Arial" w:hAnsi="Arial" w:cs="Arial"/>
          <w:szCs w:val="24"/>
        </w:rPr>
        <w:t xml:space="preserve"> </w:t>
      </w:r>
    </w:p>
    <w:p w14:paraId="3B0A8E38" w14:textId="77777777" w:rsidR="00085FE7" w:rsidRPr="00746DEF" w:rsidRDefault="00085FE7" w:rsidP="006B4E52">
      <w:pPr>
        <w:rPr>
          <w:rFonts w:ascii="Arial" w:hAnsi="Arial" w:cs="Arial"/>
          <w:szCs w:val="24"/>
        </w:rPr>
      </w:pPr>
      <w:r w:rsidRPr="00746DEF">
        <w:rPr>
          <w:rFonts w:ascii="Arial" w:hAnsi="Arial" w:cs="Arial"/>
          <w:szCs w:val="24"/>
        </w:rPr>
        <w:t>The Guardian (2023) ‘</w:t>
      </w:r>
      <w:r w:rsidRPr="004B078C">
        <w:rPr>
          <w:rFonts w:ascii="Arial" w:hAnsi="Arial" w:cs="Arial"/>
          <w:i/>
          <w:iCs/>
          <w:szCs w:val="24"/>
        </w:rPr>
        <w:t>Food inflation squeezes household spending as consumers trade down’,</w:t>
      </w:r>
      <w:r w:rsidRPr="00746DEF">
        <w:rPr>
          <w:rFonts w:ascii="Arial" w:hAnsi="Arial" w:cs="Arial"/>
          <w:szCs w:val="24"/>
        </w:rPr>
        <w:t xml:space="preserve"> The Guardian. </w:t>
      </w:r>
      <w:r>
        <w:rPr>
          <w:rFonts w:ascii="Arial" w:hAnsi="Arial" w:cs="Arial"/>
          <w:szCs w:val="24"/>
        </w:rPr>
        <w:t xml:space="preserve">Available at: </w:t>
      </w:r>
      <w:hyperlink r:id="rId36" w:history="1">
        <w:r w:rsidRPr="0091395D">
          <w:rPr>
            <w:rStyle w:val="Hyperlink"/>
            <w:rFonts w:ascii="Arial" w:hAnsi="Arial" w:cs="Arial"/>
            <w:szCs w:val="24"/>
          </w:rPr>
          <w:t>https://www.theguardian.com/business/2023/sep/10/food-inflation-household-spending-trade-down</w:t>
        </w:r>
      </w:hyperlink>
      <w:r w:rsidRPr="00746DEF">
        <w:rPr>
          <w:rFonts w:ascii="Arial" w:hAnsi="Arial" w:cs="Arial"/>
          <w:szCs w:val="24"/>
        </w:rPr>
        <w:t xml:space="preserve"> </w:t>
      </w:r>
      <w:bookmarkStart w:id="12" w:name="_Hlk214470297"/>
      <w:r>
        <w:rPr>
          <w:rFonts w:ascii="Arial" w:hAnsi="Arial" w:cs="Arial"/>
          <w:szCs w:val="24"/>
        </w:rPr>
        <w:t>[Accessed on 12.11.2025]</w:t>
      </w:r>
    </w:p>
    <w:bookmarkEnd w:id="12"/>
    <w:p w14:paraId="1EFEC7E6" w14:textId="77777777" w:rsidR="00085FE7" w:rsidRPr="00746DEF" w:rsidRDefault="00085FE7" w:rsidP="006B4E52">
      <w:pPr>
        <w:rPr>
          <w:rFonts w:ascii="Arial" w:hAnsi="Arial" w:cs="Arial"/>
          <w:szCs w:val="24"/>
        </w:rPr>
      </w:pPr>
      <w:proofErr w:type="spellStart"/>
      <w:r w:rsidRPr="00191E5E">
        <w:rPr>
          <w:rFonts w:ascii="Arial" w:hAnsi="Arial" w:cs="Arial"/>
          <w:szCs w:val="24"/>
        </w:rPr>
        <w:t>Tuunanen</w:t>
      </w:r>
      <w:proofErr w:type="spellEnd"/>
      <w:r w:rsidRPr="00191E5E">
        <w:rPr>
          <w:rFonts w:ascii="Arial" w:hAnsi="Arial" w:cs="Arial"/>
          <w:szCs w:val="24"/>
        </w:rPr>
        <w:t xml:space="preserve">, T., Salo, M. and Li, F., </w:t>
      </w:r>
      <w:r>
        <w:rPr>
          <w:rFonts w:ascii="Arial" w:hAnsi="Arial" w:cs="Arial"/>
          <w:szCs w:val="24"/>
        </w:rPr>
        <w:t>(</w:t>
      </w:r>
      <w:r w:rsidRPr="00191E5E">
        <w:rPr>
          <w:rFonts w:ascii="Arial" w:hAnsi="Arial" w:cs="Arial"/>
          <w:szCs w:val="24"/>
        </w:rPr>
        <w:t>2023</w:t>
      </w:r>
      <w:r>
        <w:rPr>
          <w:rFonts w:ascii="Arial" w:hAnsi="Arial" w:cs="Arial"/>
          <w:szCs w:val="24"/>
        </w:rPr>
        <w:t>)</w:t>
      </w:r>
      <w:r w:rsidRPr="00191E5E">
        <w:rPr>
          <w:rFonts w:ascii="Arial" w:hAnsi="Arial" w:cs="Arial"/>
          <w:szCs w:val="24"/>
        </w:rPr>
        <w:t>. Modular service design of information technology-enabled services. </w:t>
      </w:r>
      <w:r w:rsidRPr="00191E5E">
        <w:rPr>
          <w:rFonts w:ascii="Arial" w:hAnsi="Arial" w:cs="Arial"/>
          <w:i/>
          <w:iCs/>
          <w:szCs w:val="24"/>
        </w:rPr>
        <w:t>Journal of Service Research</w:t>
      </w:r>
      <w:r w:rsidRPr="00191E5E">
        <w:rPr>
          <w:rFonts w:ascii="Arial" w:hAnsi="Arial" w:cs="Arial"/>
          <w:szCs w:val="24"/>
        </w:rPr>
        <w:t>, </w:t>
      </w:r>
      <w:r w:rsidRPr="00191E5E">
        <w:rPr>
          <w:rFonts w:ascii="Arial" w:hAnsi="Arial" w:cs="Arial"/>
          <w:i/>
          <w:iCs/>
          <w:szCs w:val="24"/>
        </w:rPr>
        <w:t>26</w:t>
      </w:r>
      <w:r w:rsidRPr="00191E5E">
        <w:rPr>
          <w:rFonts w:ascii="Arial" w:hAnsi="Arial" w:cs="Arial"/>
          <w:szCs w:val="24"/>
        </w:rPr>
        <w:t>(2), pp.270-282.</w:t>
      </w:r>
      <w:r>
        <w:rPr>
          <w:rFonts w:ascii="Arial" w:hAnsi="Arial" w:cs="Arial"/>
          <w:szCs w:val="24"/>
        </w:rPr>
        <w:t xml:space="preserve"> </w:t>
      </w:r>
      <w:hyperlink r:id="rId37" w:history="1">
        <w:r w:rsidRPr="0091395D">
          <w:rPr>
            <w:rStyle w:val="Hyperlink"/>
            <w:rFonts w:ascii="Arial" w:hAnsi="Arial" w:cs="Arial"/>
            <w:szCs w:val="24"/>
          </w:rPr>
          <w:t>https://www.researchgate.net/profile/Tuure-Tuunanen/publication/360143904_Modular_Service_Design_of_Information_Technology-Enabled_Services/links/626b8d78d99ac24cc472be87/Modular-Service-Design-of-Information-Technology-Enabled-Services.pdf?origin=journalDetail&amp;_tp=eyJwYWdlIjoiam91cm5hbERldGFpbCJ9</w:t>
        </w:r>
      </w:hyperlink>
      <w:r>
        <w:rPr>
          <w:rFonts w:ascii="Arial" w:hAnsi="Arial" w:cs="Arial"/>
          <w:szCs w:val="24"/>
        </w:rPr>
        <w:t xml:space="preserve"> </w:t>
      </w:r>
    </w:p>
    <w:p w14:paraId="2F4775F5" w14:textId="77777777" w:rsidR="00085FE7" w:rsidRPr="00746DEF" w:rsidRDefault="00085FE7" w:rsidP="006B4E52">
      <w:pPr>
        <w:rPr>
          <w:rFonts w:ascii="Arial" w:hAnsi="Arial" w:cs="Arial"/>
          <w:szCs w:val="24"/>
        </w:rPr>
      </w:pPr>
      <w:r w:rsidRPr="00746DEF">
        <w:rPr>
          <w:rFonts w:ascii="Arial" w:hAnsi="Arial" w:cs="Arial"/>
          <w:szCs w:val="24"/>
        </w:rPr>
        <w:t xml:space="preserve">Virgin Media O2 (2022) </w:t>
      </w:r>
      <w:r w:rsidRPr="004B078C">
        <w:rPr>
          <w:rFonts w:ascii="Arial" w:hAnsi="Arial" w:cs="Arial"/>
          <w:i/>
          <w:iCs/>
          <w:szCs w:val="24"/>
        </w:rPr>
        <w:t>Joint Venture Integration and Growth Strategy Update.</w:t>
      </w:r>
      <w:r w:rsidRPr="00746DEF">
        <w:rPr>
          <w:rFonts w:ascii="Arial" w:hAnsi="Arial" w:cs="Arial"/>
          <w:szCs w:val="24"/>
        </w:rPr>
        <w:t xml:space="preserve"> London: Virgin Media O2.</w:t>
      </w:r>
      <w:r>
        <w:rPr>
          <w:rFonts w:ascii="Arial" w:hAnsi="Arial" w:cs="Arial"/>
          <w:szCs w:val="24"/>
        </w:rPr>
        <w:t xml:space="preserve"> Available at: </w:t>
      </w:r>
      <w:hyperlink r:id="rId38" w:history="1">
        <w:r w:rsidRPr="0091395D">
          <w:rPr>
            <w:rStyle w:val="Hyperlink"/>
            <w:rFonts w:ascii="Arial" w:hAnsi="Arial" w:cs="Arial"/>
            <w:szCs w:val="24"/>
          </w:rPr>
          <w:t>https://prod.ctassets.virginmedia.com/uploads/Virgin_Media_Limited_Corporate_Governance_Report_2022_2bcf6544df.pdf</w:t>
        </w:r>
      </w:hyperlink>
      <w:r w:rsidRPr="00746DEF">
        <w:rPr>
          <w:rFonts w:ascii="Arial" w:hAnsi="Arial" w:cs="Arial"/>
          <w:szCs w:val="24"/>
        </w:rPr>
        <w:t xml:space="preserve"> </w:t>
      </w:r>
      <w:r>
        <w:rPr>
          <w:rFonts w:ascii="Arial" w:hAnsi="Arial" w:cs="Arial"/>
          <w:szCs w:val="24"/>
        </w:rPr>
        <w:t>[Accessed on 15.11.2025]</w:t>
      </w:r>
    </w:p>
    <w:p w14:paraId="55094748" w14:textId="13E5AF7F" w:rsidR="003A4727" w:rsidRPr="00746DEF" w:rsidRDefault="003A4727" w:rsidP="006B4E52">
      <w:pPr>
        <w:rPr>
          <w:rFonts w:ascii="Arial" w:hAnsi="Arial" w:cs="Arial"/>
          <w:szCs w:val="24"/>
        </w:rPr>
      </w:pPr>
      <w:r w:rsidRPr="00746DEF">
        <w:rPr>
          <w:rFonts w:ascii="Arial" w:hAnsi="Arial" w:cs="Arial"/>
          <w:szCs w:val="24"/>
        </w:rPr>
        <w:lastRenderedPageBreak/>
        <w:t xml:space="preserve">Virgin Media O2 (2023) </w:t>
      </w:r>
      <w:r w:rsidRPr="004B078C">
        <w:rPr>
          <w:rFonts w:ascii="Arial" w:hAnsi="Arial" w:cs="Arial"/>
          <w:i/>
          <w:iCs/>
          <w:szCs w:val="24"/>
        </w:rPr>
        <w:t>Annual Report and Financial Statements 2023.</w:t>
      </w:r>
      <w:r w:rsidRPr="00746DEF">
        <w:rPr>
          <w:rFonts w:ascii="Arial" w:hAnsi="Arial" w:cs="Arial"/>
          <w:szCs w:val="24"/>
        </w:rPr>
        <w:t xml:space="preserve"> London: Virgin Media O2.</w:t>
      </w:r>
      <w:r w:rsidR="004B078C">
        <w:rPr>
          <w:rFonts w:ascii="Arial" w:hAnsi="Arial" w:cs="Arial"/>
          <w:szCs w:val="24"/>
        </w:rPr>
        <w:t xml:space="preserve"> Available at:</w:t>
      </w:r>
      <w:r w:rsidRPr="00746DEF">
        <w:rPr>
          <w:rFonts w:ascii="Arial" w:hAnsi="Arial" w:cs="Arial"/>
          <w:szCs w:val="24"/>
        </w:rPr>
        <w:t xml:space="preserve"> </w:t>
      </w:r>
      <w:hyperlink r:id="rId39" w:history="1">
        <w:r w:rsidRPr="00746DEF">
          <w:rPr>
            <w:rStyle w:val="Hyperlink"/>
            <w:rFonts w:ascii="Arial" w:hAnsi="Arial" w:cs="Arial"/>
            <w:szCs w:val="24"/>
          </w:rPr>
          <w:t>https://prod.ctassets.virginmedia.com/uploads/VMED_O2_UK_Holdings_Limited_2021_Annual_Report_de8425b379.pdf</w:t>
        </w:r>
      </w:hyperlink>
      <w:r w:rsidRPr="00746DEF">
        <w:rPr>
          <w:rFonts w:ascii="Arial" w:hAnsi="Arial" w:cs="Arial"/>
          <w:szCs w:val="24"/>
        </w:rPr>
        <w:t xml:space="preserve"> </w:t>
      </w:r>
    </w:p>
    <w:sectPr w:rsidR="003A4727" w:rsidRPr="00746DEF" w:rsidSect="006B4E52">
      <w:footerReference w:type="default" r:id="rId4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A13B6" w14:textId="77777777" w:rsidR="004319FA" w:rsidRDefault="004319FA" w:rsidP="008A409B">
      <w:pPr>
        <w:spacing w:before="0" w:after="0" w:line="240" w:lineRule="auto"/>
      </w:pPr>
      <w:r>
        <w:separator/>
      </w:r>
    </w:p>
  </w:endnote>
  <w:endnote w:type="continuationSeparator" w:id="0">
    <w:p w14:paraId="00D44082" w14:textId="77777777" w:rsidR="004319FA" w:rsidRDefault="004319FA" w:rsidP="008A40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879801"/>
      <w:docPartObj>
        <w:docPartGallery w:val="Page Numbers (Bottom of Page)"/>
        <w:docPartUnique/>
      </w:docPartObj>
    </w:sdtPr>
    <w:sdtContent>
      <w:p w14:paraId="591A7222" w14:textId="77777777" w:rsidR="008A409B" w:rsidRDefault="008A409B">
        <w:pPr>
          <w:pStyle w:val="Footer"/>
          <w:jc w:val="right"/>
        </w:pPr>
      </w:p>
      <w:p w14:paraId="0CA432CC" w14:textId="176A03A4" w:rsidR="008A409B" w:rsidRDefault="008A409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A2CC55E" w14:textId="77777777" w:rsidR="008A409B" w:rsidRDefault="008A4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0DD5C" w14:textId="77777777" w:rsidR="004319FA" w:rsidRDefault="004319FA" w:rsidP="008A409B">
      <w:pPr>
        <w:spacing w:before="0" w:after="0" w:line="240" w:lineRule="auto"/>
      </w:pPr>
      <w:r>
        <w:separator/>
      </w:r>
    </w:p>
  </w:footnote>
  <w:footnote w:type="continuationSeparator" w:id="0">
    <w:p w14:paraId="0F6EAAA3" w14:textId="77777777" w:rsidR="004319FA" w:rsidRDefault="004319FA" w:rsidP="008A40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C17F6"/>
    <w:multiLevelType w:val="hybridMultilevel"/>
    <w:tmpl w:val="23EC81D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C7773B"/>
    <w:multiLevelType w:val="multilevel"/>
    <w:tmpl w:val="A7829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25544C"/>
    <w:multiLevelType w:val="multilevel"/>
    <w:tmpl w:val="7840C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6F694F"/>
    <w:multiLevelType w:val="multilevel"/>
    <w:tmpl w:val="808C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73B1B"/>
    <w:multiLevelType w:val="multilevel"/>
    <w:tmpl w:val="7DCEB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CA678B"/>
    <w:multiLevelType w:val="multilevel"/>
    <w:tmpl w:val="1A3A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5D0D30"/>
    <w:multiLevelType w:val="multilevel"/>
    <w:tmpl w:val="29AA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652267"/>
    <w:multiLevelType w:val="multilevel"/>
    <w:tmpl w:val="F18A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7F656E"/>
    <w:multiLevelType w:val="multilevel"/>
    <w:tmpl w:val="D1B8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7A70D5"/>
    <w:multiLevelType w:val="multilevel"/>
    <w:tmpl w:val="FBC2F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DE772C"/>
    <w:multiLevelType w:val="multilevel"/>
    <w:tmpl w:val="5308B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1B0D18"/>
    <w:multiLevelType w:val="multilevel"/>
    <w:tmpl w:val="F1DC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654F0E"/>
    <w:multiLevelType w:val="multilevel"/>
    <w:tmpl w:val="17B2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0591969">
    <w:abstractNumId w:val="9"/>
  </w:num>
  <w:num w:numId="2" w16cid:durableId="1240822005">
    <w:abstractNumId w:val="7"/>
  </w:num>
  <w:num w:numId="3" w16cid:durableId="1904176640">
    <w:abstractNumId w:val="5"/>
  </w:num>
  <w:num w:numId="4" w16cid:durableId="290940366">
    <w:abstractNumId w:val="12"/>
  </w:num>
  <w:num w:numId="5" w16cid:durableId="1224370819">
    <w:abstractNumId w:val="6"/>
  </w:num>
  <w:num w:numId="6" w16cid:durableId="584457472">
    <w:abstractNumId w:val="3"/>
  </w:num>
  <w:num w:numId="7" w16cid:durableId="2142259025">
    <w:abstractNumId w:val="8"/>
  </w:num>
  <w:num w:numId="8" w16cid:durableId="1623076849">
    <w:abstractNumId w:val="1"/>
  </w:num>
  <w:num w:numId="9" w16cid:durableId="831987414">
    <w:abstractNumId w:val="10"/>
  </w:num>
  <w:num w:numId="10" w16cid:durableId="1714846225">
    <w:abstractNumId w:val="4"/>
  </w:num>
  <w:num w:numId="11" w16cid:durableId="124395100">
    <w:abstractNumId w:val="2"/>
  </w:num>
  <w:num w:numId="12" w16cid:durableId="32391466">
    <w:abstractNumId w:val="11"/>
  </w:num>
  <w:num w:numId="13" w16cid:durableId="1838374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F9E"/>
    <w:rsid w:val="000027B8"/>
    <w:rsid w:val="00026F9E"/>
    <w:rsid w:val="00085FE7"/>
    <w:rsid w:val="000C1185"/>
    <w:rsid w:val="000C7D0C"/>
    <w:rsid w:val="001712BE"/>
    <w:rsid w:val="001862D8"/>
    <w:rsid w:val="00191E5E"/>
    <w:rsid w:val="00196816"/>
    <w:rsid w:val="001B5F0A"/>
    <w:rsid w:val="001C061E"/>
    <w:rsid w:val="001D3D1A"/>
    <w:rsid w:val="001F0238"/>
    <w:rsid w:val="001F5DCB"/>
    <w:rsid w:val="001F6C2C"/>
    <w:rsid w:val="00214D61"/>
    <w:rsid w:val="00215A45"/>
    <w:rsid w:val="002768F7"/>
    <w:rsid w:val="002B271E"/>
    <w:rsid w:val="002D5CE8"/>
    <w:rsid w:val="003123B3"/>
    <w:rsid w:val="003139BB"/>
    <w:rsid w:val="003747D3"/>
    <w:rsid w:val="00377711"/>
    <w:rsid w:val="003A4727"/>
    <w:rsid w:val="00400973"/>
    <w:rsid w:val="00410124"/>
    <w:rsid w:val="004319FA"/>
    <w:rsid w:val="004644AD"/>
    <w:rsid w:val="00466BF8"/>
    <w:rsid w:val="0048131A"/>
    <w:rsid w:val="004A797C"/>
    <w:rsid w:val="004B078C"/>
    <w:rsid w:val="004C6E5C"/>
    <w:rsid w:val="004C7F97"/>
    <w:rsid w:val="00551069"/>
    <w:rsid w:val="005E063F"/>
    <w:rsid w:val="0065126E"/>
    <w:rsid w:val="006743CF"/>
    <w:rsid w:val="006B4E52"/>
    <w:rsid w:val="006D0D1C"/>
    <w:rsid w:val="006E28BB"/>
    <w:rsid w:val="00714C5A"/>
    <w:rsid w:val="00746DEF"/>
    <w:rsid w:val="0077214A"/>
    <w:rsid w:val="007B2913"/>
    <w:rsid w:val="007F21B6"/>
    <w:rsid w:val="00855E44"/>
    <w:rsid w:val="00882194"/>
    <w:rsid w:val="00897B12"/>
    <w:rsid w:val="008A409B"/>
    <w:rsid w:val="008B3C9B"/>
    <w:rsid w:val="00931B53"/>
    <w:rsid w:val="009458AA"/>
    <w:rsid w:val="0098592E"/>
    <w:rsid w:val="009A7DEF"/>
    <w:rsid w:val="009E1E76"/>
    <w:rsid w:val="009E36D7"/>
    <w:rsid w:val="00A1622D"/>
    <w:rsid w:val="00A37281"/>
    <w:rsid w:val="00B0558F"/>
    <w:rsid w:val="00B275E4"/>
    <w:rsid w:val="00C33DAA"/>
    <w:rsid w:val="00C76A69"/>
    <w:rsid w:val="00CB2BF1"/>
    <w:rsid w:val="00CC1D62"/>
    <w:rsid w:val="00D662A3"/>
    <w:rsid w:val="00D81278"/>
    <w:rsid w:val="00DA6732"/>
    <w:rsid w:val="00DB41CB"/>
    <w:rsid w:val="00DD6CFE"/>
    <w:rsid w:val="00E262B2"/>
    <w:rsid w:val="00EA6AEE"/>
    <w:rsid w:val="00F80C79"/>
    <w:rsid w:val="00F90798"/>
    <w:rsid w:val="00F92136"/>
    <w:rsid w:val="00FA54A5"/>
    <w:rsid w:val="00FC43A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39C1B0"/>
  <w15:chartTrackingRefBased/>
  <w15:docId w15:val="{C2BB562E-55EB-4DEA-82BF-909E82ED3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D1A"/>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00973"/>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466BF8"/>
    <w:pPr>
      <w:keepNext/>
      <w:keepLines/>
      <w:outlineLvl w:val="1"/>
    </w:pPr>
    <w:rPr>
      <w:rFonts w:eastAsiaTheme="majorEastAsia" w:cstheme="majorBidi"/>
      <w:b/>
      <w:szCs w:val="26"/>
    </w:rPr>
  </w:style>
  <w:style w:type="paragraph" w:styleId="Heading3">
    <w:name w:val="heading 3"/>
    <w:basedOn w:val="Normal"/>
    <w:link w:val="Heading3Char"/>
    <w:uiPriority w:val="9"/>
    <w:qFormat/>
    <w:rsid w:val="00FC43AC"/>
    <w:pPr>
      <w:spacing w:before="0" w:beforeAutospacing="1" w:after="0" w:afterAutospacing="1" w:line="240" w:lineRule="auto"/>
      <w:jc w:val="left"/>
      <w:outlineLvl w:val="2"/>
    </w:pPr>
    <w:rPr>
      <w:rFonts w:eastAsia="Times New Roman" w:cs="Times New Roman"/>
      <w:b/>
      <w:bCs/>
      <w:szCs w:val="27"/>
      <w:lang w:eastAsia="en-IN"/>
    </w:rPr>
  </w:style>
  <w:style w:type="paragraph" w:styleId="Heading4">
    <w:name w:val="heading 4"/>
    <w:basedOn w:val="Normal"/>
    <w:link w:val="Heading4Char"/>
    <w:uiPriority w:val="9"/>
    <w:qFormat/>
    <w:rsid w:val="006E28BB"/>
    <w:pPr>
      <w:spacing w:before="100" w:beforeAutospacing="1" w:after="100" w:afterAutospacing="1" w:line="240" w:lineRule="auto"/>
      <w:jc w:val="left"/>
      <w:outlineLvl w:val="3"/>
    </w:pPr>
    <w:rPr>
      <w:rFonts w:eastAsia="Times New Roman" w:cs="Times New Roman"/>
      <w:b/>
      <w:bCs/>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97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66BF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C43AC"/>
    <w:rPr>
      <w:rFonts w:ascii="Times New Roman" w:eastAsia="Times New Roman" w:hAnsi="Times New Roman" w:cs="Times New Roman"/>
      <w:b/>
      <w:bCs/>
      <w:sz w:val="24"/>
      <w:szCs w:val="27"/>
      <w:lang w:eastAsia="en-IN"/>
    </w:rPr>
  </w:style>
  <w:style w:type="character" w:customStyle="1" w:styleId="Heading4Char">
    <w:name w:val="Heading 4 Char"/>
    <w:basedOn w:val="DefaultParagraphFont"/>
    <w:link w:val="Heading4"/>
    <w:uiPriority w:val="9"/>
    <w:rsid w:val="006E28BB"/>
    <w:rPr>
      <w:rFonts w:ascii="Times New Roman" w:eastAsia="Times New Roman" w:hAnsi="Times New Roman" w:cs="Times New Roman"/>
      <w:b/>
      <w:bCs/>
      <w:sz w:val="24"/>
      <w:szCs w:val="24"/>
      <w:lang w:eastAsia="en-IN"/>
    </w:rPr>
  </w:style>
  <w:style w:type="paragraph" w:styleId="NormalWeb">
    <w:name w:val="Normal (Web)"/>
    <w:basedOn w:val="Normal"/>
    <w:uiPriority w:val="99"/>
    <w:semiHidden/>
    <w:unhideWhenUsed/>
    <w:rsid w:val="006E28BB"/>
    <w:pPr>
      <w:spacing w:before="100" w:beforeAutospacing="1" w:after="100" w:afterAutospacing="1" w:line="240" w:lineRule="auto"/>
      <w:jc w:val="left"/>
    </w:pPr>
    <w:rPr>
      <w:rFonts w:eastAsia="Times New Roman" w:cs="Times New Roman"/>
      <w:szCs w:val="24"/>
      <w:lang w:eastAsia="en-IN"/>
    </w:rPr>
  </w:style>
  <w:style w:type="character" w:styleId="Strong">
    <w:name w:val="Strong"/>
    <w:basedOn w:val="DefaultParagraphFont"/>
    <w:uiPriority w:val="22"/>
    <w:qFormat/>
    <w:rsid w:val="006E28BB"/>
    <w:rPr>
      <w:b/>
      <w:bCs/>
    </w:rPr>
  </w:style>
  <w:style w:type="character" w:customStyle="1" w:styleId="ms-1">
    <w:name w:val="ms-1"/>
    <w:basedOn w:val="DefaultParagraphFont"/>
    <w:rsid w:val="006E28BB"/>
  </w:style>
  <w:style w:type="character" w:customStyle="1" w:styleId="max-w-15ch">
    <w:name w:val="max-w-[15ch]"/>
    <w:basedOn w:val="DefaultParagraphFont"/>
    <w:rsid w:val="006E28BB"/>
  </w:style>
  <w:style w:type="character" w:customStyle="1" w:styleId="-me-1">
    <w:name w:val="-me-1"/>
    <w:basedOn w:val="DefaultParagraphFont"/>
    <w:rsid w:val="006E28BB"/>
  </w:style>
  <w:style w:type="paragraph" w:styleId="TOCHeading">
    <w:name w:val="TOC Heading"/>
    <w:basedOn w:val="Heading1"/>
    <w:next w:val="Normal"/>
    <w:uiPriority w:val="39"/>
    <w:unhideWhenUsed/>
    <w:qFormat/>
    <w:rsid w:val="008A409B"/>
    <w:pPr>
      <w:spacing w:before="24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A409B"/>
    <w:pPr>
      <w:spacing w:after="100"/>
    </w:pPr>
  </w:style>
  <w:style w:type="paragraph" w:styleId="TOC2">
    <w:name w:val="toc 2"/>
    <w:basedOn w:val="Normal"/>
    <w:next w:val="Normal"/>
    <w:autoRedefine/>
    <w:uiPriority w:val="39"/>
    <w:unhideWhenUsed/>
    <w:rsid w:val="008A409B"/>
    <w:pPr>
      <w:spacing w:after="100"/>
      <w:ind w:left="240"/>
    </w:pPr>
  </w:style>
  <w:style w:type="paragraph" w:styleId="TOC3">
    <w:name w:val="toc 3"/>
    <w:basedOn w:val="Normal"/>
    <w:next w:val="Normal"/>
    <w:autoRedefine/>
    <w:uiPriority w:val="39"/>
    <w:unhideWhenUsed/>
    <w:rsid w:val="008A409B"/>
    <w:pPr>
      <w:spacing w:after="100"/>
      <w:ind w:left="480"/>
    </w:pPr>
  </w:style>
  <w:style w:type="character" w:styleId="Hyperlink">
    <w:name w:val="Hyperlink"/>
    <w:basedOn w:val="DefaultParagraphFont"/>
    <w:uiPriority w:val="99"/>
    <w:unhideWhenUsed/>
    <w:rsid w:val="008A409B"/>
    <w:rPr>
      <w:color w:val="0563C1" w:themeColor="hyperlink"/>
      <w:u w:val="single"/>
    </w:rPr>
  </w:style>
  <w:style w:type="paragraph" w:styleId="Header">
    <w:name w:val="header"/>
    <w:basedOn w:val="Normal"/>
    <w:link w:val="HeaderChar"/>
    <w:uiPriority w:val="99"/>
    <w:unhideWhenUsed/>
    <w:rsid w:val="008A409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A409B"/>
    <w:rPr>
      <w:rFonts w:ascii="Times New Roman" w:hAnsi="Times New Roman"/>
      <w:sz w:val="24"/>
    </w:rPr>
  </w:style>
  <w:style w:type="paragraph" w:styleId="Footer">
    <w:name w:val="footer"/>
    <w:basedOn w:val="Normal"/>
    <w:link w:val="FooterChar"/>
    <w:uiPriority w:val="99"/>
    <w:unhideWhenUsed/>
    <w:rsid w:val="008A409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A409B"/>
    <w:rPr>
      <w:rFonts w:ascii="Times New Roman" w:hAnsi="Times New Roman"/>
      <w:sz w:val="24"/>
    </w:rPr>
  </w:style>
  <w:style w:type="table" w:styleId="TableGrid">
    <w:name w:val="Table Grid"/>
    <w:basedOn w:val="TableNormal"/>
    <w:uiPriority w:val="39"/>
    <w:rsid w:val="00772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91E5E"/>
    <w:rPr>
      <w:color w:val="605E5C"/>
      <w:shd w:val="clear" w:color="auto" w:fill="E1DFDD"/>
    </w:rPr>
  </w:style>
  <w:style w:type="character" w:styleId="FollowedHyperlink">
    <w:name w:val="FollowedHyperlink"/>
    <w:basedOn w:val="DefaultParagraphFont"/>
    <w:uiPriority w:val="99"/>
    <w:semiHidden/>
    <w:unhideWhenUsed/>
    <w:rsid w:val="00214D61"/>
    <w:rPr>
      <w:color w:val="954F72" w:themeColor="followedHyperlink"/>
      <w:u w:val="single"/>
    </w:rPr>
  </w:style>
  <w:style w:type="paragraph" w:styleId="ListParagraph">
    <w:name w:val="List Paragraph"/>
    <w:basedOn w:val="Normal"/>
    <w:uiPriority w:val="34"/>
    <w:qFormat/>
    <w:rsid w:val="004C6E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17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ata.fca.org.uk/artefacts/NSM/Portal/NI-000098321/NI-000098321.pdf" TargetMode="External"/><Relationship Id="rId26" Type="http://schemas.openxmlformats.org/officeDocument/2006/relationships/hyperlink" Target="https://doi.org/10.1016/j.jbusres.2022.06.018" TargetMode="External"/><Relationship Id="rId39" Type="http://schemas.openxmlformats.org/officeDocument/2006/relationships/hyperlink" Target="https://prod.ctassets.virginmedia.com/uploads/VMED_O2_UK_Holdings_Limited_2021_Annual_Report_de8425b379.pdf" TargetMode="External"/><Relationship Id="rId21" Type="http://schemas.openxmlformats.org/officeDocument/2006/relationships/hyperlink" Target="https://digitalblog.coop.co.uk/wp-content/uploads/2024/05/Co-op-Digital-Design-System-Experience-Library.pdf" TargetMode="External"/><Relationship Id="rId34" Type="http://schemas.openxmlformats.org/officeDocument/2006/relationships/hyperlink" Target="https://www.emerald.com/insight/content/doi/10.1108/JIBR-09-2020-0309/full/htm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article/10.1007/s11151-025-10037-x" TargetMode="External"/><Relationship Id="rId20" Type="http://schemas.openxmlformats.org/officeDocument/2006/relationships/hyperlink" Target="https://www.co-op.crs/about" TargetMode="External"/><Relationship Id="rId29" Type="http://schemas.openxmlformats.org/officeDocument/2006/relationships/hyperlink" Target="https://natcen.ac.uk/sites/default/files/2023-07/Society%20Watch%202023_The%20Price%20We%20Pay_the%20social%20impact%20of%20the%20cost%20of%20living%20crisis.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lecomtv.com/content/5g/bts-ee-launches-5g-standalone-network-and-next-gen-wi-fi-7-router-51204/" TargetMode="External"/><Relationship Id="rId32" Type="http://schemas.openxmlformats.org/officeDocument/2006/relationships/hyperlink" Target="https://corporate.sainsburys.co.uk/media/gwlnbo1p/j-sainsbury-plc-preliminary-results-2425-presentation.pdf" TargetMode="External"/><Relationship Id="rId37" Type="http://schemas.openxmlformats.org/officeDocument/2006/relationships/hyperlink" Target="https://www.researchgate.net/profile/Tuure-Tuunanen/publication/360143904_Modular_Service_Design_of_Information_Technology-Enabled_Services/links/626b8d78d99ac24cc472be87/Modular-Service-Design-of-Information-Technology-Enabled-Services.pdf?origin=journalDetail&amp;_tp=eyJwYWdlIjoiam91cm5hbERldGFpbCJ9"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jretai.2023.07.004" TargetMode="External"/><Relationship Id="rId28" Type="http://schemas.openxmlformats.org/officeDocument/2006/relationships/hyperlink" Target="https://www.mobilenews.com/articles/bt-launches-5g-standalone-with-wifi-7-trials" TargetMode="External"/><Relationship Id="rId36" Type="http://schemas.openxmlformats.org/officeDocument/2006/relationships/hyperlink" Target="https://www.theguardian.com/business/2023/sep/10/food-inflation-household-spending-trade-down" TargetMode="External"/><Relationship Id="rId10" Type="http://schemas.openxmlformats.org/officeDocument/2006/relationships/image" Target="media/image3.png"/><Relationship Id="rId19" Type="http://schemas.openxmlformats.org/officeDocument/2006/relationships/hyperlink" Target="https://www.bt.com/bt-plc/assets/documents/investors/financial-reporting-and-news/annual-reports/2025/2025-bt-group-plc-strategic-report.pdf" TargetMode="External"/><Relationship Id="rId31" Type="http://schemas.openxmlformats.org/officeDocument/2006/relationships/hyperlink" Target="https://corporate.sainsburys.co.uk/media/n3bdgevz/sainsbury-annual-report-and-financial-statements-2024.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oop.co.uk/media/3250/annual-report-and-accounts-2023.pdf" TargetMode="External"/><Relationship Id="rId27" Type="http://schemas.openxmlformats.org/officeDocument/2006/relationships/hyperlink" Target="https://www.tqfb.reapress.com/journal/article/download/40/74" TargetMode="External"/><Relationship Id="rId30" Type="http://schemas.openxmlformats.org/officeDocument/2006/relationships/hyperlink" Target="https://www.reuters.com/world/uk/food-retail-landscape-is-changing-good-says-britains-ocado-2021-02-09/" TargetMode="External"/><Relationship Id="rId35" Type="http://schemas.openxmlformats.org/officeDocument/2006/relationships/hyperlink" Target="https://www.mdpi.com/2304-8158/13/5/850"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bc.co.uk/news/business-66578982" TargetMode="External"/><Relationship Id="rId25" Type="http://schemas.openxmlformats.org/officeDocument/2006/relationships/hyperlink" Target="https://www.ft.com/content/3a12bd1e-4f09-4a35-bf17-9b09e3c1f0e4" TargetMode="External"/><Relationship Id="rId33" Type="http://schemas.openxmlformats.org/officeDocument/2006/relationships/hyperlink" Target="https://corporate.sainsburys.co.uk/media/qe2cmbah/sainsbury-annual-report-and-financial-statements-2025-purpose-in-action.pdf" TargetMode="External"/><Relationship Id="rId38" Type="http://schemas.openxmlformats.org/officeDocument/2006/relationships/hyperlink" Target="https://prod.ctassets.virginmedia.com/uploads/Virgin_Media_Limited_Corporate_Governance_Report_2022_2bcf6544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07110-DA4F-4C9C-9483-2D4842362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4240</Words>
  <Characters>24168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mahipalsinh gohil</cp:lastModifiedBy>
  <cp:revision>60</cp:revision>
  <dcterms:created xsi:type="dcterms:W3CDTF">2025-11-19T12:47:00Z</dcterms:created>
  <dcterms:modified xsi:type="dcterms:W3CDTF">2025-11-20T12:28:00Z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91111ac5-bb0c-4e73-b134-60116d884689</vt:lpwstr>
  </property>
</Properties>
</file>