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eastAsia="宋体" w:cs="Arial"/>
          <w:b/>
          <w:bCs/>
          <w:sz w:val="28"/>
          <w:szCs w:val="28"/>
          <w:lang w:val="en-US" w:eastAsia="zh-CN"/>
        </w:rPr>
      </w:pPr>
      <w:r>
        <w:rPr>
          <w:rFonts w:hint="default" w:ascii="Arial" w:hAnsi="Arial" w:cs="Arial"/>
          <w:b/>
          <w:bCs/>
          <w:sz w:val="28"/>
          <w:szCs w:val="28"/>
        </w:rPr>
        <w:t>Assessment Title</w:t>
      </w:r>
      <w:r>
        <w:rPr>
          <w:rFonts w:hint="default" w:ascii="Arial" w:hAnsi="Arial" w:eastAsia="宋体" w:cs="Arial"/>
          <w:b/>
          <w:bCs/>
          <w:sz w:val="28"/>
          <w:szCs w:val="28"/>
          <w:lang w:val="en-US" w:eastAsia="zh-CN"/>
        </w:rPr>
        <w:t>: Tesco Marketing Plan: Enhancing Market Performance and Competitive Position</w:t>
      </w:r>
    </w:p>
    <w:p>
      <w:pPr>
        <w:rPr>
          <w:rFonts w:hint="default" w:ascii="Arial" w:hAnsi="Arial" w:cs="Arial"/>
          <w:b/>
          <w:bCs/>
          <w:sz w:val="28"/>
          <w:szCs w:val="28"/>
          <w:lang w:val="en-US" w:eastAsia="zh-CN"/>
        </w:rPr>
      </w:pPr>
      <w:r>
        <w:rPr>
          <w:rFonts w:hint="default" w:ascii="Arial" w:hAnsi="Arial" w:cs="Arial"/>
          <w:b/>
          <w:bCs/>
          <w:sz w:val="28"/>
          <w:szCs w:val="28"/>
        </w:rPr>
        <w:t>Module Code</w:t>
      </w:r>
      <w:r>
        <w:rPr>
          <w:rFonts w:hint="default" w:ascii="Arial" w:hAnsi="Arial" w:eastAsia="宋体" w:cs="Arial"/>
          <w:b/>
          <w:bCs/>
          <w:sz w:val="28"/>
          <w:szCs w:val="28"/>
          <w:lang w:val="en-US" w:eastAsia="zh-CN"/>
        </w:rPr>
        <w:t xml:space="preserve">: </w:t>
      </w:r>
      <w:r>
        <w:rPr>
          <w:rFonts w:hint="default" w:ascii="Arial" w:hAnsi="Arial" w:cs="Arial"/>
          <w:b/>
          <w:bCs/>
          <w:sz w:val="28"/>
          <w:szCs w:val="28"/>
          <w:lang w:val="en-US" w:eastAsia="zh-CN"/>
        </w:rPr>
        <w:t>BMBM60</w:t>
      </w:r>
      <w:r>
        <w:rPr>
          <w:rFonts w:hint="eastAsia" w:ascii="Arial" w:hAnsi="Arial" w:cs="Arial"/>
          <w:b/>
          <w:bCs/>
          <w:sz w:val="28"/>
          <w:szCs w:val="28"/>
          <w:lang w:val="en-US" w:eastAsia="zh-CN"/>
        </w:rPr>
        <w:t>16</w:t>
      </w:r>
      <w:r>
        <w:rPr>
          <w:rFonts w:hint="default" w:ascii="Arial" w:hAnsi="Arial" w:cs="Arial"/>
          <w:b/>
          <w:bCs/>
          <w:sz w:val="28"/>
          <w:szCs w:val="28"/>
          <w:lang w:val="en-US" w:eastAsia="zh-CN"/>
        </w:rPr>
        <w:t xml:space="preserve"> </w:t>
      </w:r>
    </w:p>
    <w:p>
      <w:pPr>
        <w:rPr>
          <w:rFonts w:hint="default" w:ascii="Arial" w:hAnsi="Arial" w:cs="Arial"/>
          <w:b/>
          <w:bCs/>
          <w:sz w:val="28"/>
          <w:szCs w:val="28"/>
          <w:lang w:val="en-US" w:eastAsia="zh-CN"/>
        </w:rPr>
      </w:pPr>
      <w:r>
        <w:rPr>
          <w:rFonts w:hint="eastAsia" w:ascii="Arial" w:hAnsi="Arial" w:cs="Arial"/>
          <w:b/>
          <w:bCs/>
          <w:sz w:val="28"/>
          <w:szCs w:val="28"/>
          <w:lang w:val="en-US" w:eastAsia="zh-CN"/>
        </w:rPr>
        <w:t>Module Name: Strategic Marketing</w:t>
      </w:r>
    </w:p>
    <w:p>
      <w:pPr>
        <w:rPr>
          <w:rFonts w:hint="eastAsia" w:ascii="Arial" w:hAnsi="Arial" w:eastAsia="宋体" w:cs="Arial"/>
          <w:b/>
          <w:bCs/>
          <w:sz w:val="28"/>
          <w:szCs w:val="28"/>
          <w:lang w:val="en-US" w:eastAsia="zh-CN"/>
        </w:rPr>
      </w:pPr>
      <w:r>
        <w:rPr>
          <w:rFonts w:hint="eastAsia" w:ascii="Arial" w:hAnsi="Arial" w:eastAsia="宋体" w:cs="Arial"/>
          <w:b/>
          <w:bCs/>
          <w:sz w:val="28"/>
          <w:szCs w:val="28"/>
          <w:lang w:val="en-US" w:eastAsia="zh-CN"/>
        </w:rPr>
        <w:t>Student name: Shuqi Xin</w:t>
      </w:r>
    </w:p>
    <w:p>
      <w:pPr>
        <w:rPr>
          <w:rFonts w:hint="default" w:ascii="Arial" w:hAnsi="Arial" w:eastAsia="宋体" w:cs="Arial"/>
          <w:b/>
          <w:bCs/>
          <w:sz w:val="28"/>
          <w:szCs w:val="28"/>
          <w:lang w:val="en-US" w:eastAsia="zh-CN"/>
        </w:rPr>
      </w:pPr>
      <w:r>
        <w:rPr>
          <w:rFonts w:hint="eastAsia" w:ascii="Arial" w:hAnsi="Arial" w:eastAsia="宋体" w:cs="Arial"/>
          <w:b/>
          <w:bCs/>
          <w:sz w:val="28"/>
          <w:szCs w:val="28"/>
          <w:lang w:val="en-US" w:eastAsia="zh-CN"/>
        </w:rPr>
        <w:t>Student id: 2317430</w:t>
      </w:r>
    </w:p>
    <w:p>
      <w:pPr>
        <w:bidi w:val="0"/>
        <w:rPr>
          <w:rFonts w:hint="default" w:ascii="Arial" w:hAnsi="Arial" w:cs="Arial"/>
          <w:b/>
          <w:bCs/>
          <w:sz w:val="28"/>
          <w:szCs w:val="28"/>
          <w:lang w:val="en-US" w:eastAsia="zh-CN"/>
        </w:rPr>
      </w:pPr>
      <w:bookmarkStart w:id="0" w:name="_Toc574"/>
      <w:r>
        <w:rPr>
          <w:rFonts w:hint="default" w:ascii="Arial" w:hAnsi="Arial" w:cs="Arial"/>
          <w:b/>
          <w:bCs/>
          <w:sz w:val="28"/>
          <w:szCs w:val="28"/>
          <w:lang w:val="en-US" w:eastAsia="zh-CN"/>
        </w:rPr>
        <w:t>Words count:</w:t>
      </w:r>
      <w:r>
        <w:rPr>
          <w:rFonts w:hint="eastAsia" w:ascii="Arial" w:hAnsi="Arial" w:cs="Arial"/>
          <w:b/>
          <w:bCs/>
          <w:sz w:val="28"/>
          <w:szCs w:val="28"/>
          <w:lang w:val="en-US" w:eastAsia="zh-CN"/>
        </w:rPr>
        <w:t>2524</w:t>
      </w:r>
      <w:r>
        <w:rPr>
          <w:rFonts w:hint="default" w:ascii="Arial" w:hAnsi="Arial" w:cs="Arial"/>
          <w:b/>
          <w:bCs/>
          <w:sz w:val="28"/>
          <w:szCs w:val="28"/>
          <w:lang w:val="en-US" w:eastAsia="zh-CN"/>
        </w:rPr>
        <w:t xml:space="preserve"> </w:t>
      </w:r>
      <w:bookmarkEnd w:id="0"/>
      <w:r>
        <w:rPr>
          <w:rFonts w:hint="default" w:ascii="Arial" w:hAnsi="Arial" w:cs="Arial"/>
          <w:b/>
          <w:bCs/>
          <w:sz w:val="28"/>
          <w:szCs w:val="28"/>
          <w:lang w:val="en-US" w:eastAsia="zh-CN"/>
        </w:rPr>
        <w:t>(excluding tables)</w:t>
      </w:r>
    </w:p>
    <w:p>
      <w:pPr>
        <w:bidi w:val="0"/>
        <w:rPr>
          <w:rFonts w:hint="default" w:ascii="Arial" w:hAnsi="Arial" w:cs="Arial"/>
          <w:b/>
          <w:bCs/>
          <w:sz w:val="28"/>
          <w:szCs w:val="28"/>
          <w:lang w:val="en-US" w:eastAsia="zh-CN"/>
        </w:rPr>
      </w:pPr>
    </w:p>
    <w:p>
      <w:pPr>
        <w:bidi w:val="0"/>
        <w:rPr>
          <w:rFonts w:hint="default" w:ascii="Arial" w:hAnsi="Arial" w:cs="Arial"/>
          <w:b/>
          <w:bCs/>
          <w:sz w:val="28"/>
          <w:szCs w:val="28"/>
          <w:lang w:val="en-US" w:eastAsia="zh-CN"/>
        </w:rPr>
      </w:pPr>
    </w:p>
    <w:p>
      <w:pPr>
        <w:bidi w:val="0"/>
        <w:rPr>
          <w:rFonts w:hint="default" w:ascii="Arial" w:hAnsi="Arial" w:cs="Arial"/>
          <w:b/>
          <w:bCs/>
          <w:sz w:val="28"/>
          <w:szCs w:val="28"/>
          <w:lang w:val="en-US" w:eastAsia="zh-CN"/>
        </w:rPr>
      </w:pPr>
    </w:p>
    <w:p>
      <w:pPr>
        <w:bidi w:val="0"/>
        <w:rPr>
          <w:rFonts w:hint="default" w:ascii="Arial" w:hAnsi="Arial" w:cs="Arial"/>
          <w:b/>
          <w:bCs/>
          <w:sz w:val="28"/>
          <w:szCs w:val="28"/>
          <w:lang w:val="en-US" w:eastAsia="zh-CN"/>
        </w:rPr>
      </w:pPr>
    </w:p>
    <w:p>
      <w:pPr>
        <w:pageBreakBefore w:val="0"/>
        <w:kinsoku/>
        <w:wordWrap/>
        <w:overflowPunct/>
        <w:topLinePunct w:val="0"/>
        <w:autoSpaceDE/>
        <w:autoSpaceDN/>
        <w:bidi w:val="0"/>
        <w:adjustRightInd/>
        <w:snapToGrid/>
        <w:spacing w:line="480" w:lineRule="auto"/>
        <w:rPr>
          <w:rFonts w:hint="eastAsia" w:ascii="Times New Roman" w:hAnsi="Times New Roman" w:cs="Times New Roman"/>
          <w:sz w:val="21"/>
          <w:szCs w:val="21"/>
          <w:lang w:val="en-US" w:eastAsia="zh-CN"/>
        </w:rPr>
      </w:pPr>
    </w:p>
    <w:p>
      <w:pPr>
        <w:pageBreakBefore w:val="0"/>
        <w:kinsoku/>
        <w:wordWrap/>
        <w:overflowPunct/>
        <w:topLinePunct w:val="0"/>
        <w:autoSpaceDE/>
        <w:autoSpaceDN/>
        <w:bidi w:val="0"/>
        <w:adjustRightInd/>
        <w:snapToGrid/>
        <w:spacing w:line="480" w:lineRule="auto"/>
        <w:rPr>
          <w:rFonts w:hint="eastAsia" w:ascii="Times New Roman" w:hAnsi="Times New Roman" w:cs="Times New Roman"/>
          <w:sz w:val="21"/>
          <w:szCs w:val="21"/>
          <w:lang w:val="en-US" w:eastAsia="zh-CN"/>
        </w:rPr>
      </w:pPr>
    </w:p>
    <w:p>
      <w:pPr>
        <w:pageBreakBefore w:val="0"/>
        <w:kinsoku/>
        <w:wordWrap/>
        <w:overflowPunct/>
        <w:topLinePunct w:val="0"/>
        <w:autoSpaceDE/>
        <w:autoSpaceDN/>
        <w:bidi w:val="0"/>
        <w:adjustRightInd/>
        <w:snapToGrid/>
        <w:spacing w:line="480" w:lineRule="auto"/>
        <w:rPr>
          <w:rFonts w:hint="eastAsia" w:ascii="Times New Roman" w:hAnsi="Times New Roman" w:cs="Times New Roman"/>
          <w:sz w:val="21"/>
          <w:szCs w:val="21"/>
          <w:lang w:val="en-US" w:eastAsia="zh-CN"/>
        </w:rPr>
      </w:pPr>
    </w:p>
    <w:p>
      <w:pPr>
        <w:pageBreakBefore w:val="0"/>
        <w:kinsoku/>
        <w:wordWrap/>
        <w:overflowPunct/>
        <w:topLinePunct w:val="0"/>
        <w:autoSpaceDE/>
        <w:autoSpaceDN/>
        <w:bidi w:val="0"/>
        <w:adjustRightInd/>
        <w:snapToGrid/>
        <w:spacing w:line="480" w:lineRule="auto"/>
        <w:rPr>
          <w:rFonts w:hint="default" w:ascii="Arial" w:hAnsi="Arial" w:cs="Arial"/>
          <w:sz w:val="24"/>
          <w:szCs w:val="24"/>
          <w:lang w:val="en-US" w:eastAsia="zh-CN"/>
        </w:rPr>
      </w:pPr>
      <w:r>
        <w:rPr>
          <w:rFonts w:hint="default" w:ascii="Arial" w:hAnsi="Arial" w:cs="Arial"/>
          <w:sz w:val="24"/>
          <w:szCs w:val="24"/>
          <w:lang w:val="en-US" w:eastAsia="zh-CN"/>
        </w:rPr>
        <w:t>Abstract</w:t>
      </w:r>
    </w:p>
    <w:p>
      <w:pPr>
        <w:pageBreakBefore w:val="0"/>
        <w:kinsoku/>
        <w:wordWrap/>
        <w:overflowPunct/>
        <w:topLinePunct w:val="0"/>
        <w:autoSpaceDE/>
        <w:autoSpaceDN/>
        <w:bidi w:val="0"/>
        <w:adjustRightInd/>
        <w:snapToGrid/>
        <w:spacing w:line="480" w:lineRule="auto"/>
        <w:rPr>
          <w:rFonts w:hint="default" w:ascii="Arial" w:hAnsi="Arial" w:cs="Arial"/>
          <w:sz w:val="24"/>
          <w:szCs w:val="24"/>
        </w:rPr>
      </w:pPr>
      <w:r>
        <w:rPr>
          <w:rFonts w:hint="default" w:ascii="Arial" w:hAnsi="Arial" w:cs="Arial"/>
          <w:sz w:val="24"/>
          <w:szCs w:val="24"/>
        </w:rPr>
        <w:t>Tesco's strategic framework integrates market penetration, diversification, and data-driven marketing to better promote its global expansion, while leveraging digital transformation to achieve sustained growth and competitive advantage.</w:t>
      </w:r>
    </w:p>
    <w:p>
      <w:pPr>
        <w:bidi w:val="0"/>
        <w:rPr>
          <w:rFonts w:hint="default" w:ascii="Arial" w:hAnsi="Arial" w:cs="Arial"/>
          <w:b/>
          <w:bCs/>
          <w:sz w:val="28"/>
          <w:szCs w:val="28"/>
          <w:lang w:val="en-US" w:eastAsia="zh-CN"/>
        </w:rPr>
      </w:pPr>
    </w:p>
    <w:p>
      <w:pPr>
        <w:bidi w:val="0"/>
        <w:rPr>
          <w:rFonts w:hint="default" w:ascii="Arial" w:hAnsi="Arial" w:cs="Arial"/>
          <w:b/>
          <w:bCs/>
          <w:sz w:val="28"/>
          <w:szCs w:val="28"/>
          <w:lang w:val="en-US" w:eastAsia="zh-CN"/>
        </w:rPr>
      </w:pPr>
    </w:p>
    <w:p>
      <w:pPr>
        <w:bidi w:val="0"/>
        <w:rPr>
          <w:rFonts w:hint="default" w:ascii="Arial" w:hAnsi="Arial" w:cs="Arial"/>
          <w:b/>
          <w:bCs/>
          <w:sz w:val="28"/>
          <w:szCs w:val="28"/>
          <w:lang w:val="en-US" w:eastAsia="zh-CN"/>
        </w:rPr>
      </w:pPr>
    </w:p>
    <w:p>
      <w:pPr>
        <w:bidi w:val="0"/>
        <w:rPr>
          <w:rFonts w:hint="default" w:ascii="Arial" w:hAnsi="Arial" w:cs="Arial"/>
          <w:b/>
          <w:bCs/>
          <w:sz w:val="28"/>
          <w:szCs w:val="28"/>
          <w:lang w:val="en-US" w:eastAsia="zh-CN"/>
        </w:rPr>
      </w:pPr>
    </w:p>
    <w:p>
      <w:pPr>
        <w:bidi w:val="0"/>
        <w:rPr>
          <w:rFonts w:hint="default" w:ascii="Arial" w:hAnsi="Arial" w:cs="Arial"/>
          <w:b/>
          <w:bCs/>
          <w:sz w:val="28"/>
          <w:szCs w:val="28"/>
          <w:lang w:val="en-US" w:eastAsia="zh-CN"/>
        </w:rPr>
      </w:pPr>
    </w:p>
    <w:p>
      <w:pPr>
        <w:pageBreakBefore w:val="0"/>
        <w:kinsoku/>
        <w:wordWrap/>
        <w:overflowPunct/>
        <w:topLinePunct w:val="0"/>
        <w:autoSpaceDE/>
        <w:autoSpaceDN/>
        <w:bidi w:val="0"/>
        <w:adjustRightInd/>
        <w:snapToGrid/>
        <w:spacing w:line="480" w:lineRule="auto"/>
        <w:jc w:val="center"/>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Table of Contents </w:t>
      </w:r>
    </w:p>
    <w:sdt>
      <w:sdtPr>
        <w:rPr>
          <w:rFonts w:ascii="宋体" w:hAnsi="宋体" w:eastAsia="宋体" w:cstheme="minorBidi"/>
          <w:kern w:val="2"/>
          <w:sz w:val="21"/>
          <w:szCs w:val="24"/>
          <w:lang w:val="en-US" w:eastAsia="zh-CN" w:bidi="ar-SA"/>
        </w:rPr>
        <w:id w:val="147472398"/>
        <w15:color w:val="DBDBDB"/>
        <w:docPartObj>
          <w:docPartGallery w:val="Table of Contents"/>
          <w:docPartUnique/>
        </w:docPartObj>
      </w:sdtPr>
      <w:sdtEndPr>
        <w:rPr>
          <w:rFonts w:hint="default" w:ascii="Times New Roman" w:hAnsi="Times New Roman" w:cs="Times New Roman" w:eastAsiaTheme="minorEastAsia"/>
          <w:kern w:val="2"/>
          <w:sz w:val="21"/>
          <w:szCs w:val="21"/>
          <w:lang w:val="en-US" w:eastAsia="zh-CN" w:bidi="ar-SA"/>
        </w:rPr>
      </w:sdtEndPr>
      <w:sdtContent>
        <w:p>
          <w:pPr>
            <w:spacing w:before="0" w:beforeLines="0" w:after="0" w:afterLines="0" w:line="240" w:lineRule="auto"/>
            <w:ind w:left="0" w:leftChars="0" w:right="0" w:rightChars="0" w:firstLine="0" w:firstLineChars="0"/>
            <w:jc w:val="center"/>
          </w:pPr>
        </w:p>
        <w:p>
          <w:pPr>
            <w:pStyle w:val="6"/>
            <w:tabs>
              <w:tab w:val="right" w:leader="dot" w:pos="8306"/>
            </w:tabs>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TOC \o "1-3" \h \u </w:instrText>
          </w:r>
          <w:r>
            <w:rPr>
              <w:rFonts w:hint="default" w:ascii="Times New Roman" w:hAnsi="Times New Roman" w:cs="Times New Roman"/>
              <w:sz w:val="21"/>
              <w:szCs w:val="21"/>
            </w:rPr>
            <w:fldChar w:fldCharType="separate"/>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_Toc9092 </w:instrText>
          </w:r>
          <w:r>
            <w:rPr>
              <w:rFonts w:hint="default" w:ascii="Times New Roman" w:hAnsi="Times New Roman" w:cs="Times New Roman"/>
              <w:szCs w:val="21"/>
            </w:rPr>
            <w:fldChar w:fldCharType="separate"/>
          </w:r>
          <w:r>
            <w:rPr>
              <w:rFonts w:hint="default" w:ascii="Arial" w:hAnsi="Arial" w:cs="Arial"/>
              <w:szCs w:val="21"/>
              <w:lang w:val="en-US" w:eastAsia="zh-CN"/>
            </w:rPr>
            <w:t>Introduction</w:t>
          </w:r>
          <w:r>
            <w:tab/>
          </w:r>
          <w:r>
            <w:fldChar w:fldCharType="begin"/>
          </w:r>
          <w:r>
            <w:instrText xml:space="preserve"> PAGEREF _Toc9092 \h </w:instrText>
          </w:r>
          <w:r>
            <w:fldChar w:fldCharType="separate"/>
          </w:r>
          <w:r>
            <w:t>3</w:t>
          </w:r>
          <w:r>
            <w:fldChar w:fldCharType="end"/>
          </w:r>
          <w:r>
            <w:rPr>
              <w:rFonts w:hint="default" w:ascii="Times New Roman" w:hAnsi="Times New Roman" w:cs="Times New Roman"/>
              <w:szCs w:val="21"/>
            </w:rPr>
            <w:fldChar w:fldCharType="end"/>
          </w:r>
        </w:p>
        <w:p>
          <w:pPr>
            <w:pStyle w:val="6"/>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_Toc2575 </w:instrText>
          </w:r>
          <w:r>
            <w:rPr>
              <w:rFonts w:hint="default" w:ascii="Times New Roman" w:hAnsi="Times New Roman" w:cs="Times New Roman"/>
              <w:szCs w:val="21"/>
            </w:rPr>
            <w:fldChar w:fldCharType="separate"/>
          </w:r>
          <w:r>
            <w:rPr>
              <w:rFonts w:hint="default" w:ascii="Arial" w:hAnsi="Arial" w:cs="Arial"/>
              <w:szCs w:val="21"/>
            </w:rPr>
            <w:t>Main findings:</w:t>
          </w:r>
          <w:r>
            <w:tab/>
          </w:r>
          <w:r>
            <w:fldChar w:fldCharType="begin"/>
          </w:r>
          <w:r>
            <w:instrText xml:space="preserve"> PAGEREF _Toc2575 \h </w:instrText>
          </w:r>
          <w:r>
            <w:fldChar w:fldCharType="separate"/>
          </w:r>
          <w:r>
            <w:t>3</w:t>
          </w:r>
          <w:r>
            <w:fldChar w:fldCharType="end"/>
          </w:r>
          <w:r>
            <w:rPr>
              <w:rFonts w:hint="default" w:ascii="Times New Roman" w:hAnsi="Times New Roman" w:cs="Times New Roman"/>
              <w:szCs w:val="21"/>
            </w:rPr>
            <w:fldChar w:fldCharType="end"/>
          </w:r>
        </w:p>
        <w:p>
          <w:pPr>
            <w:pStyle w:val="6"/>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_Toc9461 </w:instrText>
          </w:r>
          <w:r>
            <w:rPr>
              <w:rFonts w:hint="default" w:ascii="Times New Roman" w:hAnsi="Times New Roman" w:cs="Times New Roman"/>
              <w:szCs w:val="21"/>
            </w:rPr>
            <w:fldChar w:fldCharType="separate"/>
          </w:r>
          <w:r>
            <w:rPr>
              <w:rFonts w:hint="default" w:ascii="Arial" w:hAnsi="Arial" w:cs="Arial"/>
              <w:szCs w:val="21"/>
            </w:rPr>
            <w:t>SOSTAC framework:</w:t>
          </w:r>
          <w:r>
            <w:tab/>
          </w:r>
          <w:r>
            <w:fldChar w:fldCharType="begin"/>
          </w:r>
          <w:r>
            <w:instrText xml:space="preserve"> PAGEREF _Toc9461 \h </w:instrText>
          </w:r>
          <w:r>
            <w:fldChar w:fldCharType="separate"/>
          </w:r>
          <w:r>
            <w:t>3</w:t>
          </w:r>
          <w:r>
            <w:fldChar w:fldCharType="end"/>
          </w:r>
          <w:r>
            <w:rPr>
              <w:rFonts w:hint="default" w:ascii="Times New Roman" w:hAnsi="Times New Roman" w:cs="Times New Roman"/>
              <w:szCs w:val="21"/>
            </w:rPr>
            <w:fldChar w:fldCharType="end"/>
          </w:r>
        </w:p>
        <w:p>
          <w:pPr>
            <w:pStyle w:val="7"/>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_Toc2851 </w:instrText>
          </w:r>
          <w:r>
            <w:rPr>
              <w:rFonts w:hint="default" w:ascii="Times New Roman" w:hAnsi="Times New Roman" w:cs="Times New Roman"/>
              <w:szCs w:val="21"/>
            </w:rPr>
            <w:fldChar w:fldCharType="separate"/>
          </w:r>
          <w:r>
            <w:rPr>
              <w:rFonts w:hint="default" w:ascii="Arial" w:hAnsi="Arial" w:cs="Arial"/>
              <w:szCs w:val="21"/>
            </w:rPr>
            <w:t>Situation analysis</w:t>
          </w:r>
          <w:r>
            <w:tab/>
          </w:r>
          <w:r>
            <w:fldChar w:fldCharType="begin"/>
          </w:r>
          <w:r>
            <w:instrText xml:space="preserve"> PAGEREF _Toc2851 \h </w:instrText>
          </w:r>
          <w:r>
            <w:fldChar w:fldCharType="separate"/>
          </w:r>
          <w:r>
            <w:t>3</w:t>
          </w:r>
          <w:r>
            <w:fldChar w:fldCharType="end"/>
          </w:r>
          <w:r>
            <w:rPr>
              <w:rFonts w:hint="default" w:ascii="Times New Roman" w:hAnsi="Times New Roman" w:cs="Times New Roman"/>
              <w:szCs w:val="21"/>
            </w:rPr>
            <w:fldChar w:fldCharType="end"/>
          </w:r>
        </w:p>
        <w:p>
          <w:pPr>
            <w:pStyle w:val="7"/>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_Toc3245 </w:instrText>
          </w:r>
          <w:r>
            <w:rPr>
              <w:rFonts w:hint="default" w:ascii="Times New Roman" w:hAnsi="Times New Roman" w:cs="Times New Roman"/>
              <w:szCs w:val="21"/>
            </w:rPr>
            <w:fldChar w:fldCharType="separate"/>
          </w:r>
          <w:r>
            <w:rPr>
              <w:rFonts w:hint="default" w:ascii="Arial" w:hAnsi="Arial" w:cs="Arial"/>
              <w:szCs w:val="21"/>
            </w:rPr>
            <w:t>Strategic marketing goal</w:t>
          </w:r>
          <w:r>
            <w:tab/>
          </w:r>
          <w:r>
            <w:fldChar w:fldCharType="begin"/>
          </w:r>
          <w:r>
            <w:instrText xml:space="preserve"> PAGEREF _Toc3245 \h </w:instrText>
          </w:r>
          <w:r>
            <w:fldChar w:fldCharType="separate"/>
          </w:r>
          <w:r>
            <w:t>5</w:t>
          </w:r>
          <w:r>
            <w:fldChar w:fldCharType="end"/>
          </w:r>
          <w:r>
            <w:rPr>
              <w:rFonts w:hint="default" w:ascii="Times New Roman" w:hAnsi="Times New Roman" w:cs="Times New Roman"/>
              <w:szCs w:val="21"/>
            </w:rPr>
            <w:fldChar w:fldCharType="end"/>
          </w:r>
        </w:p>
        <w:p>
          <w:pPr>
            <w:pStyle w:val="7"/>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_Toc8640 </w:instrText>
          </w:r>
          <w:r>
            <w:rPr>
              <w:rFonts w:hint="default" w:ascii="Times New Roman" w:hAnsi="Times New Roman" w:cs="Times New Roman"/>
              <w:szCs w:val="21"/>
            </w:rPr>
            <w:fldChar w:fldCharType="separate"/>
          </w:r>
          <w:r>
            <w:rPr>
              <w:rFonts w:hint="default" w:ascii="Arial" w:hAnsi="Arial" w:cs="Arial"/>
              <w:szCs w:val="21"/>
            </w:rPr>
            <w:t>SMART analysis</w:t>
          </w:r>
          <w:r>
            <w:tab/>
          </w:r>
          <w:r>
            <w:fldChar w:fldCharType="begin"/>
          </w:r>
          <w:r>
            <w:instrText xml:space="preserve"> PAGEREF _Toc8640 \h </w:instrText>
          </w:r>
          <w:r>
            <w:fldChar w:fldCharType="separate"/>
          </w:r>
          <w:r>
            <w:t>5</w:t>
          </w:r>
          <w:r>
            <w:fldChar w:fldCharType="end"/>
          </w:r>
          <w:r>
            <w:rPr>
              <w:rFonts w:hint="default" w:ascii="Times New Roman" w:hAnsi="Times New Roman" w:cs="Times New Roman"/>
              <w:szCs w:val="21"/>
            </w:rPr>
            <w:fldChar w:fldCharType="end"/>
          </w:r>
        </w:p>
        <w:p>
          <w:pPr>
            <w:pStyle w:val="7"/>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_Toc13218 </w:instrText>
          </w:r>
          <w:r>
            <w:rPr>
              <w:rFonts w:hint="default" w:ascii="Times New Roman" w:hAnsi="Times New Roman" w:cs="Times New Roman"/>
              <w:szCs w:val="21"/>
            </w:rPr>
            <w:fldChar w:fldCharType="separate"/>
          </w:r>
          <w:r>
            <w:rPr>
              <w:rFonts w:hint="default" w:ascii="Arial" w:hAnsi="Arial" w:cs="Arial"/>
              <w:szCs w:val="21"/>
            </w:rPr>
            <w:t>Strategy</w:t>
          </w:r>
          <w:r>
            <w:tab/>
          </w:r>
          <w:r>
            <w:fldChar w:fldCharType="begin"/>
          </w:r>
          <w:r>
            <w:instrText xml:space="preserve"> PAGEREF _Toc13218 \h </w:instrText>
          </w:r>
          <w:r>
            <w:fldChar w:fldCharType="separate"/>
          </w:r>
          <w:r>
            <w:t>6</w:t>
          </w:r>
          <w:r>
            <w:fldChar w:fldCharType="end"/>
          </w:r>
          <w:r>
            <w:rPr>
              <w:rFonts w:hint="default" w:ascii="Times New Roman" w:hAnsi="Times New Roman" w:cs="Times New Roman"/>
              <w:szCs w:val="21"/>
            </w:rPr>
            <w:fldChar w:fldCharType="end"/>
          </w:r>
        </w:p>
        <w:p>
          <w:pPr>
            <w:pStyle w:val="5"/>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_Toc28701 </w:instrText>
          </w:r>
          <w:r>
            <w:rPr>
              <w:rFonts w:hint="default" w:ascii="Times New Roman" w:hAnsi="Times New Roman" w:cs="Times New Roman"/>
              <w:szCs w:val="21"/>
            </w:rPr>
            <w:fldChar w:fldCharType="separate"/>
          </w:r>
          <w:r>
            <w:rPr>
              <w:rFonts w:hint="default" w:ascii="Arial" w:hAnsi="Arial" w:cs="Arial"/>
              <w:szCs w:val="21"/>
              <w:lang w:val="en-US" w:eastAsia="zh-CN"/>
            </w:rPr>
            <w:t>A</w:t>
          </w:r>
          <w:r>
            <w:rPr>
              <w:rFonts w:hint="default" w:ascii="Arial" w:hAnsi="Arial" w:cs="Arial"/>
              <w:szCs w:val="21"/>
            </w:rPr>
            <w:t>nsoff’s Growth Matrix</w:t>
          </w:r>
          <w:r>
            <w:tab/>
          </w:r>
          <w:r>
            <w:fldChar w:fldCharType="begin"/>
          </w:r>
          <w:r>
            <w:instrText xml:space="preserve"> PAGEREF _Toc28701 \h </w:instrText>
          </w:r>
          <w:r>
            <w:fldChar w:fldCharType="separate"/>
          </w:r>
          <w:r>
            <w:t>6</w:t>
          </w:r>
          <w:r>
            <w:fldChar w:fldCharType="end"/>
          </w:r>
          <w:r>
            <w:rPr>
              <w:rFonts w:hint="default" w:ascii="Times New Roman" w:hAnsi="Times New Roman" w:cs="Times New Roman"/>
              <w:szCs w:val="21"/>
            </w:rPr>
            <w:fldChar w:fldCharType="end"/>
          </w:r>
        </w:p>
        <w:p>
          <w:pPr>
            <w:pStyle w:val="5"/>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_Toc29692 </w:instrText>
          </w:r>
          <w:r>
            <w:rPr>
              <w:rFonts w:hint="default" w:ascii="Times New Roman" w:hAnsi="Times New Roman" w:cs="Times New Roman"/>
              <w:szCs w:val="21"/>
            </w:rPr>
            <w:fldChar w:fldCharType="separate"/>
          </w:r>
          <w:r>
            <w:rPr>
              <w:rFonts w:hint="default" w:ascii="Arial" w:hAnsi="Arial" w:cs="Arial"/>
              <w:szCs w:val="21"/>
            </w:rPr>
            <w:t>Porter’s Generic Strategies</w:t>
          </w:r>
          <w:r>
            <w:tab/>
          </w:r>
          <w:r>
            <w:fldChar w:fldCharType="begin"/>
          </w:r>
          <w:r>
            <w:instrText xml:space="preserve"> PAGEREF _Toc29692 \h </w:instrText>
          </w:r>
          <w:r>
            <w:fldChar w:fldCharType="separate"/>
          </w:r>
          <w:r>
            <w:t>7</w:t>
          </w:r>
          <w:r>
            <w:fldChar w:fldCharType="end"/>
          </w:r>
          <w:r>
            <w:rPr>
              <w:rFonts w:hint="default" w:ascii="Times New Roman" w:hAnsi="Times New Roman" w:cs="Times New Roman"/>
              <w:szCs w:val="21"/>
            </w:rPr>
            <w:fldChar w:fldCharType="end"/>
          </w:r>
        </w:p>
        <w:p>
          <w:pPr>
            <w:pStyle w:val="7"/>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_Toc19807 </w:instrText>
          </w:r>
          <w:r>
            <w:rPr>
              <w:rFonts w:hint="default" w:ascii="Times New Roman" w:hAnsi="Times New Roman" w:cs="Times New Roman"/>
              <w:szCs w:val="21"/>
            </w:rPr>
            <w:fldChar w:fldCharType="separate"/>
          </w:r>
          <w:r>
            <w:rPr>
              <w:rFonts w:hint="default" w:ascii="Arial" w:hAnsi="Arial" w:cs="Arial"/>
              <w:szCs w:val="21"/>
            </w:rPr>
            <w:t>Tactics</w:t>
          </w:r>
          <w:r>
            <w:tab/>
          </w:r>
          <w:r>
            <w:fldChar w:fldCharType="begin"/>
          </w:r>
          <w:r>
            <w:instrText xml:space="preserve"> PAGEREF _Toc19807 \h </w:instrText>
          </w:r>
          <w:r>
            <w:fldChar w:fldCharType="separate"/>
          </w:r>
          <w:r>
            <w:t>7</w:t>
          </w:r>
          <w:r>
            <w:fldChar w:fldCharType="end"/>
          </w:r>
          <w:r>
            <w:rPr>
              <w:rFonts w:hint="default" w:ascii="Times New Roman" w:hAnsi="Times New Roman" w:cs="Times New Roman"/>
              <w:szCs w:val="21"/>
            </w:rPr>
            <w:fldChar w:fldCharType="end"/>
          </w:r>
        </w:p>
        <w:p>
          <w:pPr>
            <w:pStyle w:val="5"/>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_Toc8032 </w:instrText>
          </w:r>
          <w:r>
            <w:rPr>
              <w:rFonts w:hint="default" w:ascii="Times New Roman" w:hAnsi="Times New Roman" w:cs="Times New Roman"/>
              <w:szCs w:val="21"/>
            </w:rPr>
            <w:fldChar w:fldCharType="separate"/>
          </w:r>
          <w:r>
            <w:rPr>
              <w:rFonts w:hint="default" w:ascii="Arial" w:hAnsi="Arial" w:cs="Arial"/>
              <w:szCs w:val="21"/>
              <w:lang w:val="en-US" w:eastAsia="zh-CN"/>
            </w:rPr>
            <w:t>Product</w:t>
          </w:r>
          <w:r>
            <w:tab/>
          </w:r>
          <w:r>
            <w:fldChar w:fldCharType="begin"/>
          </w:r>
          <w:r>
            <w:instrText xml:space="preserve"> PAGEREF _Toc8032 \h </w:instrText>
          </w:r>
          <w:r>
            <w:fldChar w:fldCharType="separate"/>
          </w:r>
          <w:r>
            <w:t>7</w:t>
          </w:r>
          <w:r>
            <w:fldChar w:fldCharType="end"/>
          </w:r>
          <w:r>
            <w:rPr>
              <w:rFonts w:hint="default" w:ascii="Times New Roman" w:hAnsi="Times New Roman" w:cs="Times New Roman"/>
              <w:szCs w:val="21"/>
            </w:rPr>
            <w:fldChar w:fldCharType="end"/>
          </w:r>
        </w:p>
        <w:p>
          <w:pPr>
            <w:pStyle w:val="5"/>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_Toc10059 </w:instrText>
          </w:r>
          <w:r>
            <w:rPr>
              <w:rFonts w:hint="default" w:ascii="Times New Roman" w:hAnsi="Times New Roman" w:cs="Times New Roman"/>
              <w:szCs w:val="21"/>
            </w:rPr>
            <w:fldChar w:fldCharType="separate"/>
          </w:r>
          <w:r>
            <w:rPr>
              <w:rFonts w:hint="default" w:ascii="Arial" w:hAnsi="Arial" w:cs="Arial"/>
              <w:szCs w:val="21"/>
              <w:lang w:val="en-US" w:eastAsia="zh-CN"/>
            </w:rPr>
            <w:t>Price</w:t>
          </w:r>
          <w:r>
            <w:tab/>
          </w:r>
          <w:r>
            <w:fldChar w:fldCharType="begin"/>
          </w:r>
          <w:r>
            <w:instrText xml:space="preserve"> PAGEREF _Toc10059 \h </w:instrText>
          </w:r>
          <w:r>
            <w:fldChar w:fldCharType="separate"/>
          </w:r>
          <w:r>
            <w:t>8</w:t>
          </w:r>
          <w:r>
            <w:fldChar w:fldCharType="end"/>
          </w:r>
          <w:r>
            <w:rPr>
              <w:rFonts w:hint="default" w:ascii="Times New Roman" w:hAnsi="Times New Roman" w:cs="Times New Roman"/>
              <w:szCs w:val="21"/>
            </w:rPr>
            <w:fldChar w:fldCharType="end"/>
          </w:r>
        </w:p>
        <w:p>
          <w:pPr>
            <w:pStyle w:val="5"/>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_Toc3184 </w:instrText>
          </w:r>
          <w:r>
            <w:rPr>
              <w:rFonts w:hint="default" w:ascii="Times New Roman" w:hAnsi="Times New Roman" w:cs="Times New Roman"/>
              <w:szCs w:val="21"/>
            </w:rPr>
            <w:fldChar w:fldCharType="separate"/>
          </w:r>
          <w:r>
            <w:rPr>
              <w:rFonts w:hint="default" w:ascii="Arial" w:hAnsi="Arial" w:cs="Arial"/>
              <w:szCs w:val="21"/>
              <w:lang w:val="en-US" w:eastAsia="zh-CN"/>
            </w:rPr>
            <w:t>Channel</w:t>
          </w:r>
          <w:r>
            <w:tab/>
          </w:r>
          <w:r>
            <w:fldChar w:fldCharType="begin"/>
          </w:r>
          <w:r>
            <w:instrText xml:space="preserve"> PAGEREF _Toc3184 \h </w:instrText>
          </w:r>
          <w:r>
            <w:fldChar w:fldCharType="separate"/>
          </w:r>
          <w:r>
            <w:t>9</w:t>
          </w:r>
          <w:r>
            <w:fldChar w:fldCharType="end"/>
          </w:r>
          <w:r>
            <w:rPr>
              <w:rFonts w:hint="default" w:ascii="Times New Roman" w:hAnsi="Times New Roman" w:cs="Times New Roman"/>
              <w:szCs w:val="21"/>
            </w:rPr>
            <w:fldChar w:fldCharType="end"/>
          </w:r>
        </w:p>
        <w:p>
          <w:pPr>
            <w:pStyle w:val="5"/>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_Toc16959 </w:instrText>
          </w:r>
          <w:r>
            <w:rPr>
              <w:rFonts w:hint="default" w:ascii="Times New Roman" w:hAnsi="Times New Roman" w:cs="Times New Roman"/>
              <w:szCs w:val="21"/>
            </w:rPr>
            <w:fldChar w:fldCharType="separate"/>
          </w:r>
          <w:r>
            <w:rPr>
              <w:rFonts w:hint="default" w:ascii="Arial" w:hAnsi="Arial" w:cs="Arial"/>
              <w:szCs w:val="21"/>
              <w:lang w:val="en-US" w:eastAsia="zh-CN"/>
            </w:rPr>
            <w:t>Promote</w:t>
          </w:r>
          <w:r>
            <w:tab/>
          </w:r>
          <w:r>
            <w:fldChar w:fldCharType="begin"/>
          </w:r>
          <w:r>
            <w:instrText xml:space="preserve"> PAGEREF _Toc16959 \h </w:instrText>
          </w:r>
          <w:r>
            <w:fldChar w:fldCharType="separate"/>
          </w:r>
          <w:r>
            <w:t>10</w:t>
          </w:r>
          <w:r>
            <w:fldChar w:fldCharType="end"/>
          </w:r>
          <w:r>
            <w:rPr>
              <w:rFonts w:hint="default" w:ascii="Times New Roman" w:hAnsi="Times New Roman" w:cs="Times New Roman"/>
              <w:szCs w:val="21"/>
            </w:rPr>
            <w:fldChar w:fldCharType="end"/>
          </w:r>
        </w:p>
        <w:p>
          <w:pPr>
            <w:pStyle w:val="5"/>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_Toc7498 </w:instrText>
          </w:r>
          <w:r>
            <w:rPr>
              <w:rFonts w:hint="default" w:ascii="Times New Roman" w:hAnsi="Times New Roman" w:cs="Times New Roman"/>
              <w:szCs w:val="21"/>
            </w:rPr>
            <w:fldChar w:fldCharType="separate"/>
          </w:r>
          <w:r>
            <w:rPr>
              <w:rFonts w:hint="default" w:ascii="Arial" w:hAnsi="Arial" w:cs="Arial"/>
              <w:szCs w:val="21"/>
              <w:lang w:val="en-US" w:eastAsia="zh-CN"/>
            </w:rPr>
            <w:t>Personnel</w:t>
          </w:r>
          <w:r>
            <w:tab/>
          </w:r>
          <w:r>
            <w:fldChar w:fldCharType="begin"/>
          </w:r>
          <w:r>
            <w:instrText xml:space="preserve"> PAGEREF _Toc7498 \h </w:instrText>
          </w:r>
          <w:r>
            <w:fldChar w:fldCharType="separate"/>
          </w:r>
          <w:r>
            <w:t>11</w:t>
          </w:r>
          <w:r>
            <w:fldChar w:fldCharType="end"/>
          </w:r>
          <w:r>
            <w:rPr>
              <w:rFonts w:hint="default" w:ascii="Times New Roman" w:hAnsi="Times New Roman" w:cs="Times New Roman"/>
              <w:szCs w:val="21"/>
            </w:rPr>
            <w:fldChar w:fldCharType="end"/>
          </w:r>
        </w:p>
        <w:p>
          <w:pPr>
            <w:pStyle w:val="5"/>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_Toc21042 </w:instrText>
          </w:r>
          <w:r>
            <w:rPr>
              <w:rFonts w:hint="default" w:ascii="Times New Roman" w:hAnsi="Times New Roman" w:cs="Times New Roman"/>
              <w:szCs w:val="21"/>
            </w:rPr>
            <w:fldChar w:fldCharType="separate"/>
          </w:r>
          <w:r>
            <w:rPr>
              <w:rFonts w:hint="default" w:ascii="Arial" w:hAnsi="Arial" w:cs="Arial"/>
              <w:szCs w:val="21"/>
              <w:lang w:val="en-US" w:eastAsia="zh-CN"/>
            </w:rPr>
            <w:t>Process</w:t>
          </w:r>
          <w:r>
            <w:tab/>
          </w:r>
          <w:r>
            <w:fldChar w:fldCharType="begin"/>
          </w:r>
          <w:r>
            <w:instrText xml:space="preserve"> PAGEREF _Toc21042 \h </w:instrText>
          </w:r>
          <w:r>
            <w:fldChar w:fldCharType="separate"/>
          </w:r>
          <w:r>
            <w:t>12</w:t>
          </w:r>
          <w:r>
            <w:fldChar w:fldCharType="end"/>
          </w:r>
          <w:r>
            <w:rPr>
              <w:rFonts w:hint="default" w:ascii="Times New Roman" w:hAnsi="Times New Roman" w:cs="Times New Roman"/>
              <w:szCs w:val="21"/>
            </w:rPr>
            <w:fldChar w:fldCharType="end"/>
          </w:r>
        </w:p>
        <w:p>
          <w:pPr>
            <w:pStyle w:val="5"/>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_Toc28435 </w:instrText>
          </w:r>
          <w:r>
            <w:rPr>
              <w:rFonts w:hint="default" w:ascii="Times New Roman" w:hAnsi="Times New Roman" w:cs="Times New Roman"/>
              <w:szCs w:val="21"/>
            </w:rPr>
            <w:fldChar w:fldCharType="separate"/>
          </w:r>
          <w:r>
            <w:rPr>
              <w:rFonts w:hint="default" w:ascii="Arial" w:hAnsi="Arial" w:cs="Arial"/>
              <w:szCs w:val="21"/>
              <w:lang w:val="en-US" w:eastAsia="zh-CN"/>
            </w:rPr>
            <w:t>Physical Evidence</w:t>
          </w:r>
          <w:r>
            <w:tab/>
          </w:r>
          <w:r>
            <w:fldChar w:fldCharType="begin"/>
          </w:r>
          <w:r>
            <w:instrText xml:space="preserve"> PAGEREF _Toc28435 \h </w:instrText>
          </w:r>
          <w:r>
            <w:fldChar w:fldCharType="separate"/>
          </w:r>
          <w:r>
            <w:t>13</w:t>
          </w:r>
          <w:r>
            <w:fldChar w:fldCharType="end"/>
          </w:r>
          <w:r>
            <w:rPr>
              <w:rFonts w:hint="default" w:ascii="Times New Roman" w:hAnsi="Times New Roman" w:cs="Times New Roman"/>
              <w:szCs w:val="21"/>
            </w:rPr>
            <w:fldChar w:fldCharType="end"/>
          </w:r>
        </w:p>
        <w:p>
          <w:pPr>
            <w:pStyle w:val="6"/>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_Toc31891 </w:instrText>
          </w:r>
          <w:r>
            <w:rPr>
              <w:rFonts w:hint="default" w:ascii="Times New Roman" w:hAnsi="Times New Roman" w:cs="Times New Roman"/>
              <w:szCs w:val="21"/>
            </w:rPr>
            <w:fldChar w:fldCharType="separate"/>
          </w:r>
          <w:r>
            <w:rPr>
              <w:rFonts w:hint="default" w:ascii="Arial" w:hAnsi="Arial" w:cs="Arial"/>
              <w:szCs w:val="21"/>
            </w:rPr>
            <w:t>Actions</w:t>
          </w:r>
          <w:r>
            <w:tab/>
          </w:r>
          <w:r>
            <w:fldChar w:fldCharType="begin"/>
          </w:r>
          <w:r>
            <w:instrText xml:space="preserve"> PAGEREF _Toc31891 \h </w:instrText>
          </w:r>
          <w:r>
            <w:fldChar w:fldCharType="separate"/>
          </w:r>
          <w:r>
            <w:t>14</w:t>
          </w:r>
          <w:r>
            <w:fldChar w:fldCharType="end"/>
          </w:r>
          <w:r>
            <w:rPr>
              <w:rFonts w:hint="default" w:ascii="Times New Roman" w:hAnsi="Times New Roman" w:cs="Times New Roman"/>
              <w:szCs w:val="21"/>
            </w:rPr>
            <w:fldChar w:fldCharType="end"/>
          </w:r>
        </w:p>
        <w:p>
          <w:pPr>
            <w:pStyle w:val="6"/>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_Toc8917 </w:instrText>
          </w:r>
          <w:r>
            <w:rPr>
              <w:rFonts w:hint="default" w:ascii="Times New Roman" w:hAnsi="Times New Roman" w:cs="Times New Roman"/>
              <w:szCs w:val="21"/>
            </w:rPr>
            <w:fldChar w:fldCharType="separate"/>
          </w:r>
          <w:r>
            <w:rPr>
              <w:rFonts w:hint="default" w:ascii="Arial" w:hAnsi="Arial" w:cs="Arial"/>
              <w:szCs w:val="21"/>
              <w:lang w:val="en-US" w:eastAsia="zh-CN"/>
            </w:rPr>
            <w:t>Control</w:t>
          </w:r>
          <w:r>
            <w:tab/>
          </w:r>
          <w:r>
            <w:fldChar w:fldCharType="begin"/>
          </w:r>
          <w:r>
            <w:instrText xml:space="preserve"> PAGEREF _Toc8917 \h </w:instrText>
          </w:r>
          <w:r>
            <w:fldChar w:fldCharType="separate"/>
          </w:r>
          <w:r>
            <w:t>15</w:t>
          </w:r>
          <w:r>
            <w:fldChar w:fldCharType="end"/>
          </w:r>
          <w:r>
            <w:rPr>
              <w:rFonts w:hint="default" w:ascii="Times New Roman" w:hAnsi="Times New Roman" w:cs="Times New Roman"/>
              <w:szCs w:val="21"/>
            </w:rPr>
            <w:fldChar w:fldCharType="end"/>
          </w:r>
        </w:p>
        <w:p>
          <w:pPr>
            <w:pStyle w:val="6"/>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_Toc4669 </w:instrText>
          </w:r>
          <w:r>
            <w:rPr>
              <w:rFonts w:hint="default" w:ascii="Times New Roman" w:hAnsi="Times New Roman" w:cs="Times New Roman"/>
              <w:szCs w:val="21"/>
            </w:rPr>
            <w:fldChar w:fldCharType="separate"/>
          </w:r>
          <w:r>
            <w:rPr>
              <w:rFonts w:hint="default" w:ascii="Arial" w:hAnsi="Arial" w:cs="Arial"/>
              <w:szCs w:val="21"/>
              <w:lang w:val="en-US" w:eastAsia="zh-CN"/>
            </w:rPr>
            <w:t>Suggestion</w:t>
          </w:r>
          <w:r>
            <w:tab/>
          </w:r>
          <w:r>
            <w:fldChar w:fldCharType="begin"/>
          </w:r>
          <w:r>
            <w:instrText xml:space="preserve"> PAGEREF _Toc4669 \h </w:instrText>
          </w:r>
          <w:r>
            <w:fldChar w:fldCharType="separate"/>
          </w:r>
          <w:r>
            <w:t>15</w:t>
          </w:r>
          <w:r>
            <w:fldChar w:fldCharType="end"/>
          </w:r>
          <w:r>
            <w:rPr>
              <w:rFonts w:hint="default" w:ascii="Times New Roman" w:hAnsi="Times New Roman" w:cs="Times New Roman"/>
              <w:szCs w:val="21"/>
            </w:rPr>
            <w:fldChar w:fldCharType="end"/>
          </w:r>
        </w:p>
        <w:p>
          <w:pPr>
            <w:pStyle w:val="6"/>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_Toc29230 </w:instrText>
          </w:r>
          <w:r>
            <w:rPr>
              <w:rFonts w:hint="default" w:ascii="Times New Roman" w:hAnsi="Times New Roman" w:cs="Times New Roman"/>
              <w:szCs w:val="21"/>
            </w:rPr>
            <w:fldChar w:fldCharType="separate"/>
          </w:r>
          <w:r>
            <w:rPr>
              <w:rFonts w:hint="default" w:ascii="Arial" w:hAnsi="Arial" w:cs="Arial"/>
              <w:szCs w:val="21"/>
              <w:lang w:val="en-US" w:eastAsia="zh-CN"/>
            </w:rPr>
            <w:t>Conclusions</w:t>
          </w:r>
          <w:r>
            <w:tab/>
          </w:r>
          <w:r>
            <w:fldChar w:fldCharType="begin"/>
          </w:r>
          <w:r>
            <w:instrText xml:space="preserve"> PAGEREF _Toc29230 \h </w:instrText>
          </w:r>
          <w:r>
            <w:fldChar w:fldCharType="separate"/>
          </w:r>
          <w:r>
            <w:t>17</w:t>
          </w:r>
          <w:r>
            <w:fldChar w:fldCharType="end"/>
          </w:r>
          <w:r>
            <w:rPr>
              <w:rFonts w:hint="default" w:ascii="Times New Roman" w:hAnsi="Times New Roman" w:cs="Times New Roman"/>
              <w:szCs w:val="21"/>
            </w:rPr>
            <w:fldChar w:fldCharType="end"/>
          </w:r>
        </w:p>
        <w:p>
          <w:pPr>
            <w:pStyle w:val="6"/>
            <w:tabs>
              <w:tab w:val="right" w:leader="dot" w:pos="8306"/>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_Toc2515 </w:instrText>
          </w:r>
          <w:r>
            <w:rPr>
              <w:rFonts w:hint="default" w:ascii="Times New Roman" w:hAnsi="Times New Roman" w:cs="Times New Roman"/>
              <w:szCs w:val="21"/>
            </w:rPr>
            <w:fldChar w:fldCharType="separate"/>
          </w:r>
          <w:r>
            <w:rPr>
              <w:rFonts w:hint="default" w:ascii="Arial" w:hAnsi="Arial" w:cs="Arial"/>
              <w:szCs w:val="21"/>
              <w:lang w:val="en-US" w:eastAsia="zh-CN"/>
            </w:rPr>
            <w:t>Reference</w:t>
          </w:r>
          <w:r>
            <w:tab/>
          </w:r>
          <w:r>
            <w:fldChar w:fldCharType="begin"/>
          </w:r>
          <w:r>
            <w:instrText xml:space="preserve"> PAGEREF _Toc2515 \h </w:instrText>
          </w:r>
          <w:r>
            <w:fldChar w:fldCharType="separate"/>
          </w:r>
          <w:r>
            <w:t>18</w:t>
          </w:r>
          <w:r>
            <w:fldChar w:fldCharType="end"/>
          </w:r>
          <w:r>
            <w:rPr>
              <w:rFonts w:hint="default" w:ascii="Times New Roman" w:hAnsi="Times New Roman" w:cs="Times New Roman"/>
              <w:szCs w:val="21"/>
            </w:rPr>
            <w:fldChar w:fldCharType="end"/>
          </w:r>
        </w:p>
        <w:p>
          <w:pPr>
            <w:pageBreakBefore w:val="0"/>
            <w:kinsoku/>
            <w:wordWrap/>
            <w:overflowPunct/>
            <w:topLinePunct w:val="0"/>
            <w:autoSpaceDE/>
            <w:autoSpaceDN/>
            <w:bidi w:val="0"/>
            <w:adjustRightInd/>
            <w:snapToGrid/>
            <w:spacing w:line="480" w:lineRule="auto"/>
            <w:rPr>
              <w:rFonts w:hint="default" w:ascii="Times New Roman" w:hAnsi="Times New Roman" w:cs="Times New Roman"/>
              <w:sz w:val="21"/>
              <w:szCs w:val="21"/>
            </w:rPr>
          </w:pPr>
          <w:r>
            <w:rPr>
              <w:rFonts w:hint="default" w:ascii="Times New Roman" w:hAnsi="Times New Roman" w:cs="Times New Roman"/>
              <w:szCs w:val="21"/>
            </w:rPr>
            <w:fldChar w:fldCharType="end"/>
          </w:r>
        </w:p>
      </w:sdtContent>
    </w:sdt>
    <w:p>
      <w:pPr>
        <w:bidi w:val="0"/>
        <w:rPr>
          <w:rFonts w:hint="default"/>
        </w:rPr>
      </w:pPr>
    </w:p>
    <w:p>
      <w:pPr>
        <w:bidi w:val="0"/>
        <w:rPr>
          <w:rFonts w:hint="default"/>
          <w:lang w:val="en-US" w:eastAsia="zh-CN"/>
        </w:rPr>
      </w:pPr>
      <w:bookmarkStart w:id="1" w:name="OLE_LINK2"/>
    </w:p>
    <w:p>
      <w:pPr>
        <w:bidi w:val="0"/>
        <w:rPr>
          <w:rFonts w:hint="default"/>
          <w:lang w:val="en-US" w:eastAsia="zh-CN"/>
        </w:rPr>
      </w:pPr>
    </w:p>
    <w:p>
      <w:pPr>
        <w:bidi w:val="0"/>
        <w:rPr>
          <w:rFonts w:hint="default"/>
          <w:lang w:val="en-US" w:eastAsia="zh-CN"/>
        </w:rPr>
      </w:pPr>
    </w:p>
    <w:p>
      <w:pPr>
        <w:pStyle w:val="2"/>
        <w:pageBreakBefore w:val="0"/>
        <w:kinsoku/>
        <w:wordWrap/>
        <w:overflowPunct/>
        <w:topLinePunct w:val="0"/>
        <w:autoSpaceDE/>
        <w:autoSpaceDN/>
        <w:bidi w:val="0"/>
        <w:adjustRightInd/>
        <w:snapToGrid/>
        <w:spacing w:line="480" w:lineRule="auto"/>
        <w:rPr>
          <w:rFonts w:hint="default" w:ascii="Times New Roman" w:hAnsi="Times New Roman" w:cs="Times New Roman"/>
          <w:sz w:val="21"/>
          <w:szCs w:val="21"/>
          <w:lang w:val="en-US" w:eastAsia="zh-CN"/>
        </w:rPr>
      </w:pPr>
    </w:p>
    <w:p>
      <w:pPr>
        <w:pStyle w:val="2"/>
        <w:pageBreakBefore w:val="0"/>
        <w:kinsoku/>
        <w:wordWrap/>
        <w:overflowPunct/>
        <w:topLinePunct w:val="0"/>
        <w:autoSpaceDE/>
        <w:autoSpaceDN/>
        <w:bidi w:val="0"/>
        <w:adjustRightInd/>
        <w:snapToGrid/>
        <w:spacing w:line="480" w:lineRule="auto"/>
        <w:rPr>
          <w:rFonts w:hint="default" w:ascii="Times New Roman" w:hAnsi="Times New Roman" w:cs="Times New Roman"/>
          <w:sz w:val="21"/>
          <w:szCs w:val="21"/>
          <w:lang w:val="en-US" w:eastAsia="zh-CN"/>
        </w:rPr>
      </w:pPr>
    </w:p>
    <w:p>
      <w:pPr>
        <w:bidi w:val="0"/>
        <w:rPr>
          <w:rFonts w:hint="default"/>
          <w:lang w:val="en-US" w:eastAsia="zh-CN"/>
        </w:rPr>
      </w:pPr>
    </w:p>
    <w:p>
      <w:pPr>
        <w:pStyle w:val="2"/>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2" w:name="_Toc9092"/>
      <w:r>
        <w:rPr>
          <w:rFonts w:hint="default" w:ascii="Arial" w:hAnsi="Arial" w:cs="Arial"/>
          <w:sz w:val="21"/>
          <w:szCs w:val="21"/>
          <w:lang w:val="en-US" w:eastAsia="zh-CN"/>
        </w:rPr>
        <w:t>Introduction</w:t>
      </w:r>
      <w:bookmarkEnd w:id="2"/>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This marketing plan aims to leverage Tesco's existing strengths to further address challenges and enhance Tesco's market position and performance in the UK supermarket industry</w:t>
      </w:r>
      <w:r>
        <w:rPr>
          <w:rFonts w:hint="default" w:ascii="Arial" w:hAnsi="Arial" w:cs="Arial"/>
          <w:sz w:val="21"/>
          <w:szCs w:val="21"/>
          <w:lang w:val="en-US" w:eastAsia="zh-CN"/>
        </w:rPr>
        <w:t>(</w:t>
      </w:r>
      <w:r>
        <w:rPr>
          <w:rFonts w:hint="default" w:ascii="Arial" w:hAnsi="Arial" w:cs="Arial"/>
          <w:sz w:val="21"/>
          <w:szCs w:val="21"/>
        </w:rPr>
        <w:t>Barry, 2024) . The SOSTAC framework (Situation, Objectives, Strategy, Tactics, Operations, Control) will guide the plan with the support of the SMART Goal Setting Method.</w:t>
      </w:r>
    </w:p>
    <w:p>
      <w:pPr>
        <w:pStyle w:val="2"/>
        <w:pageBreakBefore w:val="0"/>
        <w:kinsoku/>
        <w:wordWrap/>
        <w:overflowPunct/>
        <w:topLinePunct w:val="0"/>
        <w:autoSpaceDE/>
        <w:autoSpaceDN/>
        <w:bidi w:val="0"/>
        <w:adjustRightInd/>
        <w:snapToGrid/>
        <w:spacing w:line="480" w:lineRule="auto"/>
        <w:rPr>
          <w:rFonts w:hint="default" w:ascii="Arial" w:hAnsi="Arial" w:cs="Arial"/>
          <w:sz w:val="21"/>
          <w:szCs w:val="21"/>
        </w:rPr>
      </w:pPr>
      <w:bookmarkStart w:id="3" w:name="_Toc2575"/>
      <w:r>
        <w:rPr>
          <w:rFonts w:hint="default" w:ascii="Arial" w:hAnsi="Arial" w:cs="Arial"/>
          <w:sz w:val="21"/>
          <w:szCs w:val="21"/>
        </w:rPr>
        <w:t>Main findings:</w:t>
      </w:r>
      <w:bookmarkEnd w:id="3"/>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According to the internal and external audits conducted in Task 1, Tesco's macro environment is highly challenging, including geopolitical tensions, economic uncertainty, and technological progress. Internally, Tesco has a competitive advantage in terms of strong network and brand loyalty</w:t>
      </w:r>
      <w:r>
        <w:rPr>
          <w:rFonts w:hint="default" w:ascii="Arial" w:hAnsi="Arial" w:cs="Arial"/>
          <w:sz w:val="21"/>
          <w:szCs w:val="21"/>
          <w:lang w:val="en-US" w:eastAsia="zh-CN"/>
        </w:rPr>
        <w:t>(</w:t>
      </w:r>
      <w:r>
        <w:rPr>
          <w:rFonts w:hint="default" w:ascii="Arial" w:hAnsi="Arial" w:cs="Arial"/>
          <w:sz w:val="21"/>
          <w:szCs w:val="21"/>
        </w:rPr>
        <w:t>Bedford, 2023</w:t>
      </w:r>
      <w:r>
        <w:rPr>
          <w:rFonts w:hint="default" w:ascii="Arial" w:hAnsi="Arial" w:eastAsia="宋体" w:cs="Arial"/>
          <w:sz w:val="21"/>
          <w:szCs w:val="21"/>
          <w:lang w:val="en-US" w:eastAsia="zh-CN"/>
        </w:rPr>
        <w:t>b</w:t>
      </w:r>
      <w:r>
        <w:rPr>
          <w:rFonts w:hint="default" w:ascii="Arial" w:hAnsi="Arial" w:cs="Arial"/>
          <w:sz w:val="21"/>
          <w:szCs w:val="21"/>
        </w:rPr>
        <w:t>). TOWS analysis emphasizes the necessity of utilizing digital trends as strategic marketing objectives.</w:t>
      </w:r>
    </w:p>
    <w:p>
      <w:pPr>
        <w:pStyle w:val="2"/>
        <w:pageBreakBefore w:val="0"/>
        <w:kinsoku/>
        <w:wordWrap/>
        <w:overflowPunct/>
        <w:topLinePunct w:val="0"/>
        <w:autoSpaceDE/>
        <w:autoSpaceDN/>
        <w:bidi w:val="0"/>
        <w:adjustRightInd/>
        <w:snapToGrid/>
        <w:spacing w:line="480" w:lineRule="auto"/>
        <w:rPr>
          <w:rFonts w:hint="default" w:ascii="Arial" w:hAnsi="Arial" w:cs="Arial"/>
          <w:sz w:val="21"/>
          <w:szCs w:val="21"/>
        </w:rPr>
      </w:pPr>
      <w:bookmarkStart w:id="4" w:name="_Toc9461"/>
      <w:r>
        <w:rPr>
          <w:rFonts w:hint="default" w:ascii="Arial" w:hAnsi="Arial" w:cs="Arial"/>
          <w:sz w:val="21"/>
          <w:szCs w:val="21"/>
        </w:rPr>
        <w:t>SOSTAC framework:</w:t>
      </w:r>
      <w:bookmarkEnd w:id="4"/>
    </w:p>
    <w:p>
      <w:pPr>
        <w:pStyle w:val="3"/>
        <w:pageBreakBefore w:val="0"/>
        <w:kinsoku/>
        <w:wordWrap/>
        <w:overflowPunct/>
        <w:topLinePunct w:val="0"/>
        <w:autoSpaceDE/>
        <w:autoSpaceDN/>
        <w:bidi w:val="0"/>
        <w:adjustRightInd/>
        <w:snapToGrid/>
        <w:spacing w:line="480" w:lineRule="auto"/>
        <w:rPr>
          <w:rFonts w:hint="default" w:ascii="Arial" w:hAnsi="Arial" w:cs="Arial"/>
          <w:sz w:val="21"/>
          <w:szCs w:val="21"/>
        </w:rPr>
      </w:pPr>
      <w:bookmarkStart w:id="5" w:name="_Toc2851"/>
      <w:r>
        <w:rPr>
          <w:rFonts w:hint="default" w:ascii="Arial" w:hAnsi="Arial" w:cs="Arial"/>
          <w:sz w:val="21"/>
          <w:szCs w:val="21"/>
        </w:rPr>
        <w:t>Situation analysis</w:t>
      </w:r>
      <w:bookmarkEnd w:id="5"/>
      <w:r>
        <w:rPr>
          <w:rFonts w:hint="default" w:ascii="Arial" w:hAnsi="Arial" w:cs="Arial"/>
          <w:sz w:val="21"/>
          <w:szCs w:val="21"/>
        </w:rPr>
        <w:t xml:space="preserve"> </w:t>
      </w:r>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Tesco faces challenges such as inflation, fierce competition, and changes in consumer behavior. However, Tesco's strong store network, digital business, and cost leadership strategy still maintain its leading market share in the UK. TOWS analysis suggests emphasizing differentiation through digital transformation.</w:t>
      </w:r>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p>
    <w:bookmarkEnd w:id="1"/>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794"/>
        <w:gridCol w:w="3588"/>
        <w:gridCol w:w="3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shd w:val="clear" w:color="auto" w:fill="FFFFFF"/>
            <w:noWrap/>
            <w:vAlign w:val="bottom"/>
          </w:tcPr>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bottom"/>
              <w:rPr>
                <w:rFonts w:hint="default" w:ascii="Arial" w:hAnsi="Arial" w:eastAsia="Segoe UI" w:cs="Arial"/>
                <w:i w:val="0"/>
                <w:iCs w:val="0"/>
                <w:color w:val="0D0D0D"/>
                <w:sz w:val="21"/>
                <w:szCs w:val="21"/>
                <w:u w:val="none"/>
              </w:rPr>
            </w:pPr>
            <w:bookmarkStart w:id="6" w:name="OLE_LINK3"/>
          </w:p>
        </w:tc>
        <w:tc>
          <w:tcPr>
            <w:tcW w:w="1828" w:type="pct"/>
            <w:shd w:val="clear" w:color="auto" w:fill="FFFFFF"/>
            <w:noWrap/>
            <w:vAlign w:val="bottom"/>
          </w:tcPr>
          <w:p>
            <w:pPr>
              <w:pageBreakBefore w:val="0"/>
              <w:kinsoku/>
              <w:wordWrap/>
              <w:overflowPunct/>
              <w:topLinePunct w:val="0"/>
              <w:autoSpaceDE/>
              <w:autoSpaceDN/>
              <w:bidi w:val="0"/>
              <w:adjustRightInd/>
              <w:snapToGrid/>
              <w:spacing w:line="480" w:lineRule="auto"/>
              <w:rPr>
                <w:rFonts w:hint="default" w:ascii="Arial" w:hAnsi="Arial" w:cs="Arial"/>
                <w:b/>
                <w:bCs/>
                <w:sz w:val="21"/>
                <w:szCs w:val="21"/>
                <w:lang w:val="en-US" w:eastAsia="zh-CN"/>
              </w:rPr>
            </w:pPr>
            <w:r>
              <w:rPr>
                <w:rFonts w:hint="default" w:ascii="Arial" w:hAnsi="Arial" w:cs="Arial"/>
                <w:b/>
                <w:bCs/>
                <w:sz w:val="21"/>
                <w:szCs w:val="21"/>
                <w:lang w:val="en-US" w:eastAsia="zh-CN"/>
              </w:rPr>
              <w:t>Opportunities:</w:t>
            </w:r>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commerce Expansion(Valenzuela, 2023).</w:t>
            </w:r>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Expansion of emerging markets (World Economics, 2024).</w:t>
            </w:r>
          </w:p>
        </w:tc>
        <w:tc>
          <w:tcPr>
            <w:tcW w:w="2555" w:type="pct"/>
            <w:shd w:val="clear" w:color="auto" w:fill="FFFFFF"/>
            <w:noWrap/>
            <w:vAlign w:val="bottom"/>
          </w:tcPr>
          <w:p>
            <w:pPr>
              <w:pageBreakBefore w:val="0"/>
              <w:kinsoku/>
              <w:wordWrap/>
              <w:overflowPunct/>
              <w:topLinePunct w:val="0"/>
              <w:autoSpaceDE/>
              <w:autoSpaceDN/>
              <w:bidi w:val="0"/>
              <w:adjustRightInd/>
              <w:snapToGrid/>
              <w:spacing w:line="480" w:lineRule="auto"/>
              <w:rPr>
                <w:rFonts w:hint="default" w:ascii="Arial" w:hAnsi="Arial" w:cs="Arial"/>
                <w:b/>
                <w:bCs/>
                <w:sz w:val="21"/>
                <w:szCs w:val="21"/>
                <w:lang w:val="en-US" w:eastAsia="zh-CN"/>
              </w:rPr>
            </w:pPr>
            <w:r>
              <w:rPr>
                <w:rFonts w:hint="default" w:ascii="Arial" w:hAnsi="Arial" w:cs="Arial"/>
                <w:b/>
                <w:bCs/>
                <w:sz w:val="21"/>
                <w:szCs w:val="21"/>
                <w:lang w:val="en-US" w:eastAsia="zh-CN"/>
              </w:rPr>
              <w:t>Threats:</w:t>
            </w:r>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Intense market competition(LinkedIn, 2023;Partridge, 2023).</w:t>
            </w:r>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Economic fluctuations and rising costs(Gill and Kose, 2024).</w:t>
            </w:r>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Regulatory and policy changes(Forbes, 2023).</w:t>
            </w:r>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Consumer behavior changes (Gill and Kose, 2024).</w:t>
            </w:r>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Strengths</w:t>
            </w: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SO (Strengths to Seize Opportunities)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ST (Strengths to Mitigate 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vMerge w:val="restar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kern w:val="0"/>
                <w:sz w:val="21"/>
                <w:szCs w:val="21"/>
                <w:u w:val="none"/>
                <w:lang w:val="en-US" w:eastAsia="zh-CN" w:bidi="ar"/>
              </w:rPr>
            </w:pPr>
            <w:r>
              <w:rPr>
                <w:rFonts w:hint="default" w:ascii="Arial" w:hAnsi="Arial" w:eastAsia="Segoe UI" w:cs="Arial"/>
                <w:i w:val="0"/>
                <w:iCs w:val="0"/>
                <w:color w:val="0D0D0D"/>
                <w:kern w:val="0"/>
                <w:sz w:val="21"/>
                <w:szCs w:val="21"/>
                <w:u w:val="none"/>
                <w:lang w:val="en-US" w:eastAsia="zh-CN" w:bidi="ar"/>
              </w:rPr>
              <w:t>Strong Store Network &amp; Digital Capabilities(</w:t>
            </w:r>
            <w:r>
              <w:rPr>
                <w:rFonts w:hint="default" w:ascii="Arial" w:hAnsi="Arial" w:cs="Arial"/>
                <w:sz w:val="21"/>
                <w:szCs w:val="21"/>
              </w:rPr>
              <w:t>Bedford, 2023</w:t>
            </w:r>
            <w:r>
              <w:rPr>
                <w:rFonts w:hint="default" w:ascii="Arial" w:hAnsi="Arial" w:eastAsia="宋体" w:cs="Arial"/>
                <w:sz w:val="21"/>
                <w:szCs w:val="21"/>
                <w:lang w:val="en-US" w:eastAsia="zh-CN"/>
              </w:rPr>
              <w:t>s</w:t>
            </w:r>
            <w:r>
              <w:rPr>
                <w:rFonts w:hint="default" w:ascii="Arial" w:hAnsi="Arial" w:cs="Arial"/>
                <w:sz w:val="21"/>
                <w:szCs w:val="21"/>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lang w:val="en-US"/>
              </w:rPr>
            </w:pPr>
            <w:r>
              <w:rPr>
                <w:rFonts w:hint="default" w:ascii="Arial" w:hAnsi="Arial" w:eastAsia="Segoe UI" w:cs="Arial"/>
                <w:i w:val="0"/>
                <w:iCs w:val="0"/>
                <w:color w:val="0D0D0D"/>
                <w:kern w:val="0"/>
                <w:sz w:val="21"/>
                <w:szCs w:val="21"/>
                <w:u w:val="none"/>
                <w:lang w:val="en-US" w:eastAsia="zh-CN" w:bidi="ar"/>
              </w:rPr>
              <w:t>Cost Leadership(</w:t>
            </w:r>
            <w:r>
              <w:rPr>
                <w:rFonts w:hint="default" w:ascii="Arial" w:hAnsi="Arial" w:cs="Arial"/>
                <w:sz w:val="21"/>
                <w:szCs w:val="21"/>
              </w:rPr>
              <w:t xml:space="preserve">Butler, 2012) </w:t>
            </w: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Leverage strong store network and digital capabilities to enhance convenience of online shopping, attracting more customers.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Utilize cost leadership strategy and digital business to maintain price competitiveness amid intense market rivalry.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vMerge w:val="continue"/>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Capitalize on cost leadership strategy and extensive store network to capture a larger market share among pricesensitive consumers.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Strengthen security on digital platforms to counter cyber threats and data privacy concerns.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Weaknesses</w:t>
            </w: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WO (Weaknesses to Capitalize on Opportunities)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WT (Mitigate Weaknesses and Threats Together)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vMerge w:val="restar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kern w:val="0"/>
                <w:sz w:val="21"/>
                <w:szCs w:val="21"/>
                <w:u w:val="none"/>
                <w:lang w:val="en-US" w:eastAsia="zh-CN" w:bidi="ar"/>
              </w:rPr>
            </w:pPr>
            <w:r>
              <w:rPr>
                <w:rFonts w:hint="default" w:ascii="Arial" w:hAnsi="Arial" w:eastAsia="Segoe UI" w:cs="Arial"/>
                <w:i w:val="0"/>
                <w:iCs w:val="0"/>
                <w:color w:val="0D0D0D"/>
                <w:kern w:val="0"/>
                <w:sz w:val="21"/>
                <w:szCs w:val="21"/>
                <w:u w:val="none"/>
                <w:lang w:val="en-US" w:eastAsia="zh-CN" w:bidi="ar"/>
              </w:rPr>
              <w:t>Training Gaps</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Technological Innovation Needs</w:t>
            </w: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Enhance internal training to help staff adapt to digital transformation and respond effectively to changing consumer behaviors.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Optimize supply chain management to reduce costs related to inflation and economic instability.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616" w:type="pct"/>
            <w:vMerge w:val="continue"/>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Invest in technological innovation to improve online and mobile shopping experiences, attracting techsavvy consumers.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Implement stronger data protection measures to enhance customer trust and address cybersecurity threats.</w:t>
            </w:r>
          </w:p>
        </w:tc>
      </w:tr>
      <w:bookmarkEnd w:id="6"/>
    </w:tbl>
    <w:p>
      <w:pPr>
        <w:pStyle w:val="3"/>
        <w:pageBreakBefore w:val="0"/>
        <w:kinsoku/>
        <w:wordWrap/>
        <w:overflowPunct/>
        <w:topLinePunct w:val="0"/>
        <w:autoSpaceDE/>
        <w:autoSpaceDN/>
        <w:bidi w:val="0"/>
        <w:adjustRightInd/>
        <w:snapToGrid/>
        <w:spacing w:line="480" w:lineRule="auto"/>
        <w:rPr>
          <w:rFonts w:hint="default" w:ascii="Arial" w:hAnsi="Arial" w:cs="Arial"/>
          <w:sz w:val="21"/>
          <w:szCs w:val="21"/>
        </w:rPr>
      </w:pPr>
      <w:bookmarkStart w:id="7" w:name="_Toc3245"/>
      <w:r>
        <w:rPr>
          <w:rFonts w:hint="default" w:ascii="Arial" w:hAnsi="Arial" w:cs="Arial"/>
          <w:sz w:val="21"/>
          <w:szCs w:val="21"/>
        </w:rPr>
        <w:t>Strategic marketing goal</w:t>
      </w:r>
      <w:bookmarkEnd w:id="7"/>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By August 2025, improving digital transformation will increase Tesco's online market share by 5%.</w:t>
      </w:r>
    </w:p>
    <w:p>
      <w:pPr>
        <w:pStyle w:val="3"/>
        <w:pageBreakBefore w:val="0"/>
        <w:kinsoku/>
        <w:wordWrap/>
        <w:overflowPunct/>
        <w:topLinePunct w:val="0"/>
        <w:autoSpaceDE/>
        <w:autoSpaceDN/>
        <w:bidi w:val="0"/>
        <w:adjustRightInd/>
        <w:snapToGrid/>
        <w:spacing w:line="480" w:lineRule="auto"/>
        <w:rPr>
          <w:rFonts w:hint="default" w:ascii="Arial" w:hAnsi="Arial" w:cs="Arial"/>
          <w:sz w:val="21"/>
          <w:szCs w:val="21"/>
        </w:rPr>
      </w:pPr>
      <w:bookmarkStart w:id="8" w:name="_Toc8640"/>
      <w:r>
        <w:rPr>
          <w:rFonts w:hint="default" w:ascii="Arial" w:hAnsi="Arial" w:cs="Arial"/>
          <w:sz w:val="21"/>
          <w:szCs w:val="21"/>
        </w:rPr>
        <w:t>SMART analysis</w:t>
      </w:r>
      <w:bookmarkEnd w:id="8"/>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Specifically, the online market share increased by 5%.</w:t>
      </w:r>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Measurable: Use network analysis to track customer interaction and sales growth.</w:t>
      </w:r>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Realizable: Utilize existing technology and supply chain advantages.</w:t>
      </w:r>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Related: Consistent with consumer demand for digital convenience and sustainability.</w:t>
      </w:r>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Deadline: To be completed by August 2025.</w:t>
      </w:r>
    </w:p>
    <w:p>
      <w:pPr>
        <w:pStyle w:val="3"/>
        <w:pageBreakBefore w:val="0"/>
        <w:kinsoku/>
        <w:wordWrap/>
        <w:overflowPunct/>
        <w:topLinePunct w:val="0"/>
        <w:autoSpaceDE/>
        <w:autoSpaceDN/>
        <w:bidi w:val="0"/>
        <w:adjustRightInd/>
        <w:snapToGrid/>
        <w:spacing w:line="480" w:lineRule="auto"/>
        <w:rPr>
          <w:rFonts w:hint="default" w:ascii="Arial" w:hAnsi="Arial" w:cs="Arial"/>
          <w:sz w:val="21"/>
          <w:szCs w:val="21"/>
        </w:rPr>
      </w:pPr>
      <w:bookmarkStart w:id="9" w:name="_Toc13218"/>
      <w:r>
        <w:rPr>
          <w:rFonts w:hint="default" w:ascii="Arial" w:hAnsi="Arial" w:cs="Arial"/>
          <w:sz w:val="21"/>
          <w:szCs w:val="21"/>
        </w:rPr>
        <w:t>Strategy</w:t>
      </w:r>
      <w:bookmarkEnd w:id="9"/>
      <w:r>
        <w:rPr>
          <w:rFonts w:hint="default" w:ascii="Arial" w:hAnsi="Arial" w:cs="Arial"/>
          <w:sz w:val="21"/>
          <w:szCs w:val="21"/>
        </w:rPr>
        <w:t xml:space="preserve"> </w:t>
      </w:r>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The overall strategic direction is to strengthen digital transformation and achieve market penetration and diversification.</w:t>
      </w:r>
    </w:p>
    <w:p>
      <w:pPr>
        <w:pStyle w:val="4"/>
        <w:pageBreakBefore w:val="0"/>
        <w:kinsoku/>
        <w:wordWrap/>
        <w:overflowPunct/>
        <w:topLinePunct w:val="0"/>
        <w:autoSpaceDE/>
        <w:autoSpaceDN/>
        <w:bidi w:val="0"/>
        <w:adjustRightInd/>
        <w:snapToGrid/>
        <w:spacing w:line="480" w:lineRule="auto"/>
        <w:rPr>
          <w:rFonts w:hint="default" w:ascii="Arial" w:hAnsi="Arial" w:cs="Arial"/>
          <w:sz w:val="21"/>
          <w:szCs w:val="21"/>
        </w:rPr>
      </w:pPr>
      <w:bookmarkStart w:id="10" w:name="_Toc28701"/>
      <w:r>
        <w:rPr>
          <w:rFonts w:hint="default" w:ascii="Arial" w:hAnsi="Arial" w:cs="Arial"/>
          <w:sz w:val="21"/>
          <w:szCs w:val="21"/>
          <w:lang w:val="en-US" w:eastAsia="zh-CN"/>
        </w:rPr>
        <w:t>A</w:t>
      </w:r>
      <w:r>
        <w:rPr>
          <w:rFonts w:hint="default" w:ascii="Arial" w:hAnsi="Arial" w:cs="Arial"/>
          <w:sz w:val="21"/>
          <w:szCs w:val="21"/>
        </w:rPr>
        <w:t>nsoff’s Growth Matrix</w:t>
      </w:r>
      <w:bookmarkEnd w:id="10"/>
    </w:p>
    <w:p>
      <w:pPr>
        <w:pageBreakBefore w:val="0"/>
        <w:kinsoku/>
        <w:wordWrap/>
        <w:overflowPunct/>
        <w:topLinePunct w:val="0"/>
        <w:autoSpaceDE/>
        <w:autoSpaceDN/>
        <w:bidi w:val="0"/>
        <w:adjustRightInd/>
        <w:snapToGrid/>
        <w:spacing w:afterAutospacing="0" w:line="480" w:lineRule="auto"/>
        <w:rPr>
          <w:rFonts w:hint="default" w:ascii="Arial" w:hAnsi="Arial" w:cs="Arial"/>
          <w:sz w:val="24"/>
          <w:szCs w:val="24"/>
        </w:rPr>
      </w:pPr>
      <w:bookmarkStart w:id="11" w:name="OLE_LINK1"/>
      <w:bookmarkStart w:id="28" w:name="_GoBack"/>
      <w:r>
        <w:rPr>
          <w:rFonts w:hint="default" w:ascii="Arial" w:hAnsi="Arial" w:cs="Arial"/>
          <w:sz w:val="24"/>
          <w:szCs w:val="24"/>
        </w:rPr>
        <w:drawing>
          <wp:inline distT="0" distB="0" distL="114300" distR="114300">
            <wp:extent cx="5338445" cy="4931410"/>
            <wp:effectExtent l="0" t="0" r="825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5338445" cy="4931410"/>
                    </a:xfrm>
                    <a:prstGeom prst="rect">
                      <a:avLst/>
                    </a:prstGeom>
                    <a:noFill/>
                    <a:ln>
                      <a:noFill/>
                    </a:ln>
                  </pic:spPr>
                </pic:pic>
              </a:graphicData>
            </a:graphic>
          </wp:inline>
        </w:drawing>
      </w:r>
      <w:bookmarkEnd w:id="28"/>
    </w:p>
    <w:p>
      <w:pPr>
        <w:pageBreakBefore w:val="0"/>
        <w:kinsoku/>
        <w:wordWrap/>
        <w:overflowPunct/>
        <w:topLinePunct w:val="0"/>
        <w:autoSpaceDE/>
        <w:autoSpaceDN/>
        <w:bidi w:val="0"/>
        <w:adjustRightInd/>
        <w:snapToGrid/>
        <w:spacing w:beforeAutospacing="0" w:line="480" w:lineRule="auto"/>
        <w:rPr>
          <w:rFonts w:hint="default" w:ascii="Arial" w:hAnsi="Arial" w:cs="Arial"/>
          <w:b/>
          <w:bCs/>
          <w:sz w:val="24"/>
          <w:szCs w:val="24"/>
        </w:rPr>
      </w:pPr>
    </w:p>
    <w:p>
      <w:pPr>
        <w:pStyle w:val="4"/>
        <w:pageBreakBefore w:val="0"/>
        <w:kinsoku/>
        <w:wordWrap/>
        <w:overflowPunct/>
        <w:topLinePunct w:val="0"/>
        <w:autoSpaceDE/>
        <w:autoSpaceDN/>
        <w:bidi w:val="0"/>
        <w:adjustRightInd/>
        <w:snapToGrid/>
        <w:spacing w:line="480" w:lineRule="auto"/>
        <w:rPr>
          <w:rFonts w:hint="default" w:ascii="Arial" w:hAnsi="Arial" w:cs="Arial"/>
          <w:sz w:val="24"/>
          <w:szCs w:val="24"/>
        </w:rPr>
      </w:pPr>
      <w:bookmarkStart w:id="12" w:name="_Toc29692"/>
      <w:r>
        <w:rPr>
          <w:rFonts w:hint="default" w:ascii="Arial" w:hAnsi="Arial" w:cs="Arial"/>
          <w:sz w:val="21"/>
          <w:szCs w:val="21"/>
        </w:rPr>
        <w:t>Porter’s Generic Strategies</w:t>
      </w:r>
      <w:bookmarkEnd w:id="12"/>
    </w:p>
    <w:bookmarkEnd w:id="11"/>
    <w:p>
      <w:pPr>
        <w:pageBreakBefore w:val="0"/>
        <w:kinsoku/>
        <w:wordWrap/>
        <w:overflowPunct/>
        <w:topLinePunct w:val="0"/>
        <w:autoSpaceDE/>
        <w:autoSpaceDN/>
        <w:bidi w:val="0"/>
        <w:adjustRightInd/>
        <w:snapToGrid/>
        <w:spacing w:line="480" w:lineRule="auto"/>
        <w:rPr>
          <w:rFonts w:hint="default" w:ascii="Times New Roman" w:hAnsi="Times New Roman" w:cs="Times New Roman"/>
          <w:sz w:val="21"/>
          <w:szCs w:val="21"/>
          <w:lang w:val="en-US" w:eastAsia="zh-CN"/>
        </w:rPr>
      </w:pPr>
      <w:r>
        <w:rPr>
          <w:rFonts w:hint="default" w:ascii="Times New Roman" w:hAnsi="Times New Roman" w:cs="Times New Roman"/>
          <w:sz w:val="21"/>
          <w:szCs w:val="21"/>
        </w:rPr>
        <w:drawing>
          <wp:inline distT="0" distB="0" distL="114300" distR="114300">
            <wp:extent cx="5270500" cy="273113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5270500" cy="2731135"/>
                    </a:xfrm>
                    <a:prstGeom prst="rect">
                      <a:avLst/>
                    </a:prstGeom>
                    <a:noFill/>
                    <a:ln>
                      <a:noFill/>
                    </a:ln>
                  </pic:spPr>
                </pic:pic>
              </a:graphicData>
            </a:graphic>
          </wp:inline>
        </w:drawing>
      </w:r>
    </w:p>
    <w:p>
      <w:pPr>
        <w:pStyle w:val="3"/>
        <w:pageBreakBefore w:val="0"/>
        <w:kinsoku/>
        <w:wordWrap/>
        <w:overflowPunct/>
        <w:topLinePunct w:val="0"/>
        <w:autoSpaceDE/>
        <w:autoSpaceDN/>
        <w:bidi w:val="0"/>
        <w:adjustRightInd/>
        <w:snapToGrid/>
        <w:spacing w:line="480" w:lineRule="auto"/>
        <w:rPr>
          <w:rFonts w:hint="default" w:ascii="Arial" w:hAnsi="Arial" w:cs="Arial"/>
          <w:sz w:val="21"/>
          <w:szCs w:val="21"/>
        </w:rPr>
      </w:pPr>
      <w:bookmarkStart w:id="13" w:name="_Toc19807"/>
      <w:bookmarkStart w:id="14" w:name="OLE_LINK4"/>
      <w:r>
        <w:rPr>
          <w:rFonts w:hint="default" w:ascii="Arial" w:hAnsi="Arial" w:cs="Arial"/>
          <w:sz w:val="21"/>
          <w:szCs w:val="21"/>
        </w:rPr>
        <w:t>Tactics</w:t>
      </w:r>
      <w:bookmarkEnd w:id="13"/>
    </w:p>
    <w:bookmarkEnd w:id="14"/>
    <w:p>
      <w:pPr>
        <w:pStyle w:val="4"/>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15" w:name="_Toc8032"/>
      <w:bookmarkStart w:id="16" w:name="OLE_LINK6"/>
      <w:r>
        <w:rPr>
          <w:rFonts w:hint="default" w:ascii="Arial" w:hAnsi="Arial" w:cs="Arial"/>
          <w:sz w:val="21"/>
          <w:szCs w:val="21"/>
          <w:lang w:val="en-US" w:eastAsia="zh-CN"/>
        </w:rPr>
        <w:t>Product</w:t>
      </w:r>
      <w:bookmarkEnd w:id="15"/>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Expand sustainable product lines and improve proprietary brand products. Tesco is one of the largest supermarket chains in the UK, currently establishing a diverse product portfolio with the aim of better targeting consumer groups of different ages, genders, hobbies, and incomes, and providing them with a diverse product portfolio(</w:t>
      </w:r>
      <w:r>
        <w:rPr>
          <w:rFonts w:hint="default" w:ascii="Arial" w:hAnsi="Arial" w:cs="Arial"/>
          <w:sz w:val="21"/>
          <w:szCs w:val="21"/>
        </w:rPr>
        <w:t>Hardcastle, 2021)</w:t>
      </w:r>
      <w:r>
        <w:rPr>
          <w:rFonts w:hint="default" w:ascii="Arial" w:hAnsi="Arial" w:cs="Arial"/>
          <w:sz w:val="21"/>
          <w:szCs w:val="21"/>
          <w:lang w:val="en-US" w:eastAsia="zh-CN"/>
        </w:rPr>
        <w:t>. The consumer group of the millennial generation and the Z era is the new main force in the product retail industry. They pursue trendiness and fashion, do not passively accept, and like to match personalized combinations according to their own taste. This requires Tesco's product portfolio to be more diverse, presenting hierarchy, diversity, and differentiation.</w:t>
      </w:r>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In addition, personalized demand is one of the development trends of future retail. Retail enterprises can provide personalized products that meet their needs by collecting and mining online customer information, preferences, and other information. Tesco can launch customized services and build a customized platform to facilitate customers in designing their ideal products. After the design is completed, products can be developed based on customer personal information data, and users can experience product effects online through virtual VR technology. Customized platforms can not only meet customer needs, but also reduce company inventory and further increase the company's gross profit margin. At the same time, customized products have an absolute advantage in price, which can effectively enhance the competitiveness of the Tesco brand in a sense(</w:t>
      </w:r>
      <w:r>
        <w:rPr>
          <w:rFonts w:hint="default" w:ascii="Arial" w:hAnsi="Arial" w:cs="Arial"/>
          <w:sz w:val="21"/>
          <w:szCs w:val="21"/>
        </w:rPr>
        <w:t>Hudson, 2022)</w:t>
      </w:r>
      <w:r>
        <w:rPr>
          <w:rFonts w:hint="default" w:ascii="Arial" w:hAnsi="Arial" w:cs="Arial"/>
          <w:sz w:val="21"/>
          <w:szCs w:val="21"/>
          <w:lang w:val="en-US" w:eastAsia="zh-CN"/>
        </w:rPr>
        <w:t>.</w:t>
      </w:r>
    </w:p>
    <w:p>
      <w:pPr>
        <w:pStyle w:val="4"/>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17" w:name="_Toc10059"/>
      <w:r>
        <w:rPr>
          <w:rFonts w:hint="default" w:ascii="Arial" w:hAnsi="Arial" w:cs="Arial"/>
          <w:sz w:val="21"/>
          <w:szCs w:val="21"/>
          <w:lang w:val="en-US" w:eastAsia="zh-CN"/>
        </w:rPr>
        <w:t>Price</w:t>
      </w:r>
      <w:bookmarkEnd w:id="17"/>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With the help of pricing optimization software, adjusting prices flexibly is one of the important factors to consider when setting prices. Before setting prices, enterprises should comprehensively consider factors such as product research and development costs, manufacturing costs, sales costs, etc(</w:t>
      </w:r>
      <w:r>
        <w:rPr>
          <w:rFonts w:hint="default" w:ascii="Arial" w:hAnsi="Arial" w:eastAsia="宋体" w:cs="Arial"/>
          <w:i w:val="0"/>
          <w:iCs w:val="0"/>
          <w:caps w:val="0"/>
          <w:color w:val="222222"/>
          <w:spacing w:val="0"/>
          <w:sz w:val="21"/>
          <w:szCs w:val="21"/>
          <w:shd w:val="clear" w:fill="FFFFFF"/>
        </w:rPr>
        <w:t xml:space="preserve">Varadarajan, </w:t>
      </w:r>
      <w:r>
        <w:rPr>
          <w:rFonts w:hint="default" w:ascii="Arial" w:hAnsi="Arial" w:eastAsia="宋体" w:cs="Arial"/>
          <w:i w:val="0"/>
          <w:iCs w:val="0"/>
          <w:caps w:val="0"/>
          <w:color w:val="222222"/>
          <w:spacing w:val="0"/>
          <w:sz w:val="21"/>
          <w:szCs w:val="21"/>
          <w:shd w:val="clear" w:fill="FFFFFF"/>
          <w:lang w:val="en-US" w:eastAsia="zh-CN"/>
        </w:rPr>
        <w:t xml:space="preserve">et al., </w:t>
      </w:r>
      <w:r>
        <w:rPr>
          <w:rFonts w:hint="default" w:ascii="Arial" w:hAnsi="Arial" w:eastAsia="宋体" w:cs="Arial"/>
          <w:i w:val="0"/>
          <w:iCs w:val="0"/>
          <w:caps w:val="0"/>
          <w:color w:val="222222"/>
          <w:spacing w:val="0"/>
          <w:sz w:val="21"/>
          <w:szCs w:val="21"/>
          <w:shd w:val="clear" w:fill="FFFFFF"/>
        </w:rPr>
        <w:t>2022)</w:t>
      </w:r>
      <w:r>
        <w:rPr>
          <w:rFonts w:hint="default" w:ascii="Arial" w:hAnsi="Arial" w:cs="Arial"/>
          <w:sz w:val="21"/>
          <w:szCs w:val="21"/>
          <w:lang w:val="en-US" w:eastAsia="zh-CN"/>
        </w:rPr>
        <w:t>. Generally speaking, the lowest selling price of a product should not be lower than the comprehensive cost of the product. Product competitiveness can reflect the market share of the enterprise's product, and there are many factors that affect product competitiveness, such as brand influence, product marketing level, and functional quality. For enterprises with weak brand power and new entry into the market, formulating a low price strategy can to some extent improve the competitive level of the product in the market(</w:t>
      </w:r>
      <w:r>
        <w:rPr>
          <w:rFonts w:hint="default" w:ascii="Arial" w:hAnsi="Arial" w:eastAsia="宋体" w:cs="Arial"/>
          <w:i w:val="0"/>
          <w:iCs w:val="0"/>
          <w:caps w:val="0"/>
          <w:color w:val="222222"/>
          <w:spacing w:val="0"/>
          <w:sz w:val="21"/>
          <w:szCs w:val="21"/>
          <w:shd w:val="clear" w:fill="FFFFFF"/>
        </w:rPr>
        <w:t>Varadarajan,</w:t>
      </w:r>
      <w:r>
        <w:rPr>
          <w:rFonts w:hint="default" w:ascii="Arial" w:hAnsi="Arial" w:eastAsia="宋体" w:cs="Arial"/>
          <w:i w:val="0"/>
          <w:iCs w:val="0"/>
          <w:caps w:val="0"/>
          <w:color w:val="222222"/>
          <w:spacing w:val="0"/>
          <w:sz w:val="21"/>
          <w:szCs w:val="21"/>
          <w:shd w:val="clear" w:fill="FFFFFF"/>
          <w:lang w:val="en-US" w:eastAsia="zh-CN"/>
        </w:rPr>
        <w:t xml:space="preserve">et al., </w:t>
      </w:r>
      <w:r>
        <w:rPr>
          <w:rFonts w:hint="default" w:ascii="Arial" w:hAnsi="Arial" w:eastAsia="宋体" w:cs="Arial"/>
          <w:i w:val="0"/>
          <w:iCs w:val="0"/>
          <w:caps w:val="0"/>
          <w:color w:val="222222"/>
          <w:spacing w:val="0"/>
          <w:sz w:val="21"/>
          <w:szCs w:val="21"/>
          <w:shd w:val="clear" w:fill="FFFFFF"/>
        </w:rPr>
        <w:t xml:space="preserve">2022). </w:t>
      </w:r>
      <w:r>
        <w:rPr>
          <w:rFonts w:hint="default" w:ascii="Arial" w:hAnsi="Arial" w:cs="Arial"/>
          <w:sz w:val="21"/>
          <w:szCs w:val="21"/>
          <w:lang w:val="en-US" w:eastAsia="zh-CN"/>
        </w:rPr>
        <w:t>; The market supply and demand situation refers to the demand of different consumers for such products in the market. The market supply and demand situation can intuitively reflect the demand of consumers for goods, guide enterprises to adjust prices. Currently, most retail goods are overproduced, and the overall situation presents an oversupply situation. Therefore, enterprises should always pay attention to the market price trend and adjust prices flexibly. The widespread popularity of the Internet has largely reduced the problem of information asymmetry between producers and consumers, and consumers have more choices. For Tesco, which is implementing a digital strategy, it can use professional pricing optimization software such as Pricefx and Vendavo to adjust prices. Secondly, utilizing artificial intelligence technology to achieve personalized pricing. The sales costs generated by different sales channels and products are also different. In order to achieve maximum profit, enterprises need to establish the concept of personalized pricing strategies(</w:t>
      </w:r>
      <w:r>
        <w:rPr>
          <w:rFonts w:hint="default" w:ascii="Arial" w:hAnsi="Arial" w:eastAsia="宋体" w:cs="Arial"/>
          <w:i w:val="0"/>
          <w:iCs w:val="0"/>
          <w:caps w:val="0"/>
          <w:color w:val="222222"/>
          <w:spacing w:val="0"/>
          <w:sz w:val="21"/>
          <w:szCs w:val="21"/>
          <w:shd w:val="clear" w:fill="FFFFFF"/>
        </w:rPr>
        <w:t>Steinhoff</w:t>
      </w:r>
      <w:r>
        <w:rPr>
          <w:rFonts w:hint="default" w:ascii="Arial" w:hAnsi="Arial" w:eastAsia="宋体" w:cs="Arial"/>
          <w:i w:val="0"/>
          <w:iCs w:val="0"/>
          <w:caps w:val="0"/>
          <w:color w:val="222222"/>
          <w:spacing w:val="0"/>
          <w:sz w:val="21"/>
          <w:szCs w:val="21"/>
          <w:shd w:val="clear" w:fill="FFFFFF"/>
          <w:lang w:val="en-US" w:eastAsia="zh-CN"/>
        </w:rPr>
        <w:t xml:space="preserve"> </w:t>
      </w:r>
      <w:r>
        <w:rPr>
          <w:rFonts w:hint="default" w:ascii="Arial" w:hAnsi="Arial" w:eastAsia="宋体" w:cs="Arial"/>
          <w:i w:val="0"/>
          <w:iCs w:val="0"/>
          <w:caps w:val="0"/>
          <w:color w:val="222222"/>
          <w:spacing w:val="0"/>
          <w:sz w:val="21"/>
          <w:szCs w:val="21"/>
          <w:shd w:val="clear" w:fill="FFFFFF"/>
        </w:rPr>
        <w:t>&amp; Zondag, 2021)</w:t>
      </w:r>
      <w:r>
        <w:rPr>
          <w:rFonts w:hint="default" w:ascii="Arial" w:hAnsi="Arial" w:cs="Arial"/>
          <w:sz w:val="21"/>
          <w:szCs w:val="21"/>
          <w:lang w:val="en-US" w:eastAsia="zh-CN"/>
        </w:rPr>
        <w:t>.</w:t>
      </w:r>
    </w:p>
    <w:p>
      <w:pPr>
        <w:pStyle w:val="4"/>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18" w:name="_Toc3184"/>
      <w:r>
        <w:rPr>
          <w:rFonts w:hint="default" w:ascii="Arial" w:hAnsi="Arial" w:cs="Arial"/>
          <w:sz w:val="21"/>
          <w:szCs w:val="21"/>
          <w:lang w:val="en-US" w:eastAsia="zh-CN"/>
        </w:rPr>
        <w:t>Channel</w:t>
      </w:r>
      <w:bookmarkEnd w:id="18"/>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Promote the development of omnichannel and improve consumer satisfaction. omnichannel refers to the integration of online and offline channels by enterprises to meet the real-time shopping needs of consumers at any time, place, and method. In the traditional e-commerce environment, people's consumption habit is to search for whatever they want to buy, and to understand the detailed data of the products through the product details page searched, assisting consumers in making purchasing decisions(</w:t>
      </w:r>
      <w:r>
        <w:rPr>
          <w:rFonts w:hint="default" w:ascii="Arial" w:hAnsi="Arial" w:eastAsia="宋体" w:cs="Arial"/>
          <w:i w:val="0"/>
          <w:iCs w:val="0"/>
          <w:caps w:val="0"/>
          <w:color w:val="222222"/>
          <w:spacing w:val="0"/>
          <w:sz w:val="21"/>
          <w:szCs w:val="21"/>
          <w:shd w:val="clear" w:fill="FFFFFF"/>
        </w:rPr>
        <w:t>Wongkitrungrueng</w:t>
      </w:r>
      <w:r>
        <w:rPr>
          <w:rFonts w:hint="default" w:ascii="Arial" w:hAnsi="Arial" w:eastAsia="宋体" w:cs="Arial"/>
          <w:i w:val="0"/>
          <w:iCs w:val="0"/>
          <w:caps w:val="0"/>
          <w:color w:val="222222"/>
          <w:spacing w:val="0"/>
          <w:sz w:val="21"/>
          <w:szCs w:val="21"/>
          <w:shd w:val="clear" w:fill="FFFFFF"/>
          <w:lang w:val="en-US" w:eastAsia="zh-CN"/>
        </w:rPr>
        <w:t xml:space="preserve"> </w:t>
      </w:r>
      <w:r>
        <w:rPr>
          <w:rFonts w:hint="default" w:ascii="Arial" w:hAnsi="Arial" w:eastAsia="宋体" w:cs="Arial"/>
          <w:i w:val="0"/>
          <w:iCs w:val="0"/>
          <w:caps w:val="0"/>
          <w:color w:val="222222"/>
          <w:spacing w:val="0"/>
          <w:sz w:val="21"/>
          <w:szCs w:val="21"/>
          <w:shd w:val="clear" w:fill="FFFFFF"/>
        </w:rPr>
        <w:t>&amp; Suprawan,2023)</w:t>
      </w:r>
      <w:r>
        <w:rPr>
          <w:rFonts w:hint="default" w:ascii="Arial" w:hAnsi="Arial" w:cs="Arial"/>
          <w:sz w:val="21"/>
          <w:szCs w:val="21"/>
          <w:lang w:val="en-US" w:eastAsia="zh-CN"/>
        </w:rPr>
        <w:t>. As more and more Internet platforms set foot in the e-commerce industry, commodity introduction methods such as live video with goods, short video planting grass and so on are booming and gradually known to people. The way people obtain commodity information is no longer simple, and shopping habits are gradually changing, from active acquisition of commodity information in the past to passive acquisition of commodity information now. This change makes the e-commerce industry gradually present new development formats and create new development vitality. Tesco should firmly grasp the new development opportunity. In addition to accelerating the construction of self built channels, it should also actively explore and join the existing network channels, use the existing resources of major Internet platforms to carry out digital marketing, promote the integration of online and offline channels, and achieve omni channel development. In addition to using the Internet platform to carry out marketing activities(</w:t>
      </w:r>
      <w:r>
        <w:rPr>
          <w:rFonts w:hint="default" w:ascii="Arial" w:hAnsi="Arial" w:eastAsia="宋体" w:cs="Arial"/>
          <w:i w:val="0"/>
          <w:iCs w:val="0"/>
          <w:caps w:val="0"/>
          <w:color w:val="222222"/>
          <w:spacing w:val="0"/>
          <w:sz w:val="21"/>
          <w:szCs w:val="21"/>
          <w:shd w:val="clear" w:fill="FFFFFF"/>
        </w:rPr>
        <w:t>Rodrigues &amp; Brandão, 2021)</w:t>
      </w:r>
      <w:r>
        <w:rPr>
          <w:rFonts w:hint="default" w:ascii="Arial" w:hAnsi="Arial" w:cs="Arial"/>
          <w:sz w:val="21"/>
          <w:szCs w:val="21"/>
          <w:lang w:val="en-US" w:eastAsia="zh-CN"/>
        </w:rPr>
        <w:t>, Tesco should also establish a corresponding consumer shopping data collection, analysis and problem feedback center, use big data and artificial intelligence technology to obtain and analyze information about consumers' purchase frequency, purchase channels and other information, maintain communication and interaction with consumers, timely deal with any problems encountered by consumers in the process of shopping, timely record and report consumer demands and suggestions for improvement of goods, guide enterprise research and production with actual market data, assist enterprises to make reasonable predictions on product life cycle, improve the turnover rate of goods and funds, and effectively respond to market changes.</w:t>
      </w:r>
    </w:p>
    <w:p>
      <w:pPr>
        <w:pStyle w:val="4"/>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19" w:name="_Toc16959"/>
      <w:r>
        <w:rPr>
          <w:rFonts w:hint="default" w:ascii="Arial" w:hAnsi="Arial" w:cs="Arial"/>
          <w:sz w:val="21"/>
          <w:szCs w:val="21"/>
          <w:lang w:val="en-US" w:eastAsia="zh-CN"/>
        </w:rPr>
        <w:t>Promote</w:t>
      </w:r>
      <w:bookmarkEnd w:id="19"/>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Carry out targeted promotional activities to showcase digital transformation. The popularity of the Internet has changed the way people obtain knowledge and information. In the past, we usually obtain knowledge and external information by reading newspapers, books or listening to the radio. In the digital era, we mostly obtain the knowledge and information we want by inputting keywords into Internet search engines, and this habit also makes search engine marketing (SEM) possible((</w:t>
      </w:r>
      <w:r>
        <w:rPr>
          <w:rFonts w:hint="default" w:ascii="Arial" w:hAnsi="Arial" w:eastAsia="宋体" w:cs="Arial"/>
          <w:i w:val="0"/>
          <w:iCs w:val="0"/>
          <w:caps w:val="0"/>
          <w:color w:val="222222"/>
          <w:spacing w:val="0"/>
          <w:sz w:val="21"/>
          <w:szCs w:val="21"/>
          <w:shd w:val="clear" w:fill="FFFFFF"/>
        </w:rPr>
        <w:t>Rodrigues &amp; Brandão, 2021)</w:t>
      </w:r>
      <w:r>
        <w:rPr>
          <w:rFonts w:hint="default" w:ascii="Arial" w:hAnsi="Arial" w:cs="Arial"/>
          <w:sz w:val="21"/>
          <w:szCs w:val="21"/>
          <w:lang w:val="en-US" w:eastAsia="zh-CN"/>
        </w:rPr>
        <w:t>. Search engine marketing is a kind of marketing method based on Internet search engine platform, which makes use of people's habits of using search engines to push marketing content to users when people retrieve information they want to know. Search engine marketing can build a bridge between businesses and consumers, where consumers can directly communicate with businesses, express their needs, and businesses respond to them, achieving a win-win situation for both parties. Based on this, Tesco can choose to advertise on search engines such as Google for digital marketing(</w:t>
      </w:r>
      <w:r>
        <w:rPr>
          <w:rFonts w:hint="default" w:ascii="Arial" w:hAnsi="Arial" w:eastAsia="宋体" w:cs="Arial"/>
          <w:i w:val="0"/>
          <w:iCs w:val="0"/>
          <w:caps w:val="0"/>
          <w:color w:val="222222"/>
          <w:spacing w:val="0"/>
          <w:sz w:val="21"/>
          <w:szCs w:val="21"/>
          <w:shd w:val="clear" w:fill="FFFFFF"/>
        </w:rPr>
        <w:t>Rodrigues &amp; Brandão, 2021)</w:t>
      </w:r>
      <w:r>
        <w:rPr>
          <w:rFonts w:hint="default" w:ascii="Arial" w:hAnsi="Arial" w:cs="Arial"/>
          <w:sz w:val="21"/>
          <w:szCs w:val="21"/>
          <w:lang w:val="en-US" w:eastAsia="zh-CN"/>
        </w:rPr>
        <w:t>.</w:t>
      </w:r>
    </w:p>
    <w:p>
      <w:pPr>
        <w:pStyle w:val="4"/>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20" w:name="_Toc7498"/>
      <w:r>
        <w:rPr>
          <w:rFonts w:hint="default" w:ascii="Arial" w:hAnsi="Arial" w:cs="Arial"/>
          <w:sz w:val="21"/>
          <w:szCs w:val="21"/>
          <w:lang w:val="en-US" w:eastAsia="zh-CN"/>
        </w:rPr>
        <w:t>Personnel</w:t>
      </w:r>
      <w:bookmarkEnd w:id="20"/>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Talent guarantee. Talent is a strong driving force for the development of enterprises and an important resource for their growth. It can be said that the height of talent largely determines the height of the enterprise. Tesco should approach problems with a developmental perspective, elevate the strategic height of the enterprise, and not only focus on material resources, underestimate human resources, value hardware conditions, and ignore software conditions in daily business activities(</w:t>
      </w:r>
      <w:r>
        <w:rPr>
          <w:rFonts w:hint="default" w:ascii="Arial" w:hAnsi="Arial" w:eastAsia="宋体" w:cs="Arial"/>
          <w:i w:val="0"/>
          <w:iCs w:val="0"/>
          <w:caps w:val="0"/>
          <w:color w:val="222222"/>
          <w:spacing w:val="0"/>
          <w:sz w:val="21"/>
          <w:szCs w:val="21"/>
          <w:shd w:val="clear" w:fill="FFFFFF"/>
        </w:rPr>
        <w:t>Vrechopoulos, Lazaris&amp; Doukidis, 2022)</w:t>
      </w:r>
      <w:r>
        <w:rPr>
          <w:rFonts w:hint="default" w:ascii="Arial" w:hAnsi="Arial" w:cs="Arial"/>
          <w:sz w:val="21"/>
          <w:szCs w:val="21"/>
          <w:lang w:val="en-US" w:eastAsia="zh-CN"/>
        </w:rPr>
        <w:t>. Tesco needs to recruit and form a professional digital marketing team. Members of the digital marketing team need to master different work skills according to their own different division of labor. For example, the planning and implementation personnel need to have some experience in copywriting and event planning, have a keen sense of the industry market, be able to keenly detect market trends, make more accurate research and judgments based on market research data, timely adjust appropriate activity plans, be good at using current events to create topics to promote products, have a clear understanding of the preferences of target consumer groups, and maintain good interaction with consumers on various Internet platforms; Before and after sales, sales personnel need to have sufficient understanding and recognition of the company's products, and maintain sufficient patience in communication with consumers(</w:t>
      </w:r>
      <w:r>
        <w:rPr>
          <w:rFonts w:hint="default" w:ascii="Arial" w:hAnsi="Arial" w:eastAsia="宋体" w:cs="Arial"/>
          <w:i w:val="0"/>
          <w:iCs w:val="0"/>
          <w:caps w:val="0"/>
          <w:color w:val="222222"/>
          <w:spacing w:val="0"/>
          <w:sz w:val="21"/>
          <w:szCs w:val="21"/>
          <w:shd w:val="clear" w:fill="FFFFFF"/>
        </w:rPr>
        <w:t>Hänninen, 2020)</w:t>
      </w:r>
      <w:r>
        <w:rPr>
          <w:rFonts w:hint="default" w:ascii="Arial" w:hAnsi="Arial" w:cs="Arial"/>
          <w:sz w:val="21"/>
          <w:szCs w:val="21"/>
          <w:lang w:val="en-US" w:eastAsia="zh-CN"/>
        </w:rPr>
        <w:t>.</w:t>
      </w:r>
    </w:p>
    <w:p>
      <w:pPr>
        <w:pStyle w:val="4"/>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21" w:name="_Toc21042"/>
      <w:r>
        <w:rPr>
          <w:rFonts w:hint="default" w:ascii="Arial" w:hAnsi="Arial" w:cs="Arial"/>
          <w:sz w:val="21"/>
          <w:szCs w:val="21"/>
          <w:lang w:val="en-US" w:eastAsia="zh-CN"/>
        </w:rPr>
        <w:t>Process</w:t>
      </w:r>
      <w:bookmarkEnd w:id="21"/>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b/>
          <w:bCs/>
          <w:sz w:val="21"/>
          <w:szCs w:val="21"/>
          <w:lang w:val="en-US" w:eastAsia="zh-CN"/>
        </w:rPr>
        <w:t xml:space="preserve"> </w:t>
      </w:r>
      <w:r>
        <w:rPr>
          <w:rFonts w:hint="default" w:ascii="Arial" w:hAnsi="Arial" w:cs="Arial"/>
          <w:sz w:val="21"/>
          <w:szCs w:val="21"/>
          <w:lang w:val="en-US" w:eastAsia="zh-CN"/>
        </w:rPr>
        <w:t>Using advanced digital technology to optimize the process. Technology is the support for enterprises to achieve digital transformation. Digital transformation is the use of IoT technology by enterprises to help them achieve transformation. Its essence is to accumulate and analyze data to help enterprises create value. There are many kinds of IoT technologies, the core of which is data. Different industries use data to create value in different modes, but the essence is the same. Traditional enterprises can create new value through digital transformation. The digital transformation of enterprises requires the connection between business and technology, and cloud computing, artificial intelligence, and the Internet of Things are indispensable technologies for modern enterprises to achieve digital transformation(</w:t>
      </w:r>
      <w:r>
        <w:rPr>
          <w:rFonts w:hint="default" w:ascii="Arial" w:hAnsi="Arial" w:eastAsia="宋体" w:cs="Arial"/>
          <w:i w:val="0"/>
          <w:iCs w:val="0"/>
          <w:caps w:val="0"/>
          <w:color w:val="222222"/>
          <w:spacing w:val="0"/>
          <w:sz w:val="21"/>
          <w:szCs w:val="21"/>
          <w:shd w:val="clear" w:fill="FFFFFF"/>
        </w:rPr>
        <w:t xml:space="preserve">McKee, </w:t>
      </w:r>
      <w:r>
        <w:rPr>
          <w:rFonts w:hint="default" w:ascii="Arial" w:hAnsi="Arial" w:eastAsia="宋体" w:cs="Arial"/>
          <w:i w:val="0"/>
          <w:iCs w:val="0"/>
          <w:caps w:val="0"/>
          <w:color w:val="222222"/>
          <w:spacing w:val="0"/>
          <w:sz w:val="21"/>
          <w:szCs w:val="21"/>
          <w:shd w:val="clear" w:fill="FFFFFF"/>
          <w:lang w:val="en-US" w:eastAsia="zh-CN"/>
        </w:rPr>
        <w:t xml:space="preserve">et al., </w:t>
      </w:r>
      <w:r>
        <w:rPr>
          <w:rFonts w:hint="default" w:ascii="Arial" w:hAnsi="Arial" w:eastAsia="宋体" w:cs="Arial"/>
          <w:i w:val="0"/>
          <w:iCs w:val="0"/>
          <w:caps w:val="0"/>
          <w:color w:val="222222"/>
          <w:spacing w:val="0"/>
          <w:sz w:val="21"/>
          <w:szCs w:val="21"/>
          <w:shd w:val="clear" w:fill="FFFFFF"/>
        </w:rPr>
        <w:t>2023)</w:t>
      </w:r>
      <w:r>
        <w:rPr>
          <w:rFonts w:hint="default" w:ascii="Arial" w:hAnsi="Arial" w:cs="Arial"/>
          <w:sz w:val="21"/>
          <w:szCs w:val="21"/>
          <w:lang w:val="en-US" w:eastAsia="zh-CN"/>
        </w:rPr>
        <w:t>. Cloud computing can save costs, ensure data security, and be more flexible and mobile. Enterprise teams can securely connect to enterprise data through cloud computing. The application of artificial intelligence, AR/VR, and AI technologies is also an essential technology for physical stores to build intelligent stores. The application of these technologies can bring consumers a better experience. The Internet of Things technology can help enterprises track the vehicles and locations of goods in real time, making it convenient for enterprises to adjust and deploy goods transportation in real time based on real-time data(</w:t>
      </w:r>
      <w:r>
        <w:rPr>
          <w:rFonts w:hint="default" w:ascii="Arial" w:hAnsi="Arial" w:cs="Arial"/>
          <w:sz w:val="21"/>
          <w:szCs w:val="21"/>
        </w:rPr>
        <w:t>Mitchell&amp; Davies,2017)</w:t>
      </w:r>
      <w:r>
        <w:rPr>
          <w:rFonts w:hint="default" w:ascii="Arial" w:hAnsi="Arial" w:cs="Arial"/>
          <w:sz w:val="21"/>
          <w:szCs w:val="21"/>
          <w:lang w:val="en-US" w:eastAsia="zh-CN"/>
        </w:rPr>
        <w:t>. In order to achieve digital transformation, Tesco needs to select Internet technologies suitable for enterprise transformation based on enterprise characteristics, help enterprises speed up the pace of digital transformation, and help enterprises create more value.</w:t>
      </w:r>
    </w:p>
    <w:p>
      <w:pPr>
        <w:pStyle w:val="4"/>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22" w:name="_Toc28435"/>
      <w:r>
        <w:rPr>
          <w:rFonts w:hint="default" w:ascii="Arial" w:hAnsi="Arial" w:cs="Arial"/>
          <w:sz w:val="21"/>
          <w:szCs w:val="21"/>
          <w:lang w:val="en-US" w:eastAsia="zh-CN"/>
        </w:rPr>
        <w:t>Physical Evidence</w:t>
      </w:r>
      <w:bookmarkEnd w:id="22"/>
    </w:p>
    <w:p>
      <w:pPr>
        <w:pageBreakBefore w:val="0"/>
        <w:kinsoku/>
        <w:wordWrap/>
        <w:overflowPunct/>
        <w:topLinePunct w:val="0"/>
        <w:autoSpaceDE/>
        <w:autoSpaceDN/>
        <w:bidi w:val="0"/>
        <w:adjustRightInd/>
        <w:snapToGrid/>
        <w:spacing w:line="480" w:lineRule="auto"/>
        <w:rPr>
          <w:rFonts w:hint="default" w:ascii="Arial" w:hAnsi="Arial" w:cs="Arial" w:eastAsiaTheme="minorEastAsia"/>
          <w:sz w:val="21"/>
          <w:szCs w:val="21"/>
          <w:lang w:val="en-US" w:eastAsia="zh-CN"/>
        </w:rPr>
      </w:pPr>
      <w:r>
        <w:rPr>
          <w:rFonts w:hint="default" w:ascii="Arial" w:hAnsi="Arial" w:cs="Arial"/>
          <w:sz w:val="21"/>
          <w:szCs w:val="21"/>
          <w:lang w:val="en-US" w:eastAsia="zh-CN"/>
        </w:rPr>
        <w:t>Strengthen tangible or visible elements that can better convey the brand logo, such as product packaging, online user navigation, store layout, and uniform clothing for employees(</w:t>
      </w:r>
      <w:r>
        <w:rPr>
          <w:rFonts w:hint="default" w:ascii="Arial" w:hAnsi="Arial" w:cs="Arial"/>
          <w:sz w:val="21"/>
          <w:szCs w:val="21"/>
        </w:rPr>
        <w:t>Lawson, 2020).</w:t>
      </w:r>
      <w:r>
        <w:rPr>
          <w:rFonts w:hint="default" w:ascii="Arial" w:hAnsi="Arial" w:cs="Arial"/>
          <w:sz w:val="21"/>
          <w:szCs w:val="21"/>
          <w:lang w:val="en-US" w:eastAsia="zh-CN"/>
        </w:rPr>
        <w:t xml:space="preserve"> The purpose of doing so is to better meet customer experience, help customers easily connect these elements with the brand, and establish stronger trust(</w:t>
      </w:r>
      <w:r>
        <w:rPr>
          <w:rFonts w:hint="default" w:ascii="Arial" w:hAnsi="Arial" w:cs="Arial"/>
          <w:sz w:val="21"/>
          <w:szCs w:val="21"/>
        </w:rPr>
        <w:t xml:space="preserve">Greenberg, 2021). </w:t>
      </w:r>
    </w:p>
    <w:bookmarkEnd w:id="16"/>
    <w:p>
      <w:pPr>
        <w:pStyle w:val="2"/>
        <w:pageBreakBefore w:val="0"/>
        <w:kinsoku/>
        <w:wordWrap/>
        <w:overflowPunct/>
        <w:topLinePunct w:val="0"/>
        <w:autoSpaceDE/>
        <w:autoSpaceDN/>
        <w:bidi w:val="0"/>
        <w:adjustRightInd/>
        <w:snapToGrid/>
        <w:spacing w:line="480" w:lineRule="auto"/>
        <w:rPr>
          <w:rFonts w:hint="default" w:ascii="Arial" w:hAnsi="Arial" w:cs="Arial"/>
          <w:sz w:val="21"/>
          <w:szCs w:val="21"/>
        </w:rPr>
      </w:pPr>
      <w:bookmarkStart w:id="23" w:name="_Toc31891"/>
      <w:r>
        <w:rPr>
          <w:rFonts w:hint="default" w:ascii="Arial" w:hAnsi="Arial" w:cs="Arial"/>
          <w:sz w:val="21"/>
          <w:szCs w:val="21"/>
        </w:rPr>
        <w:t>Actions</w:t>
      </w:r>
      <w:bookmarkEnd w:id="23"/>
      <w:r>
        <w:rPr>
          <w:rFonts w:hint="default" w:ascii="Arial" w:hAnsi="Arial" w:cs="Arial"/>
          <w:sz w:val="21"/>
          <w:szCs w:val="21"/>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b/>
          <w:bCs/>
          <w:kern w:val="2"/>
          <w:sz w:val="21"/>
          <w:szCs w:val="21"/>
          <w:lang w:val="en-US" w:eastAsia="zh-CN" w:bidi="ar-SA"/>
        </w:rPr>
      </w:pPr>
      <w:r>
        <w:rPr>
          <w:rFonts w:hint="default" w:ascii="Arial" w:hAnsi="Arial" w:cs="Arial"/>
          <w:sz w:val="21"/>
          <w:szCs w:val="21"/>
        </w:rPr>
        <w:drawing>
          <wp:inline distT="0" distB="0" distL="114300" distR="114300">
            <wp:extent cx="5273040" cy="7739380"/>
            <wp:effectExtent l="0" t="0" r="1016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3040" cy="7739380"/>
                    </a:xfrm>
                    <a:prstGeom prst="rect">
                      <a:avLst/>
                    </a:prstGeom>
                    <a:noFill/>
                    <a:ln>
                      <a:noFill/>
                    </a:ln>
                  </pic:spPr>
                </pic:pic>
              </a:graphicData>
            </a:graphic>
          </wp:inline>
        </w:drawing>
      </w:r>
    </w:p>
    <w:p>
      <w:pPr>
        <w:pStyle w:val="2"/>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24" w:name="_Toc8917"/>
      <w:r>
        <w:rPr>
          <w:rFonts w:hint="default" w:ascii="Arial" w:hAnsi="Arial" w:cs="Arial"/>
          <w:sz w:val="21"/>
          <w:szCs w:val="21"/>
          <w:lang w:val="en-US" w:eastAsia="zh-CN"/>
        </w:rPr>
        <w:t>Control</w:t>
      </w:r>
      <w:bookmarkEnd w:id="24"/>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Monitoring and evaluation will involve KPIs, such as:</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Monthly online sales growth</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Customer satisfaction score</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Conversion rate and average order value</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Employee training participation rate</w:t>
      </w:r>
    </w:p>
    <w:p>
      <w:pPr>
        <w:pStyle w:val="2"/>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25" w:name="_Toc4669"/>
      <w:r>
        <w:rPr>
          <w:rFonts w:hint="default" w:ascii="Arial" w:hAnsi="Arial" w:cs="Arial"/>
          <w:sz w:val="21"/>
          <w:szCs w:val="21"/>
          <w:lang w:val="en-US" w:eastAsia="zh-CN"/>
        </w:rPr>
        <w:t>Suggestion</w:t>
      </w:r>
      <w:bookmarkEnd w:id="25"/>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Strengthen digital transformation. Utilize automation, machine learning, and VR/AR technology to enhance customer experience and optimize internal processes.</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Global market customization: Adjust product pricing based on preferences and purchasing power. Tesco can use big data technology to obtain consumer behavior data, such as historical browsing data, product browsing duration, historical consumption data, and consumer geographic location. These data can be integrated and individual or group consumer profiles can be established. By segmenting and analyzing the profiles, consumer purchasing intentions and preferences can be predicted, providing data support for personalized pricing. Due to differences in brand perception and price sensitivity among different consumers, there are also corresponding differences in perceived value when facing the same product or service. By effectively identifying and predicting these differences, different product discounts can be provided to guide consumers to make consumption decisions, thereby achieving the goal of personalized pricing.</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Collaborating with suppliers: Establishing partnerships with suppliers to create products that meet the needs of modern consumers.</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Enhance customer journey: Utilize search engine marketing to create personalized shopping experiences. The promotion rules of Google Search are to promote a company's products or services in the form of keywords, and developing keywords has become the most important aspect of using Google Search to carry out digital marketing. Google search determines the ranking of different advertising orders through keyword bidding. Simply put, the higher the bid of a company for the same keyword, the higher its advertising ranking, and the more likely it is to appear in areas that are easily perceived by consumers, making it easier to gain exposure and click through rates. Therefore, Tesco must choose more targeted long tail vocabulary in keyword selection, which can not only match the target audience more accurately, achieve precision marketing, but also reduce the burden of competitive pressure on the company's finances; The timing of advertising placement also needs to be carefully considered. If it is placed 24 hours a day, not only will the input-output ratio be low, but it may also cause dissatisfaction from competitors, malicious clicks, and increase the cost of advertising placement. Therefore, Tesco can combine product characteristics, collect and analyze the browsing habits of the target consumer group, and implement timely and segmented advertising to improve promotion efficiency and reduce promotion costs.</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Investment talent: Priority should be given to recruiting and training professionals with professional knowledge in digital marketing, platform development, and cybersecurity to maintain competitive differentiation. Regular skills training in the digital age, with the rapid pace of digital technology updates, requires the use of training mechanisms. It is necessary to regularly organize talents to go to universities or research institutions to learn the latest theoretical knowledge and research and development cases. At the same time, efforts should be made to increase talent exchange and cooperation with universities, industry associations, and research institutions. This can not only broaden the horizons of enterprise talents, but also provide richer theoretical foundations for practice.</w:t>
      </w:r>
    </w:p>
    <w:p>
      <w:pPr>
        <w:pStyle w:val="2"/>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26" w:name="_Toc29230"/>
      <w:r>
        <w:rPr>
          <w:rFonts w:hint="default" w:ascii="Arial" w:hAnsi="Arial" w:cs="Arial"/>
          <w:sz w:val="21"/>
          <w:szCs w:val="21"/>
          <w:lang w:val="en-US" w:eastAsia="zh-CN"/>
        </w:rPr>
        <w:t>Conclusions</w:t>
      </w:r>
      <w:bookmarkEnd w:id="26"/>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Tesco meets market demand through diversification, product development, and digital transformation. By focusing on market penetration and expansion, Tesco can seize growth opportunities while reducing regional and global economic risks. Adopting Porter's cost leadership, differentiation, and focus strategy, it emphasizes Tesco's balanced plan for market success.</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pStyle w:val="2"/>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bookmarkStart w:id="27" w:name="_Toc2515"/>
      <w:r>
        <w:rPr>
          <w:rFonts w:hint="default" w:ascii="Arial" w:hAnsi="Arial" w:cs="Arial"/>
          <w:sz w:val="21"/>
          <w:szCs w:val="21"/>
          <w:lang w:val="en-US" w:eastAsia="zh-CN"/>
        </w:rPr>
        <w:t>Reference</w:t>
      </w:r>
      <w:bookmarkEnd w:id="27"/>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i/>
          <w:iCs/>
          <w:sz w:val="21"/>
          <w:szCs w:val="21"/>
        </w:rPr>
        <w:t>Amazon and Tesco have ‘best in class’ supply chain strategies</w:t>
      </w:r>
      <w:r>
        <w:rPr>
          <w:rFonts w:hint="default" w:ascii="Arial" w:hAnsi="Arial" w:cs="Arial"/>
          <w:sz w:val="21"/>
          <w:szCs w:val="21"/>
        </w:rPr>
        <w:t xml:space="preserve"> (2023) </w:t>
      </w:r>
      <w:r>
        <w:rPr>
          <w:rFonts w:hint="default" w:ascii="Arial" w:hAnsi="Arial" w:cs="Arial"/>
          <w:i/>
          <w:iCs/>
          <w:sz w:val="21"/>
          <w:szCs w:val="21"/>
        </w:rPr>
        <w:t>Retail Week</w:t>
      </w:r>
      <w:r>
        <w:rPr>
          <w:rFonts w:hint="default" w:ascii="Arial" w:hAnsi="Arial" w:cs="Arial"/>
          <w:sz w:val="21"/>
          <w:szCs w:val="21"/>
        </w:rPr>
        <w:t xml:space="preserve">. Available at: https://www.retail-week.com/supply-chain/amazon-and-tesco-have-best-in-class-supply-chain-strategies/7043552.article (Accessed: 12 March 2024). </w:t>
      </w:r>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i/>
          <w:iCs/>
          <w:sz w:val="21"/>
          <w:szCs w:val="21"/>
        </w:rPr>
        <w:t>Augmented reality and virtual reality (AR and VR) market 2024 global share: Evaluating demand &amp; competitive SWOT analysis with a vision to 2031</w:t>
      </w:r>
      <w:r>
        <w:rPr>
          <w:rFonts w:hint="default" w:ascii="Arial" w:hAnsi="Arial" w:cs="Arial"/>
          <w:sz w:val="21"/>
          <w:szCs w:val="21"/>
        </w:rPr>
        <w:t xml:space="preserve"> (2024) </w:t>
      </w:r>
      <w:r>
        <w:rPr>
          <w:rFonts w:hint="default" w:ascii="Arial" w:hAnsi="Arial" w:cs="Arial"/>
          <w:i/>
          <w:iCs/>
          <w:sz w:val="21"/>
          <w:szCs w:val="21"/>
        </w:rPr>
        <w:t>LinkedIn</w:t>
      </w:r>
      <w:r>
        <w:rPr>
          <w:rFonts w:hint="default" w:ascii="Arial" w:hAnsi="Arial" w:cs="Arial"/>
          <w:sz w:val="21"/>
          <w:szCs w:val="21"/>
        </w:rPr>
        <w:t xml:space="preserve">. Available at: https://www.linkedin.com/pulse/augmented-reality-virtual-ar-vr-market-2024-utxmf/ (Accessed: 11 March 2024). </w:t>
      </w:r>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 xml:space="preserve">Barry, A. (2024) </w:t>
      </w:r>
      <w:r>
        <w:rPr>
          <w:rFonts w:hint="default" w:ascii="Arial" w:hAnsi="Arial" w:cs="Arial"/>
          <w:i/>
          <w:iCs/>
          <w:sz w:val="21"/>
          <w:szCs w:val="21"/>
        </w:rPr>
        <w:t>Tesco will close one UK branch for good in a matter of Days</w:t>
      </w:r>
      <w:r>
        <w:rPr>
          <w:rFonts w:hint="default" w:ascii="Arial" w:hAnsi="Arial" w:cs="Arial"/>
          <w:sz w:val="21"/>
          <w:szCs w:val="21"/>
        </w:rPr>
        <w:t xml:space="preserve">, </w:t>
      </w:r>
      <w:r>
        <w:rPr>
          <w:rFonts w:hint="default" w:ascii="Arial" w:hAnsi="Arial" w:cs="Arial"/>
          <w:i/>
          <w:iCs/>
          <w:sz w:val="21"/>
          <w:szCs w:val="21"/>
        </w:rPr>
        <w:t>GB News</w:t>
      </w:r>
      <w:r>
        <w:rPr>
          <w:rFonts w:hint="default" w:ascii="Arial" w:hAnsi="Arial" w:cs="Arial"/>
          <w:sz w:val="21"/>
          <w:szCs w:val="21"/>
        </w:rPr>
        <w:t xml:space="preserve">. Available at: https://www.gbnews.com/lifestyle/tesco-store-closures-supermarket (Accessed: 12 March 2024). </w:t>
      </w:r>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eastAsia="宋体" w:cs="Arial"/>
          <w:i w:val="0"/>
          <w:iCs w:val="0"/>
          <w:caps w:val="0"/>
          <w:color w:val="222222"/>
          <w:spacing w:val="0"/>
          <w:sz w:val="21"/>
          <w:szCs w:val="21"/>
          <w:shd w:val="clear" w:fill="FFFFFF"/>
        </w:rPr>
      </w:pPr>
      <w:r>
        <w:rPr>
          <w:rFonts w:hint="default" w:ascii="Arial" w:hAnsi="Arial" w:cs="Arial"/>
          <w:sz w:val="21"/>
          <w:szCs w:val="21"/>
        </w:rPr>
        <w:t>Bedford, E. (2023</w:t>
      </w:r>
      <w:r>
        <w:rPr>
          <w:rFonts w:hint="default" w:ascii="Arial" w:hAnsi="Arial" w:eastAsia="宋体" w:cs="Arial"/>
          <w:sz w:val="21"/>
          <w:szCs w:val="21"/>
          <w:lang w:val="en-US" w:eastAsia="zh-CN"/>
        </w:rPr>
        <w:t>b</w:t>
      </w:r>
      <w:r>
        <w:rPr>
          <w:rFonts w:hint="default" w:ascii="Arial" w:hAnsi="Arial" w:cs="Arial"/>
          <w:sz w:val="21"/>
          <w:szCs w:val="21"/>
        </w:rPr>
        <w:t xml:space="preserve">) </w:t>
      </w:r>
      <w:r>
        <w:rPr>
          <w:rFonts w:hint="default" w:ascii="Arial" w:hAnsi="Arial" w:cs="Arial"/>
          <w:i/>
          <w:iCs/>
          <w:sz w:val="21"/>
          <w:szCs w:val="21"/>
        </w:rPr>
        <w:t>Tesco Group employees by region 2023</w:t>
      </w:r>
      <w:r>
        <w:rPr>
          <w:rFonts w:hint="default" w:ascii="Arial" w:hAnsi="Arial" w:cs="Arial"/>
          <w:sz w:val="21"/>
          <w:szCs w:val="21"/>
        </w:rPr>
        <w:t xml:space="preserve">, </w:t>
      </w:r>
      <w:r>
        <w:rPr>
          <w:rFonts w:hint="default" w:ascii="Arial" w:hAnsi="Arial" w:cs="Arial"/>
          <w:i/>
          <w:iCs/>
          <w:sz w:val="21"/>
          <w:szCs w:val="21"/>
        </w:rPr>
        <w:t>Statista</w:t>
      </w:r>
      <w:r>
        <w:rPr>
          <w:rFonts w:hint="default" w:ascii="Arial" w:hAnsi="Arial" w:cs="Arial"/>
          <w:sz w:val="21"/>
          <w:szCs w:val="21"/>
        </w:rPr>
        <w:t xml:space="preserve">. Available at: https://www.statista.com/statistics/490890/tesco-group-number-of-employees-worldwide/ (Accessed: 12 March 2024). </w:t>
      </w:r>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Bedford, E. (2023</w:t>
      </w:r>
      <w:r>
        <w:rPr>
          <w:rFonts w:hint="default" w:ascii="Arial" w:hAnsi="Arial" w:eastAsia="宋体" w:cs="Arial"/>
          <w:sz w:val="21"/>
          <w:szCs w:val="21"/>
          <w:lang w:val="en-US" w:eastAsia="zh-CN"/>
        </w:rPr>
        <w:t>s</w:t>
      </w:r>
      <w:r>
        <w:rPr>
          <w:rFonts w:hint="default" w:ascii="Arial" w:hAnsi="Arial" w:cs="Arial"/>
          <w:sz w:val="21"/>
          <w:szCs w:val="21"/>
        </w:rPr>
        <w:t xml:space="preserve">) </w:t>
      </w:r>
      <w:r>
        <w:rPr>
          <w:rFonts w:hint="default" w:ascii="Arial" w:hAnsi="Arial" w:cs="Arial"/>
          <w:i/>
          <w:iCs/>
          <w:sz w:val="21"/>
          <w:szCs w:val="21"/>
        </w:rPr>
        <w:t>Tesco’s global number of stores 2023</w:t>
      </w:r>
      <w:r>
        <w:rPr>
          <w:rFonts w:hint="default" w:ascii="Arial" w:hAnsi="Arial" w:cs="Arial"/>
          <w:sz w:val="21"/>
          <w:szCs w:val="21"/>
        </w:rPr>
        <w:t xml:space="preserve">, </w:t>
      </w:r>
      <w:r>
        <w:rPr>
          <w:rFonts w:hint="default" w:ascii="Arial" w:hAnsi="Arial" w:cs="Arial"/>
          <w:i/>
          <w:iCs/>
          <w:sz w:val="21"/>
          <w:szCs w:val="21"/>
        </w:rPr>
        <w:t>Statista</w:t>
      </w:r>
      <w:r>
        <w:rPr>
          <w:rFonts w:hint="default" w:ascii="Arial" w:hAnsi="Arial" w:cs="Arial"/>
          <w:sz w:val="21"/>
          <w:szCs w:val="21"/>
        </w:rPr>
        <w:t xml:space="preserve">. Available at: https://www.statista.com/statistics/238667/tesco-plc-number-of-outlets-worldwide/ (Accessed: 11 March 2024). </w:t>
      </w:r>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 xml:space="preserve">Butler, S. (2012) </w:t>
      </w:r>
      <w:r>
        <w:rPr>
          <w:rFonts w:hint="default" w:ascii="Arial" w:hAnsi="Arial" w:cs="Arial"/>
          <w:i/>
          <w:iCs/>
          <w:sz w:val="21"/>
          <w:szCs w:val="21"/>
        </w:rPr>
        <w:t>Fresh, but not so easy: Tesco joins a long list of British failure in America</w:t>
      </w:r>
      <w:r>
        <w:rPr>
          <w:rFonts w:hint="default" w:ascii="Arial" w:hAnsi="Arial" w:cs="Arial"/>
          <w:sz w:val="21"/>
          <w:szCs w:val="21"/>
        </w:rPr>
        <w:t xml:space="preserve">, </w:t>
      </w:r>
      <w:r>
        <w:rPr>
          <w:rFonts w:hint="default" w:ascii="Arial" w:hAnsi="Arial" w:cs="Arial"/>
          <w:i/>
          <w:iCs/>
          <w:sz w:val="21"/>
          <w:szCs w:val="21"/>
        </w:rPr>
        <w:t>The Guardian</w:t>
      </w:r>
      <w:r>
        <w:rPr>
          <w:rFonts w:hint="default" w:ascii="Arial" w:hAnsi="Arial" w:cs="Arial"/>
          <w:sz w:val="21"/>
          <w:szCs w:val="21"/>
        </w:rPr>
        <w:t xml:space="preserve">. Available at: https://www.theguardian.com/business/2012/dec/09/fresh-not-easy-tesco-british-failure-america (Accessed: 11 March 2024). </w:t>
      </w:r>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i/>
          <w:iCs/>
          <w:sz w:val="21"/>
          <w:szCs w:val="21"/>
        </w:rPr>
        <w:t>Core purpose and values</w:t>
      </w:r>
      <w:r>
        <w:rPr>
          <w:rFonts w:hint="default" w:ascii="Arial" w:hAnsi="Arial" w:cs="Arial"/>
          <w:sz w:val="21"/>
          <w:szCs w:val="21"/>
        </w:rPr>
        <w:t xml:space="preserve"> (2024</w:t>
      </w:r>
      <w:r>
        <w:rPr>
          <w:rFonts w:hint="default" w:ascii="Arial" w:hAnsi="Arial" w:eastAsia="宋体" w:cs="Arial"/>
          <w:sz w:val="21"/>
          <w:szCs w:val="21"/>
          <w:lang w:val="en-US" w:eastAsia="zh-CN"/>
        </w:rPr>
        <w:t>c</w:t>
      </w:r>
      <w:r>
        <w:rPr>
          <w:rFonts w:hint="default" w:ascii="Arial" w:hAnsi="Arial" w:cs="Arial"/>
          <w:sz w:val="21"/>
          <w:szCs w:val="21"/>
        </w:rPr>
        <w:t xml:space="preserve">) </w:t>
      </w:r>
      <w:r>
        <w:rPr>
          <w:rFonts w:hint="default" w:ascii="Arial" w:hAnsi="Arial" w:cs="Arial"/>
          <w:i/>
          <w:iCs/>
          <w:sz w:val="21"/>
          <w:szCs w:val="21"/>
        </w:rPr>
        <w:t>Tesco PLC</w:t>
      </w:r>
      <w:r>
        <w:rPr>
          <w:rFonts w:hint="default" w:ascii="Arial" w:hAnsi="Arial" w:cs="Arial"/>
          <w:sz w:val="21"/>
          <w:szCs w:val="21"/>
        </w:rPr>
        <w:t xml:space="preserve">. Available at: https://www.tescoplc.com/about/how-we-do-business/core-purpose-and-values/ (Accessed: 12 March 2024). </w:t>
      </w:r>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 xml:space="preserve">Hardcastle, K. (2021) </w:t>
      </w:r>
      <w:r>
        <w:rPr>
          <w:rFonts w:hint="default" w:ascii="Arial" w:hAnsi="Arial" w:cs="Arial"/>
          <w:i/>
          <w:iCs/>
          <w:sz w:val="21"/>
          <w:szCs w:val="21"/>
        </w:rPr>
        <w:t>As Tesco plans more check-out free stores, Alibaba Takes Grocery Retail Tech to the next level</w:t>
      </w:r>
      <w:r>
        <w:rPr>
          <w:rFonts w:hint="default" w:ascii="Arial" w:hAnsi="Arial" w:cs="Arial"/>
          <w:sz w:val="21"/>
          <w:szCs w:val="21"/>
        </w:rPr>
        <w:t xml:space="preserve">, </w:t>
      </w:r>
      <w:r>
        <w:rPr>
          <w:rFonts w:hint="default" w:ascii="Arial" w:hAnsi="Arial" w:cs="Arial"/>
          <w:i/>
          <w:iCs/>
          <w:sz w:val="21"/>
          <w:szCs w:val="21"/>
        </w:rPr>
        <w:t>Forbes</w:t>
      </w:r>
      <w:r>
        <w:rPr>
          <w:rFonts w:hint="default" w:ascii="Arial" w:hAnsi="Arial" w:cs="Arial"/>
          <w:sz w:val="21"/>
          <w:szCs w:val="21"/>
        </w:rPr>
        <w:t xml:space="preserve">. Available at: https://www.forbes.com/sites/katehardcastle/2021/06/23/as-tesco-plans-to-unveil-more-check-out-free-stores-alibaba-takes-grocery-retail-technology-to-the-next-level/?sh=5913239e6ac8 (Accessed: 12 March 2024). </w:t>
      </w:r>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 xml:space="preserve">Hudson, S. (2022) </w:t>
      </w:r>
      <w:r>
        <w:rPr>
          <w:rFonts w:hint="default" w:ascii="Arial" w:hAnsi="Arial" w:cs="Arial"/>
          <w:i/>
          <w:iCs/>
          <w:sz w:val="21"/>
          <w:szCs w:val="21"/>
        </w:rPr>
        <w:t>Tesco - Advertiser of the year</w:t>
      </w:r>
      <w:r>
        <w:rPr>
          <w:rFonts w:hint="default" w:ascii="Arial" w:hAnsi="Arial" w:cs="Arial"/>
          <w:sz w:val="21"/>
          <w:szCs w:val="21"/>
        </w:rPr>
        <w:t xml:space="preserve">, </w:t>
      </w:r>
      <w:r>
        <w:rPr>
          <w:rFonts w:hint="default" w:ascii="Arial" w:hAnsi="Arial" w:cs="Arial"/>
          <w:i/>
          <w:iCs/>
          <w:sz w:val="21"/>
          <w:szCs w:val="21"/>
        </w:rPr>
        <w:t>Newsworks</w:t>
      </w:r>
      <w:r>
        <w:rPr>
          <w:rFonts w:hint="default" w:ascii="Arial" w:hAnsi="Arial" w:cs="Arial"/>
          <w:sz w:val="21"/>
          <w:szCs w:val="21"/>
        </w:rPr>
        <w:t xml:space="preserve">. Available at: https://newsworks.org.uk/news-and-opinion/tesco-advertiser-of-the-year/ (Accessed: 12 March 2024). </w:t>
      </w:r>
    </w:p>
    <w:p>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i/>
          <w:iCs/>
          <w:sz w:val="21"/>
          <w:szCs w:val="21"/>
        </w:rPr>
        <w:t>Interim results trading statement 2023/24</w:t>
      </w:r>
      <w:r>
        <w:rPr>
          <w:rFonts w:hint="default" w:ascii="Arial" w:hAnsi="Arial" w:cs="Arial"/>
          <w:sz w:val="21"/>
          <w:szCs w:val="21"/>
        </w:rPr>
        <w:t xml:space="preserve"> (2023</w:t>
      </w:r>
      <w:r>
        <w:rPr>
          <w:rFonts w:hint="default" w:ascii="Arial" w:hAnsi="Arial" w:eastAsia="宋体" w:cs="Arial"/>
          <w:sz w:val="21"/>
          <w:szCs w:val="21"/>
          <w:lang w:val="en-US" w:eastAsia="zh-CN"/>
        </w:rPr>
        <w:t>b</w:t>
      </w:r>
      <w:r>
        <w:rPr>
          <w:rFonts w:hint="default" w:ascii="Arial" w:hAnsi="Arial" w:cs="Arial"/>
          <w:sz w:val="21"/>
          <w:szCs w:val="21"/>
        </w:rPr>
        <w:t xml:space="preserve">) </w:t>
      </w:r>
      <w:r>
        <w:rPr>
          <w:rFonts w:hint="default" w:ascii="Arial" w:hAnsi="Arial" w:cs="Arial"/>
          <w:i/>
          <w:iCs/>
          <w:sz w:val="21"/>
          <w:szCs w:val="21"/>
        </w:rPr>
        <w:t>Tesco PLC</w:t>
      </w:r>
      <w:r>
        <w:rPr>
          <w:rFonts w:hint="default" w:ascii="Arial" w:hAnsi="Arial" w:cs="Arial"/>
          <w:sz w:val="21"/>
          <w:szCs w:val="21"/>
        </w:rPr>
        <w:t xml:space="preserve">. Available at: https://www.tescoplc.com/interim-results-trading-statement-202324/ (Accessed: 12 March 2024). </w:t>
      </w:r>
    </w:p>
    <w:p>
      <w:pPr>
        <w:pageBreakBefore w:val="0"/>
        <w:numPr>
          <w:ilvl w:val="0"/>
          <w:numId w:val="1"/>
        </w:numPr>
        <w:kinsoku/>
        <w:wordWrap/>
        <w:overflowPunct/>
        <w:topLinePunct w:val="0"/>
        <w:autoSpaceDE/>
        <w:autoSpaceDN/>
        <w:bidi w:val="0"/>
        <w:adjustRightInd/>
        <w:snapToGrid/>
        <w:spacing w:line="480" w:lineRule="auto"/>
        <w:ind w:left="425" w:leftChars="0" w:hanging="425" w:firstLineChars="0"/>
        <w:rPr>
          <w:rFonts w:hint="default" w:ascii="Arial" w:hAnsi="Arial" w:eastAsia="宋体" w:cs="Arial"/>
          <w:i w:val="0"/>
          <w:iCs w:val="0"/>
          <w:caps w:val="0"/>
          <w:color w:val="222222"/>
          <w:spacing w:val="0"/>
          <w:sz w:val="21"/>
          <w:szCs w:val="21"/>
          <w:shd w:val="clear" w:fill="FFFFFF"/>
          <w:lang w:val="en-US" w:eastAsia="zh-CN"/>
        </w:rPr>
      </w:pPr>
      <w:r>
        <w:rPr>
          <w:rFonts w:hint="default" w:ascii="Arial" w:hAnsi="Arial" w:eastAsia="宋体" w:cs="Arial"/>
          <w:i w:val="0"/>
          <w:iCs w:val="0"/>
          <w:caps w:val="0"/>
          <w:color w:val="222222"/>
          <w:spacing w:val="0"/>
          <w:sz w:val="21"/>
          <w:szCs w:val="21"/>
          <w:shd w:val="clear" w:fill="FFFFFF"/>
        </w:rPr>
        <w:t>Varadarajan, R., Welden, R. B., Arunachalam, S., Haenlein, M., &amp; Gupta, S. (2022). Digital product innovations for the greater good and digital marketing innovations in communications and channels: Evolution, emerging issues, and future research directions. </w:t>
      </w:r>
      <w:r>
        <w:rPr>
          <w:rFonts w:hint="default" w:ascii="Arial" w:hAnsi="Arial" w:eastAsia="宋体" w:cs="Arial"/>
          <w:i/>
          <w:iCs/>
          <w:caps w:val="0"/>
          <w:color w:val="222222"/>
          <w:spacing w:val="0"/>
          <w:sz w:val="21"/>
          <w:szCs w:val="21"/>
          <w:shd w:val="clear" w:fill="FFFFFF"/>
        </w:rPr>
        <w:t>International Journal of Research in Marketing</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39</w:t>
      </w:r>
      <w:r>
        <w:rPr>
          <w:rFonts w:hint="default" w:ascii="Arial" w:hAnsi="Arial" w:eastAsia="宋体" w:cs="Arial"/>
          <w:i w:val="0"/>
          <w:iCs w:val="0"/>
          <w:caps w:val="0"/>
          <w:color w:val="222222"/>
          <w:spacing w:val="0"/>
          <w:sz w:val="21"/>
          <w:szCs w:val="21"/>
          <w:shd w:val="clear" w:fill="FFFFFF"/>
        </w:rPr>
        <w:t>(2), 482-501.</w:t>
      </w:r>
      <w:r>
        <w:rPr>
          <w:rFonts w:hint="default" w:ascii="Arial" w:hAnsi="Arial" w:eastAsia="宋体" w:cs="Arial"/>
          <w:i w:val="0"/>
          <w:iCs w:val="0"/>
          <w:caps w:val="0"/>
          <w:color w:val="222222"/>
          <w:spacing w:val="0"/>
          <w:sz w:val="21"/>
          <w:szCs w:val="21"/>
          <w:shd w:val="clear" w:fill="FFFFFF"/>
          <w:lang w:val="en-US" w:eastAsia="zh-CN"/>
        </w:rPr>
        <w:t xml:space="preserve"> </w:t>
      </w:r>
    </w:p>
    <w:p>
      <w:pPr>
        <w:pageBreakBefore w:val="0"/>
        <w:numPr>
          <w:ilvl w:val="0"/>
          <w:numId w:val="1"/>
        </w:numPr>
        <w:kinsoku/>
        <w:wordWrap/>
        <w:overflowPunct/>
        <w:topLinePunct w:val="0"/>
        <w:autoSpaceDE/>
        <w:autoSpaceDN/>
        <w:bidi w:val="0"/>
        <w:adjustRightInd/>
        <w:snapToGrid/>
        <w:spacing w:line="480" w:lineRule="auto"/>
        <w:ind w:left="425" w:leftChars="0" w:hanging="425" w:firstLineChars="0"/>
        <w:rPr>
          <w:rFonts w:hint="default" w:ascii="Arial" w:hAnsi="Arial" w:eastAsia="宋体" w:cs="Arial"/>
          <w:i w:val="0"/>
          <w:iCs w:val="0"/>
          <w:caps w:val="0"/>
          <w:color w:val="222222"/>
          <w:spacing w:val="0"/>
          <w:sz w:val="21"/>
          <w:szCs w:val="21"/>
          <w:shd w:val="clear" w:fill="FFFFFF"/>
        </w:rPr>
      </w:pPr>
      <w:r>
        <w:rPr>
          <w:rFonts w:hint="default" w:ascii="Arial" w:hAnsi="Arial" w:eastAsia="宋体" w:cs="Arial"/>
          <w:i w:val="0"/>
          <w:iCs w:val="0"/>
          <w:caps w:val="0"/>
          <w:color w:val="222222"/>
          <w:spacing w:val="0"/>
          <w:sz w:val="21"/>
          <w:szCs w:val="21"/>
          <w:shd w:val="clear" w:fill="FFFFFF"/>
        </w:rPr>
        <w:t>Steinhoff, L., &amp; Zondag, M. M. (2021). Loyalty programs as travel companions: Complementary service features across customer journey stages. </w:t>
      </w:r>
      <w:r>
        <w:rPr>
          <w:rFonts w:hint="default" w:ascii="Arial" w:hAnsi="Arial" w:eastAsia="宋体" w:cs="Arial"/>
          <w:i/>
          <w:iCs/>
          <w:caps w:val="0"/>
          <w:color w:val="222222"/>
          <w:spacing w:val="0"/>
          <w:sz w:val="21"/>
          <w:szCs w:val="21"/>
          <w:shd w:val="clear" w:fill="FFFFFF"/>
        </w:rPr>
        <w:t>Journal of Business Research</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129</w:t>
      </w:r>
      <w:r>
        <w:rPr>
          <w:rFonts w:hint="default" w:ascii="Arial" w:hAnsi="Arial" w:eastAsia="宋体" w:cs="Arial"/>
          <w:i w:val="0"/>
          <w:iCs w:val="0"/>
          <w:caps w:val="0"/>
          <w:color w:val="222222"/>
          <w:spacing w:val="0"/>
          <w:sz w:val="21"/>
          <w:szCs w:val="21"/>
          <w:shd w:val="clear" w:fill="FFFFFF"/>
        </w:rPr>
        <w:t>, 70-82.https://www.sciencedirect.com/science/article/abs/pii/S0148296321000953</w:t>
      </w:r>
    </w:p>
    <w:p>
      <w:pPr>
        <w:pageBreakBefore w:val="0"/>
        <w:numPr>
          <w:ilvl w:val="0"/>
          <w:numId w:val="1"/>
        </w:numPr>
        <w:kinsoku/>
        <w:wordWrap/>
        <w:overflowPunct/>
        <w:topLinePunct w:val="0"/>
        <w:autoSpaceDE/>
        <w:autoSpaceDN/>
        <w:bidi w:val="0"/>
        <w:adjustRightInd/>
        <w:snapToGrid/>
        <w:spacing w:line="480" w:lineRule="auto"/>
        <w:ind w:left="425" w:leftChars="0" w:hanging="425" w:firstLineChars="0"/>
        <w:rPr>
          <w:rFonts w:hint="default" w:ascii="Arial" w:hAnsi="Arial" w:eastAsia="宋体" w:cs="Arial"/>
          <w:i w:val="0"/>
          <w:iCs w:val="0"/>
          <w:caps w:val="0"/>
          <w:color w:val="222222"/>
          <w:spacing w:val="0"/>
          <w:sz w:val="21"/>
          <w:szCs w:val="21"/>
          <w:shd w:val="clear" w:fill="FFFFFF"/>
        </w:rPr>
      </w:pPr>
      <w:r>
        <w:rPr>
          <w:rFonts w:hint="default" w:ascii="Arial" w:hAnsi="Arial" w:eastAsia="宋体" w:cs="Arial"/>
          <w:i w:val="0"/>
          <w:iCs w:val="0"/>
          <w:caps w:val="0"/>
          <w:color w:val="222222"/>
          <w:spacing w:val="0"/>
          <w:sz w:val="21"/>
          <w:szCs w:val="21"/>
          <w:shd w:val="clear" w:fill="FFFFFF"/>
        </w:rPr>
        <w:t>Wongkitrungrueng, A., &amp; Suprawan, L. (2023). Metaverse meets branding: examining consumer responses to immersive brand experiences. </w:t>
      </w:r>
      <w:r>
        <w:rPr>
          <w:rFonts w:hint="default" w:ascii="Arial" w:hAnsi="Arial" w:eastAsia="宋体" w:cs="Arial"/>
          <w:i/>
          <w:iCs/>
          <w:caps w:val="0"/>
          <w:color w:val="222222"/>
          <w:spacing w:val="0"/>
          <w:sz w:val="21"/>
          <w:szCs w:val="21"/>
          <w:shd w:val="clear" w:fill="FFFFFF"/>
        </w:rPr>
        <w:t>International Journal of Human–Computer Interaction</w:t>
      </w:r>
      <w:r>
        <w:rPr>
          <w:rFonts w:hint="default" w:ascii="Arial" w:hAnsi="Arial" w:eastAsia="宋体" w:cs="Arial"/>
          <w:i w:val="0"/>
          <w:iCs w:val="0"/>
          <w:caps w:val="0"/>
          <w:color w:val="222222"/>
          <w:spacing w:val="0"/>
          <w:sz w:val="21"/>
          <w:szCs w:val="21"/>
          <w:shd w:val="clear" w:fill="FFFFFF"/>
        </w:rPr>
        <w:t>, 1-20.https://www.tandfonline.com/doi/abs/10.1080/10447318.2023.2175162</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left"/>
        <w:rPr>
          <w:rFonts w:hint="default" w:ascii="Arial" w:hAnsi="Arial" w:cs="Arial"/>
          <w:sz w:val="21"/>
          <w:szCs w:val="21"/>
        </w:rPr>
      </w:pPr>
      <w:r>
        <w:rPr>
          <w:rFonts w:hint="default" w:ascii="Arial" w:hAnsi="Arial" w:eastAsia="宋体" w:cs="Arial"/>
          <w:i w:val="0"/>
          <w:iCs w:val="0"/>
          <w:caps w:val="0"/>
          <w:color w:val="222222"/>
          <w:spacing w:val="0"/>
          <w:sz w:val="21"/>
          <w:szCs w:val="21"/>
          <w:shd w:val="clear" w:fill="FFFFFF"/>
        </w:rPr>
        <w:t>Rodrigues, C., &amp; Brandão, A. (2021). Measuring the effects of retail brand experiences and brand love on word of mouth: a cross-country study of IKEA brand. </w:t>
      </w:r>
      <w:r>
        <w:rPr>
          <w:rFonts w:hint="default" w:ascii="Arial" w:hAnsi="Arial" w:eastAsia="宋体" w:cs="Arial"/>
          <w:i/>
          <w:iCs/>
          <w:caps w:val="0"/>
          <w:color w:val="222222"/>
          <w:spacing w:val="0"/>
          <w:sz w:val="21"/>
          <w:szCs w:val="21"/>
          <w:shd w:val="clear" w:fill="FFFFFF"/>
        </w:rPr>
        <w:t>The International Review of Retail, Distribution and Consumer Research</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31</w:t>
      </w:r>
      <w:r>
        <w:rPr>
          <w:rFonts w:hint="default" w:ascii="Arial" w:hAnsi="Arial" w:eastAsia="宋体" w:cs="Arial"/>
          <w:i w:val="0"/>
          <w:iCs w:val="0"/>
          <w:caps w:val="0"/>
          <w:color w:val="222222"/>
          <w:spacing w:val="0"/>
          <w:sz w:val="21"/>
          <w:szCs w:val="21"/>
          <w:shd w:val="clear" w:fill="FFFFFF"/>
        </w:rPr>
        <w:t>(1), 78-105.</w:t>
      </w:r>
      <w:r>
        <w:rPr>
          <w:rFonts w:hint="default" w:ascii="Arial" w:hAnsi="Arial" w:eastAsia="Bahnschrift" w:cs="Arial"/>
          <w:i w:val="0"/>
          <w:iCs w:val="0"/>
          <w:caps w:val="0"/>
          <w:color w:val="006DB4"/>
          <w:spacing w:val="0"/>
          <w:sz w:val="21"/>
          <w:szCs w:val="21"/>
          <w:u w:val="none"/>
        </w:rPr>
        <w:fldChar w:fldCharType="begin"/>
      </w:r>
      <w:r>
        <w:rPr>
          <w:rFonts w:hint="default" w:ascii="Arial" w:hAnsi="Arial" w:eastAsia="Bahnschrift" w:cs="Arial"/>
          <w:i w:val="0"/>
          <w:iCs w:val="0"/>
          <w:caps w:val="0"/>
          <w:color w:val="006DB4"/>
          <w:spacing w:val="0"/>
          <w:sz w:val="21"/>
          <w:szCs w:val="21"/>
          <w:u w:val="none"/>
        </w:rPr>
        <w:instrText xml:space="preserve"> HYPERLINK "https://doi.org/10.1080/09593969.2020.1768577" </w:instrText>
      </w:r>
      <w:r>
        <w:rPr>
          <w:rFonts w:hint="default" w:ascii="Arial" w:hAnsi="Arial" w:eastAsia="Bahnschrift" w:cs="Arial"/>
          <w:i w:val="0"/>
          <w:iCs w:val="0"/>
          <w:caps w:val="0"/>
          <w:color w:val="006DB4"/>
          <w:spacing w:val="0"/>
          <w:sz w:val="21"/>
          <w:szCs w:val="21"/>
          <w:u w:val="none"/>
        </w:rPr>
        <w:fldChar w:fldCharType="separate"/>
      </w:r>
      <w:r>
        <w:rPr>
          <w:rStyle w:val="11"/>
          <w:rFonts w:hint="default" w:ascii="Arial" w:hAnsi="Arial" w:eastAsia="Bahnschrift" w:cs="Arial"/>
          <w:i w:val="0"/>
          <w:iCs w:val="0"/>
          <w:caps w:val="0"/>
          <w:color w:val="006DB4"/>
          <w:spacing w:val="0"/>
          <w:sz w:val="21"/>
          <w:szCs w:val="21"/>
          <w:u w:val="none"/>
        </w:rPr>
        <w:t>https://doi.org/10.1080/09593969.2020.1768577</w:t>
      </w:r>
      <w:r>
        <w:rPr>
          <w:rFonts w:hint="default" w:ascii="Arial" w:hAnsi="Arial" w:eastAsia="Bahnschrift" w:cs="Arial"/>
          <w:i w:val="0"/>
          <w:iCs w:val="0"/>
          <w:caps w:val="0"/>
          <w:color w:val="006DB4"/>
          <w:spacing w:val="0"/>
          <w:sz w:val="21"/>
          <w:szCs w:val="21"/>
          <w:u w:val="none"/>
        </w:rPr>
        <w:fldChar w:fldCharType="end"/>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left"/>
        <w:rPr>
          <w:rFonts w:hint="default" w:ascii="Arial" w:hAnsi="Arial" w:cs="Arial"/>
          <w:sz w:val="21"/>
          <w:szCs w:val="21"/>
        </w:rPr>
      </w:pPr>
      <w:r>
        <w:rPr>
          <w:rFonts w:hint="default" w:ascii="Arial" w:hAnsi="Arial" w:eastAsia="宋体" w:cs="Arial"/>
          <w:i w:val="0"/>
          <w:iCs w:val="0"/>
          <w:caps w:val="0"/>
          <w:color w:val="222222"/>
          <w:spacing w:val="0"/>
          <w:sz w:val="21"/>
          <w:szCs w:val="21"/>
          <w:shd w:val="clear" w:fill="FFFFFF"/>
        </w:rPr>
        <w:t>Vrechopoulos, A., Lazaris, C., &amp; Doukidis, G. (2022). Humans and digital technologies in the omnichannel post-covid-19 era. </w:t>
      </w:r>
      <w:r>
        <w:rPr>
          <w:rFonts w:hint="default" w:ascii="Arial" w:hAnsi="Arial" w:eastAsia="宋体" w:cs="Arial"/>
          <w:i/>
          <w:iCs/>
          <w:caps w:val="0"/>
          <w:color w:val="222222"/>
          <w:spacing w:val="0"/>
          <w:sz w:val="21"/>
          <w:szCs w:val="21"/>
          <w:shd w:val="clear" w:fill="FFFFFF"/>
        </w:rPr>
        <w:t>Handbook of Research on Global Networking Post COVID-19</w:t>
      </w:r>
      <w:r>
        <w:rPr>
          <w:rFonts w:hint="default" w:ascii="Arial" w:hAnsi="Arial" w:eastAsia="宋体" w:cs="Arial"/>
          <w:i w:val="0"/>
          <w:iCs w:val="0"/>
          <w:caps w:val="0"/>
          <w:color w:val="222222"/>
          <w:spacing w:val="0"/>
          <w:sz w:val="21"/>
          <w:szCs w:val="21"/>
          <w:shd w:val="clear" w:fill="FFFFFF"/>
        </w:rPr>
        <w:t>, 55-75.https://www.igi-global.com/chapter/humans-and-digital-technologies-in-the-omnichannel-post-covid-19-era/309601</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left"/>
        <w:rPr>
          <w:rFonts w:hint="default" w:ascii="Arial" w:hAnsi="Arial" w:cs="Arial"/>
          <w:sz w:val="21"/>
          <w:szCs w:val="21"/>
        </w:rPr>
      </w:pPr>
      <w:r>
        <w:rPr>
          <w:rFonts w:hint="default" w:ascii="Arial" w:hAnsi="Arial" w:eastAsia="宋体" w:cs="Arial"/>
          <w:i w:val="0"/>
          <w:iCs w:val="0"/>
          <w:caps w:val="0"/>
          <w:color w:val="222222"/>
          <w:spacing w:val="0"/>
          <w:sz w:val="21"/>
          <w:szCs w:val="21"/>
          <w:shd w:val="clear" w:fill="FFFFFF"/>
        </w:rPr>
        <w:t>Hänninen, M. (2020). Review of studies on digital transaction platforms in marketing journals. </w:t>
      </w:r>
      <w:r>
        <w:rPr>
          <w:rFonts w:hint="default" w:ascii="Arial" w:hAnsi="Arial" w:eastAsia="宋体" w:cs="Arial"/>
          <w:i/>
          <w:iCs/>
          <w:caps w:val="0"/>
          <w:color w:val="222222"/>
          <w:spacing w:val="0"/>
          <w:sz w:val="21"/>
          <w:szCs w:val="21"/>
          <w:shd w:val="clear" w:fill="FFFFFF"/>
        </w:rPr>
        <w:t>The International Review of Retail, Distribution and Consumer Research</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30</w:t>
      </w:r>
      <w:r>
        <w:rPr>
          <w:rFonts w:hint="default" w:ascii="Arial" w:hAnsi="Arial" w:eastAsia="宋体" w:cs="Arial"/>
          <w:i w:val="0"/>
          <w:iCs w:val="0"/>
          <w:caps w:val="0"/>
          <w:color w:val="222222"/>
          <w:spacing w:val="0"/>
          <w:sz w:val="21"/>
          <w:szCs w:val="21"/>
          <w:shd w:val="clear" w:fill="FFFFFF"/>
        </w:rPr>
        <w:t>(2), 164-192.https://www.tandfonline.com/doi/abs/10.1080/09593969.2019.1651380</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left"/>
        <w:rPr>
          <w:rFonts w:hint="default" w:ascii="Arial" w:hAnsi="Arial" w:cs="Arial"/>
          <w:sz w:val="21"/>
          <w:szCs w:val="21"/>
        </w:rPr>
      </w:pPr>
      <w:r>
        <w:rPr>
          <w:rFonts w:hint="default" w:ascii="Arial" w:hAnsi="Arial" w:eastAsia="宋体" w:cs="Arial"/>
          <w:i w:val="0"/>
          <w:iCs w:val="0"/>
          <w:caps w:val="0"/>
          <w:color w:val="222222"/>
          <w:spacing w:val="0"/>
          <w:sz w:val="21"/>
          <w:szCs w:val="21"/>
          <w:shd w:val="clear" w:fill="FFFFFF"/>
        </w:rPr>
        <w:t>McKee, S., Sands, S., Pallant, J. I., &amp; Cohen, J. (2023). The evolving direct‐to‐consumer retail model: A review and research agenda. </w:t>
      </w:r>
      <w:r>
        <w:rPr>
          <w:rFonts w:hint="default" w:ascii="Arial" w:hAnsi="Arial" w:eastAsia="宋体" w:cs="Arial"/>
          <w:i/>
          <w:iCs/>
          <w:caps w:val="0"/>
          <w:color w:val="222222"/>
          <w:spacing w:val="0"/>
          <w:sz w:val="21"/>
          <w:szCs w:val="21"/>
          <w:shd w:val="clear" w:fill="FFFFFF"/>
        </w:rPr>
        <w:t>International Journal of Consumer Studies</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47</w:t>
      </w:r>
      <w:r>
        <w:rPr>
          <w:rFonts w:hint="default" w:ascii="Arial" w:hAnsi="Arial" w:eastAsia="宋体" w:cs="Arial"/>
          <w:i w:val="0"/>
          <w:iCs w:val="0"/>
          <w:caps w:val="0"/>
          <w:color w:val="222222"/>
          <w:spacing w:val="0"/>
          <w:sz w:val="21"/>
          <w:szCs w:val="21"/>
          <w:shd w:val="clear" w:fill="FFFFFF"/>
        </w:rPr>
        <w:t>(6), 2816-2842.https://www.sciencedirect.com/science/article/pii/S0040162521006120</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left"/>
        <w:rPr>
          <w:rFonts w:hint="default" w:ascii="Arial" w:hAnsi="Arial" w:cs="Arial"/>
          <w:sz w:val="21"/>
          <w:szCs w:val="21"/>
        </w:rPr>
      </w:pPr>
      <w:r>
        <w:rPr>
          <w:rFonts w:hint="default" w:ascii="Arial" w:hAnsi="Arial" w:cs="Arial"/>
          <w:sz w:val="21"/>
          <w:szCs w:val="21"/>
        </w:rPr>
        <w:t>Mitchell, J. &amp; Davies, K. (2017). Marketing Mix Strategies in Competitive Markets. Marketing Strategy Review, 18(2), 11-2https://www.emerald.com/insight/content/doi/10.1108/MIP-02-2019-0079/full/html</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left"/>
        <w:rPr>
          <w:rFonts w:hint="default" w:ascii="Arial" w:hAnsi="Arial" w:cs="Arial"/>
          <w:sz w:val="21"/>
          <w:szCs w:val="21"/>
        </w:rPr>
      </w:pPr>
      <w:r>
        <w:rPr>
          <w:rFonts w:hint="default" w:ascii="Arial" w:hAnsi="Arial" w:cs="Arial"/>
          <w:sz w:val="21"/>
          <w:szCs w:val="21"/>
        </w:rPr>
        <w:t>Lawson, H. (2020). Customer-Centric Retailing: Meeting Changing Expectations. Journal of Retail Insights, 28(2), 33-50.https://www.worldscientific.com/doi/abs/10.1142/S1363919601000427</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left"/>
        <w:rPr>
          <w:rFonts w:hint="default" w:ascii="Arial" w:hAnsi="Arial" w:cs="Arial"/>
          <w:sz w:val="21"/>
          <w:szCs w:val="21"/>
        </w:rPr>
      </w:pPr>
      <w:r>
        <w:rPr>
          <w:rFonts w:hint="default" w:ascii="Arial" w:hAnsi="Arial" w:cs="Arial"/>
          <w:sz w:val="21"/>
          <w:szCs w:val="21"/>
        </w:rPr>
        <w:t>Greenberg, P. (2021). Digital Commerce Trends and Consumer Preferences. Journal of Global Marketing, 35(1), 19-34.https://www.tandfonline.com/doi/abs/10.1080/08911762.2020.1775919</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bottom"/>
        <w:rPr>
          <w:rFonts w:hint="default" w:ascii="Arial" w:hAnsi="Arial" w:cs="Arial"/>
          <w:kern w:val="2"/>
          <w:sz w:val="21"/>
          <w:szCs w:val="21"/>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itka Text">
    <w:panose1 w:val="00000000000000000000"/>
    <w:charset w:val="00"/>
    <w:family w:val="auto"/>
    <w:pitch w:val="default"/>
    <w:sig w:usb0="A00002EF" w:usb1="4000204B" w:usb2="00000000" w:usb3="00000000" w:csb0="2000019F" w:csb1="00000000"/>
  </w:font>
  <w:font w:name="Segoe UI Variable Text Light">
    <w:panose1 w:val="00000000000000000000"/>
    <w:charset w:val="00"/>
    <w:family w:val="auto"/>
    <w:pitch w:val="default"/>
    <w:sig w:usb0="A00002FF" w:usb1="0000000B" w:usb2="00000000" w:usb3="00000000" w:csb0="2000019F" w:csb1="00000000"/>
  </w:font>
  <w:font w:name="Segoe UI Variable Small">
    <w:panose1 w:val="00000000000000000000"/>
    <w:charset w:val="00"/>
    <w:family w:val="auto"/>
    <w:pitch w:val="default"/>
    <w:sig w:usb0="A00002FF" w:usb1="0000000B" w:usb2="00000000" w:usb3="00000000" w:csb0="2000019F" w:csb1="00000000"/>
  </w:font>
  <w:font w:name="Arial">
    <w:panose1 w:val="020B0604020202020204"/>
    <w:charset w:val="00"/>
    <w:family w:val="auto"/>
    <w:pitch w:val="default"/>
    <w:sig w:usb0="E0002EFF" w:usb1="C000785B" w:usb2="00000009" w:usb3="00000000" w:csb0="400001FF" w:csb1="FFFF0000"/>
  </w:font>
  <w:font w:name="Symbol">
    <w:panose1 w:val="05050102010706020507"/>
    <w:charset w:val="00"/>
    <w:family w:val="auto"/>
    <w:pitch w:val="default"/>
    <w:sig w:usb0="00000000" w:usb1="00000000" w:usb2="00000000" w:usb3="00000000" w:csb0="80000000" w:csb1="00000000"/>
  </w:font>
  <w:font w:name="Sitka Banner">
    <w:panose1 w:val="00000000000000000000"/>
    <w:charset w:val="00"/>
    <w:family w:val="auto"/>
    <w:pitch w:val="default"/>
    <w:sig w:usb0="A00002EF" w:usb1="4000204B" w:usb2="00000000" w:usb3="00000000" w:csb0="2000019F" w:csb1="00000000"/>
  </w:font>
  <w:font w:name="Segoe UI Variable Display">
    <w:panose1 w:val="00000000000000000000"/>
    <w:charset w:val="00"/>
    <w:family w:val="auto"/>
    <w:pitch w:val="default"/>
    <w:sig w:usb0="A00002FF" w:usb1="0000000B" w:usb2="00000000" w:usb3="00000000" w:csb0="2000019F" w:csb1="00000000"/>
  </w:font>
  <w:font w:name="Sans Serif Collection">
    <w:panose1 w:val="020B0502040504020204"/>
    <w:charset w:val="00"/>
    <w:family w:val="auto"/>
    <w:pitch w:val="default"/>
    <w:sig w:usb0="8807A0C3" w:usb1="02006040" w:usb2="29100001" w:usb3="005B0020" w:csb0="00000001" w:csb1="00000000"/>
  </w:font>
  <w:font w:name="Snap ITC">
    <w:panose1 w:val="04040A07060A02020202"/>
    <w:charset w:val="00"/>
    <w:family w:val="auto"/>
    <w:pitch w:val="default"/>
    <w:sig w:usb0="00000003" w:usb1="00000000" w:usb2="00000000" w:usb3="00000000" w:csb0="20000001" w:csb1="00000000"/>
  </w:font>
  <w:font w:name="Tempus Sans ITC">
    <w:panose1 w:val="04020404030D07020202"/>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Sitka Small Semibold">
    <w:panose1 w:val="00000000000000000000"/>
    <w:charset w:val="00"/>
    <w:family w:val="auto"/>
    <w:pitch w:val="default"/>
    <w:sig w:usb0="A00002EF" w:usb1="4000204B" w:usb2="00000000" w:usb3="00000000" w:csb0="2000019F" w:csb1="00000000"/>
  </w:font>
  <w:font w:name="Segoe UI Variable Display Semilight">
    <w:panose1 w:val="00000000000000000000"/>
    <w:charset w:val="00"/>
    <w:family w:val="auto"/>
    <w:pitch w:val="default"/>
    <w:sig w:usb0="A00002FF" w:usb1="0000000B" w:usb2="00000000" w:usb3="00000000" w:csb0="2000019F" w:csb1="00000000"/>
  </w:font>
  <w:font w:name="Segoe UI Semibold">
    <w:panose1 w:val="020B0702040204020203"/>
    <w:charset w:val="00"/>
    <w:family w:val="auto"/>
    <w:pitch w:val="default"/>
    <w:sig w:usb0="E4002EFF" w:usb1="C000E47F" w:usb2="00000009" w:usb3="00000000" w:csb0="200001FF" w:csb1="00000000"/>
  </w:font>
  <w:font w:name="Segoe UI Emoji">
    <w:panose1 w:val="020B0502040204020203"/>
    <w:charset w:val="00"/>
    <w:family w:val="auto"/>
    <w:pitch w:val="default"/>
    <w:sig w:usb0="00000001" w:usb1="02000000" w:usb2="00000000" w:usb3="00000000" w:csb0="00000001" w:csb1="00000000"/>
  </w:font>
  <w:font w:name="Tw Cen MT Condensed">
    <w:panose1 w:val="020B0606020104020203"/>
    <w:charset w:val="00"/>
    <w:family w:val="auto"/>
    <w:pitch w:val="default"/>
    <w:sig w:usb0="00000003" w:usb1="00000000" w:usb2="00000000" w:usb3="00000000" w:csb0="20000003" w:csb1="00000000"/>
  </w:font>
  <w:font w:name="Tahoma">
    <w:panose1 w:val="020B0604030504040204"/>
    <w:charset w:val="00"/>
    <w:family w:val="auto"/>
    <w:pitch w:val="default"/>
    <w:sig w:usb0="E1002EFF" w:usb1="C000605B" w:usb2="00000029" w:usb3="00000000" w:csb0="200101FF" w:csb1="20280000"/>
  </w:font>
  <w:font w:name="Bahnschrift">
    <w:panose1 w:val="020B0502040204020203"/>
    <w:charset w:val="00"/>
    <w:family w:val="auto"/>
    <w:pitch w:val="default"/>
    <w:sig w:usb0="A00002C7" w:usb1="00000002"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98EE2B"/>
    <w:multiLevelType w:val="singleLevel"/>
    <w:tmpl w:val="5A98EE2B"/>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mZjEyOWExNGNkYzQzMWE4YzMxZDEyYjlkNjdhNjIifQ=="/>
  </w:docVars>
  <w:rsids>
    <w:rsidRoot w:val="742E6927"/>
    <w:rsid w:val="1F9C0703"/>
    <w:rsid w:val="344B1511"/>
    <w:rsid w:val="41030630"/>
    <w:rsid w:val="433D2460"/>
    <w:rsid w:val="46691693"/>
    <w:rsid w:val="742E69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toc 1"/>
    <w:basedOn w:val="1"/>
    <w:next w:val="1"/>
    <w:autoRedefine/>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Hyperlink"/>
    <w:basedOn w:val="10"/>
    <w:autoRedefine/>
    <w:qFormat/>
    <w:uiPriority w:val="0"/>
    <w:rPr>
      <w:color w:val="0000FF"/>
      <w:u w:val="single"/>
    </w:rPr>
  </w:style>
  <w:style w:type="character" w:customStyle="1" w:styleId="12">
    <w:name w:val="font11"/>
    <w:basedOn w:val="10"/>
    <w:autoRedefine/>
    <w:qFormat/>
    <w:uiPriority w:val="0"/>
    <w:rPr>
      <w:rFonts w:hint="default" w:ascii="Segoe UI" w:hAnsi="Segoe UI" w:eastAsia="Segoe UI" w:cs="Segoe UI"/>
      <w:color w:val="0D0D0D"/>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2</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2024-05-09T14:03:00Z</dcterms:created>
  <dc:creator>北巷南猫</dc:creator>
  <cp:lastModifiedBy>7</cp:lastModifiedBy>
  <dcterms:modified xsi:type="dcterms:W3CDTF">2024-05-10T10:56:41Z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9678A47E81934B6682F4A50D9B670D2D_13</vt:lpwstr>
  </property>
</Properties>
</file>