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3FD926" w14:textId="5C400E7D" w:rsidR="00A81B3F" w:rsidRDefault="00D74D48" w:rsidP="00C60BDB">
      <w:pPr>
        <w:spacing w:line="360" w:lineRule="auto"/>
        <w:rPr>
          <w:b/>
        </w:rPr>
      </w:pPr>
      <w:r>
        <w:rPr>
          <w:b/>
        </w:rPr>
        <w:t>How and why did the Galatians influence power dynamics of the ruling bodies in the Hellenistic World?</w:t>
      </w:r>
    </w:p>
    <w:p w14:paraId="2078C4A7" w14:textId="2B73EAEA" w:rsidR="003C42F2" w:rsidRPr="003C42F2" w:rsidRDefault="003C42F2" w:rsidP="00C60BDB">
      <w:pPr>
        <w:spacing w:line="360" w:lineRule="auto"/>
      </w:pPr>
      <w:r>
        <w:t>When Alexander the Great died in 323 BC he left a vast empire from Macedonia to the far flung east of Bactria and when he did not elect to name a successor various generals that were in his army made political manoeuvres to claim various pieces of land of his empire and each formed their own dynasty to each purport to maintain Alexander’</w:t>
      </w:r>
      <w:r w:rsidR="004548F8">
        <w:t xml:space="preserve">s legacy. But as is normally the case when several powerful empires border one another, conflict was inevitable and the need for soldiers obvious. This </w:t>
      </w:r>
      <w:r w:rsidR="008A5570">
        <w:t>was not helped by the fact that the Galatians began to invade from the north and started to burn and pillage the kingdom of Macedon and very nearly sacked Delphi, this new threat undeniably had the Hellenic world extremely fearful especially</w:t>
      </w:r>
      <w:r w:rsidR="006563CE">
        <w:t xml:space="preserve"> when</w:t>
      </w:r>
      <w:r w:rsidR="008A5570">
        <w:t xml:space="preserve"> Ptolemy Ceranus </w:t>
      </w:r>
      <w:r w:rsidR="006563CE">
        <w:t>was killed in Macedonia. This clearly shows just how much the Galatians could change the power dynamics of the Hellenistic world often inadvertently or otherwise and for a number reasons such as the fact that they threatened Hellenic land and were in opposition to many Hellenic kings in their desire for land to loot and then settle. Even in defeat they became a part of Hellenic propaganda, such as with Attalus I, then later when the need for troops arose as the multiple successor kingdoms began to make war upon one another they became important mercenaries</w:t>
      </w:r>
      <w:r w:rsidR="00254F2F">
        <w:t xml:space="preserve">. Therefore </w:t>
      </w:r>
      <w:r w:rsidR="00DF57B5">
        <w:t>they were</w:t>
      </w:r>
      <w:r w:rsidR="006563CE">
        <w:t xml:space="preserve"> present in multiple battles across the Hellenic world</w:t>
      </w:r>
      <w:r w:rsidR="00582F23">
        <w:t xml:space="preserve"> such as Raphia and Harpasus</w:t>
      </w:r>
      <w:r w:rsidR="006563CE">
        <w:t xml:space="preserve">. Therefore this paper will effectively argue that because the Galatians were involved in multiple important events </w:t>
      </w:r>
      <w:r w:rsidR="00D5247B">
        <w:t>that they were massively influential for a vast number of reasons</w:t>
      </w:r>
      <w:r w:rsidR="008243FD">
        <w:t>.</w:t>
      </w:r>
      <w:r w:rsidR="00D5247B">
        <w:t xml:space="preserve"> </w:t>
      </w:r>
      <w:r w:rsidR="008243FD">
        <w:t xml:space="preserve">Since they </w:t>
      </w:r>
      <w:r w:rsidR="00D5247B">
        <w:t>helped change the balance of power on more than one occasion</w:t>
      </w:r>
      <w:r w:rsidR="008243FD">
        <w:t>,</w:t>
      </w:r>
      <w:r w:rsidR="00D5247B">
        <w:t xml:space="preserve"> they were far more influential in power dynamics than ancient historians like Pausanias make out.</w:t>
      </w:r>
      <w:r w:rsidR="008C5C38" w:rsidRPr="008C5C38">
        <w:t xml:space="preserve"> </w:t>
      </w:r>
      <w:r w:rsidR="008C5C38">
        <w:t>Therefore, t</w:t>
      </w:r>
      <w:r w:rsidR="004D63B6">
        <w:t>his paper will consider interactions</w:t>
      </w:r>
      <w:r w:rsidR="008C5C38">
        <w:t xml:space="preserve"> </w:t>
      </w:r>
      <w:r w:rsidR="004D63B6">
        <w:t>with the Hellenistic World both positive and negative</w:t>
      </w:r>
      <w:r w:rsidR="008C5C38">
        <w:t>, such as the interaction that Antiochus I had in supposedly defeating them with an army of elephants.</w:t>
      </w:r>
      <w:r w:rsidR="008C5C38">
        <w:rPr>
          <w:rStyle w:val="FootnoteReference"/>
        </w:rPr>
        <w:footnoteReference w:id="1"/>
      </w:r>
      <w:r w:rsidR="008C5C38">
        <w:t xml:space="preserve"> Ptolemy II’s use of them as mercenaries and then leaving them on an Island somewhere in the Mediterranean,</w:t>
      </w:r>
      <w:r w:rsidR="008C5C38">
        <w:rPr>
          <w:rStyle w:val="FootnoteReference"/>
        </w:rPr>
        <w:footnoteReference w:id="2"/>
      </w:r>
      <w:r w:rsidR="008C5C38">
        <w:t xml:space="preserve"> and Attalus I of Pergamum, defeating the Galatian tribes who had come to pilfer their rich lands at the battle of the Caecus river,</w:t>
      </w:r>
      <w:r w:rsidR="008C5C38">
        <w:rPr>
          <w:rStyle w:val="FootnoteReference"/>
        </w:rPr>
        <w:footnoteReference w:id="3"/>
      </w:r>
      <w:r w:rsidR="008C5C38">
        <w:t xml:space="preserve"> to show how they influenced the cultures they encountered insofar as the power dynamics of the ruling bodies are concerned</w:t>
      </w:r>
    </w:p>
    <w:p w14:paraId="00000003" w14:textId="0DB88203" w:rsidR="004F4B44" w:rsidRDefault="00D5247B" w:rsidP="00C60BDB">
      <w:pPr>
        <w:spacing w:line="360" w:lineRule="auto"/>
      </w:pPr>
      <w:r>
        <w:t xml:space="preserve">On the nature of who exactly the Galatians </w:t>
      </w:r>
      <w:r w:rsidR="00D74D48">
        <w:t xml:space="preserve">were a </w:t>
      </w:r>
      <w:r w:rsidR="009A1B95">
        <w:t xml:space="preserve">vast </w:t>
      </w:r>
      <w:r w:rsidR="00D74D48">
        <w:t xml:space="preserve">collective </w:t>
      </w:r>
      <w:r w:rsidR="003F066D">
        <w:t>of differing</w:t>
      </w:r>
      <w:r w:rsidR="00D74D48">
        <w:t xml:space="preserve"> tribes all originating from Dacia and the Balkan region, under the leadership of</w:t>
      </w:r>
      <w:r w:rsidR="00582F23">
        <w:t xml:space="preserve"> multiple Tetrarchs with Brennus leading the army that invaded Greece and the army that raided Macedon being led by Bolgius.</w:t>
      </w:r>
      <w:r w:rsidR="00582F23">
        <w:rPr>
          <w:rStyle w:val="FootnoteReference"/>
        </w:rPr>
        <w:footnoteReference w:id="4"/>
      </w:r>
      <w:r w:rsidR="00D74D48">
        <w:t xml:space="preserve"> Whether by being mercenaries or by </w:t>
      </w:r>
      <w:r w:rsidR="009A1B95">
        <w:t>con</w:t>
      </w:r>
      <w:r w:rsidR="00D74D48">
        <w:t>jointly raiding the lands around them, the Galatian tribes, which mainly included the the Tectosages, the Trocmii, and the Tolistobogii,</w:t>
      </w:r>
      <w:r w:rsidR="001852EE">
        <w:rPr>
          <w:rStyle w:val="FootnoteReference"/>
        </w:rPr>
        <w:footnoteReference w:id="5"/>
      </w:r>
      <w:r w:rsidR="00D74D48">
        <w:t xml:space="preserve"> had a huge influence on not only Hellenic dynasties but on their very culture itself, in much the same way that Hellenic culture would come to influence the Galatians whom would later settle and become more Hellenised</w:t>
      </w:r>
      <w:r>
        <w:t xml:space="preserve"> in the late Second Century BC</w:t>
      </w:r>
      <w:r w:rsidR="00D74D48">
        <w:t>.</w:t>
      </w:r>
      <w:r>
        <w:rPr>
          <w:rStyle w:val="FootnoteReference"/>
        </w:rPr>
        <w:footnoteReference w:id="6"/>
      </w:r>
      <w:r w:rsidR="00D74D48">
        <w:t xml:space="preserve">  In the third century BC the Galatians ravaged vast parts of Greece and Thessaly before eventually retreating north and crossing the Hellespont, eventually settling in Anatolia in the centre of modern day Turkey.</w:t>
      </w:r>
      <w:r w:rsidR="001852EE">
        <w:rPr>
          <w:rStyle w:val="FootnoteReference"/>
        </w:rPr>
        <w:footnoteReference w:id="7"/>
      </w:r>
      <w:r w:rsidR="00D74D48">
        <w:t xml:space="preserve"> Once there, they had numerous encounters with various factions around the Hellenistic world, in particular Pergamum,</w:t>
      </w:r>
      <w:r w:rsidR="001852EE">
        <w:rPr>
          <w:rStyle w:val="FootnoteReference"/>
        </w:rPr>
        <w:footnoteReference w:id="8"/>
      </w:r>
      <w:r w:rsidR="00D74D48">
        <w:t xml:space="preserve"> </w:t>
      </w:r>
      <w:r w:rsidR="001852EE">
        <w:t xml:space="preserve">The </w:t>
      </w:r>
      <w:r w:rsidR="00D74D48">
        <w:t>Seleucid Empire</w:t>
      </w:r>
      <w:r w:rsidR="001852EE">
        <w:rPr>
          <w:rStyle w:val="FootnoteReference"/>
        </w:rPr>
        <w:footnoteReference w:id="9"/>
      </w:r>
      <w:r w:rsidR="00D74D48">
        <w:t xml:space="preserve"> and the Ptolemaic </w:t>
      </w:r>
      <w:r w:rsidR="00D74D48">
        <w:lastRenderedPageBreak/>
        <w:t>Empire</w:t>
      </w:r>
      <w:r w:rsidR="008243FD">
        <w:t>.</w:t>
      </w:r>
      <w:r w:rsidR="001852EE">
        <w:rPr>
          <w:rStyle w:val="FootnoteReference"/>
        </w:rPr>
        <w:footnoteReference w:id="10"/>
      </w:r>
      <w:r w:rsidR="00D74D48">
        <w:t xml:space="preserve"> </w:t>
      </w:r>
      <w:r w:rsidR="008243FD">
        <w:t xml:space="preserve">Since </w:t>
      </w:r>
      <w:r w:rsidR="00D74D48">
        <w:t>the Galatians were essentially a loose confederation of tribes the warriors, they often did not stay in one place for long, thus they would either r</w:t>
      </w:r>
      <w:r w:rsidR="001852EE">
        <w:t>aid nearby</w:t>
      </w:r>
      <w:r w:rsidR="00D74D48">
        <w:t xml:space="preserve"> territory</w:t>
      </w:r>
      <w:r w:rsidR="001852EE">
        <w:rPr>
          <w:rStyle w:val="FootnoteReference"/>
        </w:rPr>
        <w:footnoteReference w:id="11"/>
      </w:r>
      <w:r w:rsidR="00D74D48">
        <w:t xml:space="preserve"> or end up serving as mercenaries in many armies,</w:t>
      </w:r>
      <w:r w:rsidR="001852EE">
        <w:rPr>
          <w:rStyle w:val="FootnoteReference"/>
        </w:rPr>
        <w:footnoteReference w:id="12"/>
      </w:r>
      <w:r w:rsidR="00D74D48">
        <w:t xml:space="preserve"> particularly in service to the Ptolemaic family.</w:t>
      </w:r>
      <w:r w:rsidR="00582F23">
        <w:rPr>
          <w:rStyle w:val="FootnoteReference"/>
        </w:rPr>
        <w:footnoteReference w:id="13"/>
      </w:r>
      <w:r w:rsidR="00D74D48">
        <w:t xml:space="preserve"> </w:t>
      </w:r>
    </w:p>
    <w:p w14:paraId="54BF06BA" w14:textId="086DDE4A" w:rsidR="0058741C" w:rsidRDefault="008C5C38" w:rsidP="00C60BDB">
      <w:pPr>
        <w:spacing w:line="360" w:lineRule="auto"/>
      </w:pPr>
      <w:r>
        <w:t>Even before the Galatian tribes had settled in Anatolia they were a huge threat to Hellenic Macedonia perhaps even more so as</w:t>
      </w:r>
      <w:r w:rsidR="0058741C">
        <w:t xml:space="preserve"> a large number of invading Gauls had invaded through Thrace and were threatening the territory of then successor Lysimachus of Ma</w:t>
      </w:r>
      <w:r>
        <w:t>cedonia. During this time frame</w:t>
      </w:r>
      <w:r w:rsidR="0058741C">
        <w:t xml:space="preserve"> Ptolemy </w:t>
      </w:r>
      <w:r w:rsidR="00582F23">
        <w:t>K</w:t>
      </w:r>
      <w:r w:rsidR="0058741C">
        <w:t>er</w:t>
      </w:r>
      <w:r>
        <w:t>anus</w:t>
      </w:r>
      <w:r w:rsidR="00582F23">
        <w:t xml:space="preserve"> </w:t>
      </w:r>
      <w:r w:rsidR="0058741C">
        <w:t>was ther</w:t>
      </w:r>
      <w:r w:rsidR="00582F23">
        <w:t>e after being disinherited from the Ptolemaic throne as his half-brother was chosen instead and was attempting to</w:t>
      </w:r>
      <w:r w:rsidR="0058741C">
        <w:t xml:space="preserve"> secure</w:t>
      </w:r>
      <w:r w:rsidR="0019358D">
        <w:t xml:space="preserve"> the</w:t>
      </w:r>
      <w:r w:rsidR="0058741C">
        <w:t xml:space="preserve"> loyalty</w:t>
      </w:r>
      <w:r w:rsidR="0019358D">
        <w:t xml:space="preserve"> of the Macedonian court</w:t>
      </w:r>
      <w:r w:rsidR="00582F23">
        <w:t xml:space="preserve"> to back his claim to the Macedonian throne through his half-sister turned wife Arsinoe II (whom was Queen of Macedonia).</w:t>
      </w:r>
      <w:r w:rsidR="0058741C">
        <w:t xml:space="preserve"> During the time period of roughly 280 BC to 279 BC, the </w:t>
      </w:r>
      <w:r w:rsidR="00A81B3F">
        <w:t xml:space="preserve">Galatian </w:t>
      </w:r>
      <w:r w:rsidR="0058741C">
        <w:t xml:space="preserve">tribes had been raiding and pillaging the territory of Lysimachus and were very successful in doing so. So much so, that the </w:t>
      </w:r>
      <w:r w:rsidR="00582F23">
        <w:t>Galatian</w:t>
      </w:r>
      <w:r w:rsidR="0058741C">
        <w:t xml:space="preserve"> tribes </w:t>
      </w:r>
      <w:commentRangeStart w:id="0"/>
      <w:commentRangeEnd w:id="0"/>
      <w:r w:rsidR="0058741C">
        <w:t>managed to capture Ptolemy Ceranus and had him immediately executed (or killed in battle)</w:t>
      </w:r>
      <w:r w:rsidR="0019358D">
        <w:rPr>
          <w:rStyle w:val="FootnoteReference"/>
        </w:rPr>
        <w:footnoteReference w:id="14"/>
      </w:r>
      <w:r w:rsidR="0058741C">
        <w:t xml:space="preserve"> which clearly had a huge impact on the balance of power in the Hellenistic world, as it meant that the </w:t>
      </w:r>
      <w:r w:rsidR="0019358D">
        <w:t>Macedonian</w:t>
      </w:r>
      <w:r w:rsidR="0058741C">
        <w:t xml:space="preserve"> court had </w:t>
      </w:r>
      <w:r w:rsidR="0019358D">
        <w:t>lost its King</w:t>
      </w:r>
      <w:r w:rsidR="0058741C">
        <w:t>.</w:t>
      </w:r>
      <w:r w:rsidR="0058741C">
        <w:rPr>
          <w:rStyle w:val="FootnoteReference"/>
        </w:rPr>
        <w:footnoteReference w:id="15"/>
      </w:r>
      <w:r w:rsidR="0019358D">
        <w:t xml:space="preserve"> Thus any hope of unity or reconciliation between Ptolemaic Egypt and Macedon was squandered.</w:t>
      </w:r>
      <w:r w:rsidR="0019358D">
        <w:rPr>
          <w:rStyle w:val="FootnoteReference"/>
        </w:rPr>
        <w:footnoteReference w:id="16"/>
      </w:r>
      <w:r w:rsidR="0019358D">
        <w:t xml:space="preserve"> </w:t>
      </w:r>
      <w:r w:rsidR="0058741C">
        <w:t xml:space="preserve"> This meant that it lost a significant part of its influence in the area around Macedon, as Ptolemy was their main source of political influence in the region and with his loss the balance of power in the Hell</w:t>
      </w:r>
      <w:r w:rsidR="00254F2F">
        <w:t>enistic world was greatly turned.</w:t>
      </w:r>
      <w:r w:rsidR="0058741C">
        <w:t xml:space="preserve"> </w:t>
      </w:r>
      <w:r w:rsidR="00254F2F">
        <w:t>A</w:t>
      </w:r>
      <w:r>
        <w:t xml:space="preserve">s other factions such as </w:t>
      </w:r>
      <w:r w:rsidR="0058741C">
        <w:t xml:space="preserve">and the Seleucid </w:t>
      </w:r>
      <w:r w:rsidR="00254F2F">
        <w:t>Empire</w:t>
      </w:r>
      <w:r w:rsidR="0058741C">
        <w:t xml:space="preserve"> were most definitely able to capitalise on this development. For example, the recent adherent to the Seleucid throne Antiochos I was able to focus on quelling revolts in Syria</w:t>
      </w:r>
      <w:r>
        <w:t xml:space="preserve"> and both the Ptolemaic and Antigonid factions were hugely weakened by the constant har</w:t>
      </w:r>
      <w:r w:rsidR="00D771F8">
        <w:t>assment of Macedonia and Thrace</w:t>
      </w:r>
      <w:r w:rsidR="0058741C">
        <w:t xml:space="preserve">. This provides clear evidence of the Galatians, inadvertently or not, having a tremendous impact on the Hellenistic East, as the death of Ptolemy </w:t>
      </w:r>
      <w:r w:rsidR="00582F23">
        <w:t>K</w:t>
      </w:r>
      <w:r w:rsidR="0058741C">
        <w:t>eranus greatly weakened Ptolemaic influence in the Macedonian sector and allowed in other factions, such as the Bithynians</w:t>
      </w:r>
      <w:r w:rsidR="00254F2F">
        <w:t xml:space="preserve"> and rival successor Antigonus</w:t>
      </w:r>
      <w:r w:rsidR="00D5537D">
        <w:t xml:space="preserve"> Gonatas</w:t>
      </w:r>
      <w:r w:rsidR="0058741C">
        <w:t>,</w:t>
      </w:r>
      <w:r w:rsidR="00D5537D">
        <w:t xml:space="preserve"> </w:t>
      </w:r>
      <w:r w:rsidR="005B3074">
        <w:t>the former being</w:t>
      </w:r>
      <w:bookmarkStart w:id="1" w:name="_GoBack"/>
      <w:bookmarkEnd w:id="1"/>
      <w:r w:rsidR="0058741C">
        <w:t xml:space="preserve"> the ones to invite the Galatians in the first place,</w:t>
      </w:r>
      <w:r w:rsidR="00D5537D">
        <w:rPr>
          <w:rStyle w:val="FootnoteReference"/>
        </w:rPr>
        <w:footnoteReference w:id="17"/>
      </w:r>
      <w:r w:rsidR="0058741C">
        <w:t xml:space="preserve"> in order to consolidate their position whilst the Galatians distracted the Hellenistic successor kingdoms surrounding them.</w:t>
      </w:r>
      <w:r w:rsidR="00794BFD">
        <w:rPr>
          <w:rStyle w:val="FootnoteReference"/>
        </w:rPr>
        <w:footnoteReference w:id="18"/>
      </w:r>
      <w:r w:rsidR="0058741C">
        <w:t xml:space="preserve"> This evidence therefore goes quite some way toward illustrating how the Galatians had such a huge influence on the Hellenistic world and its ruling bodies; more so than Hellenistic historians such as Pausanias makes out. </w:t>
      </w:r>
    </w:p>
    <w:p w14:paraId="402B35E2" w14:textId="2A1E820D" w:rsidR="0058741C" w:rsidRDefault="0058741C" w:rsidP="00C60BDB">
      <w:pPr>
        <w:spacing w:line="360" w:lineRule="auto"/>
      </w:pPr>
      <w:r>
        <w:t xml:space="preserve"> Another more negative way in which the Galatians impacted on Hellenic ruling bodies is that because of the Galatians lack of a homeland worthy of settlement, they would regularly undertake raids into areas surrounding their area of settlement in Ancyra, such as Lyria. The raiding and pillaging of surrounding Greek poleis was so prevalent that Antiochos I of the Seleucid empire had to send an army that supposedly consisted of Elephants and wiped them out. The fact that Antiochos felt the need to meet the Galatians supposedly with Elephants, which in a war scenario were incredibly difficult to maintain and not particularly effective in battle as many battles throughout history show. Therefore the fact that the Antiochos Soter felt the need to send in elephants which were an expensive part of a trade deal</w:t>
      </w:r>
      <w:r w:rsidR="00D771F8">
        <w:t xml:space="preserve"> his father made</w:t>
      </w:r>
      <w:r>
        <w:t xml:space="preserve"> with Indian King Chandragupta just to deal with the Galatians shows just how much of a threat the Galatians truly were in terms of how much </w:t>
      </w:r>
      <w:r w:rsidR="00564E43">
        <w:t>damage they were causing despite the fact the</w:t>
      </w:r>
      <w:r>
        <w:t xml:space="preserve"> Galatian tribes were not united at all, as collectively </w:t>
      </w:r>
      <w:r w:rsidR="00564E43">
        <w:lastRenderedPageBreak/>
        <w:t>the three major tribes;</w:t>
      </w:r>
      <w:r>
        <w:t xml:space="preserve"> the Tectosages, the Trocmii and the Tolistobogii could raise roughly 30,000 men each major tribe possessing roughly 10,000 warriors.</w:t>
      </w:r>
      <w:r>
        <w:rPr>
          <w:rStyle w:val="FootnoteReference"/>
        </w:rPr>
        <w:footnoteReference w:id="19"/>
      </w:r>
      <w:r>
        <w:t xml:space="preserve"> These numbers do go a considerable length toward highlighting just how powerful and numerous the Galatians could be and of how much damage they could do, with multiple villages and unprotected towns left completely sacked and burned. It is therefore no wonder that both Antiochos and Attalus took on the name of Soter ‘savior’. As the Hellenic people clearly initially viewed the Galatians as uncivilized barbarians killing and pillaging wherever they went, it was this view that inspired so much fear from multiple Hellenic factions and also why Hellenic victories are as greatly exagger</w:t>
      </w:r>
      <w:r w:rsidR="00800B29">
        <w:t>ated. A</w:t>
      </w:r>
      <w:r>
        <w:t xml:space="preserve">s many in the Hellenic world would almost certainly perceived the Galatians as a threat to their very existence and their way of life: some even viewed them as a curse from the Gods. This level of fear can perhaps go some way toward explaining why the Galatians were as feared as they were and why Hellenic factions were so keen to turn the Galatians wrath on others rather than themselves, this reputation of fear then is chief among the reasons why Hellenic ruling bodies eagerly wanted to have Galatians on their side rather than fighting against them. Thus they inadvertently affected a vast number of Hellenic royal bodies. </w:t>
      </w:r>
    </w:p>
    <w:p w14:paraId="00000005" w14:textId="0BAB63D7" w:rsidR="004F4B44" w:rsidRDefault="00A81B3F" w:rsidP="00C60BDB">
      <w:pPr>
        <w:spacing w:line="360" w:lineRule="auto"/>
      </w:pPr>
      <w:bookmarkStart w:id="2" w:name="_gjdgxs" w:colFirst="0" w:colLast="0"/>
      <w:bookmarkEnd w:id="2"/>
      <w:r>
        <w:t>Barbatani</w:t>
      </w:r>
      <w:r w:rsidR="006B1327">
        <w:t xml:space="preserve"> </w:t>
      </w:r>
      <w:r w:rsidR="00D74D48">
        <w:t>notes that the Galatians had a great reputation as warrior fighters,</w:t>
      </w:r>
      <w:r w:rsidR="00EF32A6">
        <w:rPr>
          <w:rStyle w:val="FootnoteReference"/>
        </w:rPr>
        <w:footnoteReference w:id="20"/>
      </w:r>
      <w:r w:rsidR="00D74D48">
        <w:t xml:space="preserve"> perhaps an idea that was spread by the depictions of them from contemporary scholarship such as Diodorus Siculus whom writes of them </w:t>
      </w:r>
    </w:p>
    <w:p w14:paraId="00000006" w14:textId="77777777" w:rsidR="004F4B44" w:rsidRDefault="00D74D48" w:rsidP="00C60BDB">
      <w:pPr>
        <w:spacing w:line="360" w:lineRule="auto"/>
      </w:pPr>
      <w:r>
        <w:t>‘The Gauls are tall of body, with rippling muscles, and white of skin, and their hair is blond, and not only naturally so, but they also make it their practice by artificial means to increase the distinguishing colour which nature has given it.’</w:t>
      </w:r>
      <w:r>
        <w:rPr>
          <w:vertAlign w:val="superscript"/>
        </w:rPr>
        <w:footnoteReference w:id="21"/>
      </w:r>
    </w:p>
    <w:p w14:paraId="00000007" w14:textId="20432128" w:rsidR="004F4B44" w:rsidRDefault="00D74D48" w:rsidP="00C60BDB">
      <w:pPr>
        <w:spacing w:line="360" w:lineRule="auto"/>
      </w:pPr>
      <w:r>
        <w:t xml:space="preserve">This notion of the Galatians being strong in muscle might only have helped to </w:t>
      </w:r>
      <w:commentRangeStart w:id="3"/>
      <w:commentRangeEnd w:id="3"/>
      <w:r w:rsidR="00D771F8">
        <w:t>promote</w:t>
      </w:r>
      <w:r>
        <w:t xml:space="preserve"> the idea of the Galatian tribesmen being strong as warriors; after all they were responsible for nearly sacking Delphi and of raiding Bithynia and Pergamum.</w:t>
      </w:r>
      <w:r w:rsidR="00CF3C48">
        <w:rPr>
          <w:rStyle w:val="FootnoteReference"/>
        </w:rPr>
        <w:footnoteReference w:id="22"/>
      </w:r>
      <w:r>
        <w:t xml:space="preserve"> Thus, as a result of this apparent strength in skill of arms</w:t>
      </w:r>
      <w:r w:rsidR="009A1B95">
        <w:t>,</w:t>
      </w:r>
      <w:r>
        <w:t xml:space="preserve"> they were often hired as mercenaries to be utilised as skilled hand-to-hand fighters</w:t>
      </w:r>
      <w:r w:rsidR="00A97287">
        <w:t>,</w:t>
      </w:r>
      <w:r>
        <w:t xml:space="preserve"> or in the case of Ptolemy II</w:t>
      </w:r>
      <w:r w:rsidR="003507C5">
        <w:t>’</w:t>
      </w:r>
      <w:r>
        <w:t>s attempt to deal with a revolt at Cyrene</w:t>
      </w:r>
      <w:r w:rsidR="00A97287">
        <w:t xml:space="preserve">, </w:t>
      </w:r>
      <w:r>
        <w:t xml:space="preserve">an entire army of roughly four thousand men </w:t>
      </w:r>
      <w:r w:rsidR="00735B37">
        <w:t xml:space="preserve">which </w:t>
      </w:r>
      <w:r>
        <w:t>as Pausanias notes were very successful</w:t>
      </w:r>
      <w:r w:rsidR="00735B37">
        <w:t>.</w:t>
      </w:r>
      <w:r w:rsidR="009F70BF">
        <w:rPr>
          <w:rStyle w:val="FootnoteReference"/>
        </w:rPr>
        <w:footnoteReference w:id="23"/>
      </w:r>
      <w:r>
        <w:t xml:space="preserve"> The main thesis presented here</w:t>
      </w:r>
      <w:r w:rsidR="003F066D">
        <w:t>,</w:t>
      </w:r>
      <w:r>
        <w:t xml:space="preserve"> is that because of the Galatian's reputation as strong fearsome warriors they were hired as mercenaries and thus influenced the power struggle betwee</w:t>
      </w:r>
      <w:r w:rsidR="00D771F8">
        <w:t>n the Seleucids and the Ptolemies</w:t>
      </w:r>
      <w:r>
        <w:t>.</w:t>
      </w:r>
    </w:p>
    <w:p w14:paraId="00000008" w14:textId="2269762B" w:rsidR="004F4B44" w:rsidRDefault="00D74D48" w:rsidP="00C60BDB">
      <w:pPr>
        <w:spacing w:line="360" w:lineRule="auto"/>
      </w:pPr>
      <w:r>
        <w:t xml:space="preserve">A problem with this </w:t>
      </w:r>
      <w:r w:rsidR="00532D73">
        <w:t>account</w:t>
      </w:r>
      <w:r>
        <w:t xml:space="preserve"> is that Mitchell </w:t>
      </w:r>
      <w:r w:rsidR="00532D73">
        <w:t xml:space="preserve">identifies </w:t>
      </w:r>
      <w:r w:rsidR="003507C5">
        <w:t xml:space="preserve">is </w:t>
      </w:r>
      <w:r w:rsidR="00532D73">
        <w:t>that</w:t>
      </w:r>
      <w:r>
        <w:t xml:space="preserve"> the only sources we have on the Galatians are Hellenistic,</w:t>
      </w:r>
      <w:r>
        <w:rPr>
          <w:vertAlign w:val="superscript"/>
        </w:rPr>
        <w:footnoteReference w:id="24"/>
      </w:r>
      <w:r>
        <w:t xml:space="preserve"> meaning </w:t>
      </w:r>
      <w:r w:rsidR="003F066D">
        <w:t>that accounts</w:t>
      </w:r>
      <w:r>
        <w:t xml:space="preserve"> of their reliability in battle are most definitely skewed and, perhaps unsurprisingly, no accounts exist of the Galatians actually holding the field in victory against any Hellenistic force. Therefore</w:t>
      </w:r>
      <w:r w:rsidR="00532D73">
        <w:t>,</w:t>
      </w:r>
      <w:r>
        <w:t xml:space="preserve"> in order to gauge just how ferocious Galatian tribesmen could be in a fight, one must examine how greatly the victories of Hellenic factions are emphasised, as the greater they are focused on</w:t>
      </w:r>
      <w:r w:rsidR="003F066D">
        <w:t>, massively</w:t>
      </w:r>
      <w:r>
        <w:t xml:space="preserve"> implies that they were a conceivable threat to Hellenic sovereignty. For example, historian Pausanias, in his description of B</w:t>
      </w:r>
      <w:r w:rsidR="00D771F8">
        <w:t>rennu</w:t>
      </w:r>
      <w:r>
        <w:t>s’ defeat at Delphi remarks on the ‘greatest of all deeds performed by the Greeks’</w:t>
      </w:r>
      <w:r>
        <w:rPr>
          <w:vertAlign w:val="superscript"/>
        </w:rPr>
        <w:footnoteReference w:id="25"/>
      </w:r>
      <w:r>
        <w:t>. Also, interestingly, an inscription made to c</w:t>
      </w:r>
      <w:r w:rsidR="00D771F8">
        <w:t>elebrate the victory over Brennu</w:t>
      </w:r>
      <w:r>
        <w:t xml:space="preserve">s at Delphi, describes how the Celtic invasion </w:t>
      </w:r>
      <w:r>
        <w:lastRenderedPageBreak/>
        <w:t>had angered the gods and that they had intervened in the fight, blessing the Greeks with victory</w:t>
      </w:r>
      <w:r>
        <w:rPr>
          <w:vertAlign w:val="superscript"/>
        </w:rPr>
        <w:footnoteReference w:id="26"/>
      </w:r>
      <w:r>
        <w:t>. What is clear from both the inscription and the quotation from geo</w:t>
      </w:r>
      <w:r w:rsidR="00D771F8">
        <w:t>grapher Pausanias is that Brennu</w:t>
      </w:r>
      <w:r>
        <w:t>s</w:t>
      </w:r>
      <w:r w:rsidR="003F066D">
        <w:t>’</w:t>
      </w:r>
      <w:r>
        <w:t xml:space="preserve"> army clearly was a threat and thus formidable, as the Delphians had to rely on the supposed divine intervention of Apollo and Zeus to hold off the Celtic horde. Therefore, this highlights the fact that because of the very serious threat Brennus posed to Greece in 279 BC, it thus reaffirms the notion that although they are not viewed well by ancient historiography, the Galatians were indeed capable of posing a significant threat to a vast majority of the Hellenistic world, purely based on how greatly exaggerated the descriptions of </w:t>
      </w:r>
      <w:r w:rsidR="003F066D">
        <w:t xml:space="preserve">their </w:t>
      </w:r>
      <w:r>
        <w:t xml:space="preserve">victories </w:t>
      </w:r>
      <w:r w:rsidR="003F066D">
        <w:t>were</w:t>
      </w:r>
      <w:r>
        <w:t>.</w:t>
      </w:r>
    </w:p>
    <w:p w14:paraId="0E80F78D" w14:textId="716E6BF4" w:rsidR="0058741C" w:rsidRDefault="0058741C" w:rsidP="00C60BDB">
      <w:pPr>
        <w:spacing w:line="360" w:lineRule="auto"/>
      </w:pPr>
      <w:r>
        <w:t xml:space="preserve">One of the issues with making any assertions on the strength or impact of Galatian influence on the Hellenic world is that all ancient sources on the Galatians are either Hellenic or Roman in background. Therefore they naturally only talk about the Galatians from a Hellenic or Roman perspective. Thus making the nature of Galatian influence fairly difficult to ascertain. However, what we can accurately gauge is what the Hellenic faction’s attitudes towards them were and judging by the reception they get it appears to be one of respect and fear. A particularly avid description of the Galatians comes from Diodorus Siculus: </w:t>
      </w:r>
    </w:p>
    <w:p w14:paraId="04A590E7" w14:textId="77777777" w:rsidR="0058741C" w:rsidRDefault="0058741C" w:rsidP="00C60BDB">
      <w:pPr>
        <w:spacing w:line="360" w:lineRule="auto"/>
        <w:ind w:left="720"/>
      </w:pPr>
      <w:r>
        <w:t>‘</w:t>
      </w:r>
      <w:r w:rsidRPr="007E69E3">
        <w:t>This same Apollodorus, having recruited some Gauls, furnished them too with arms, and, when he had conferred gifts upon them, found them loyal guardsmen and convenient tools, because of their cruelty, to execute his punishments.</w:t>
      </w:r>
      <w:r>
        <w:t>’</w:t>
      </w:r>
      <w:r>
        <w:rPr>
          <w:rStyle w:val="FootnoteReference"/>
        </w:rPr>
        <w:footnoteReference w:id="27"/>
      </w:r>
    </w:p>
    <w:p w14:paraId="0000000F" w14:textId="44B12C92" w:rsidR="004F4B44" w:rsidRPr="00A81B3F" w:rsidRDefault="0058741C" w:rsidP="00C60BDB">
      <w:pPr>
        <w:spacing w:line="360" w:lineRule="auto"/>
      </w:pPr>
      <w:r>
        <w:t>The description of the Gauls as ‘cruel’ clearly highlights what the general perception of the Galatians was in the Hellenistic world, that they were a force of wanton destruction and incredibly uncivilized and more interestingly that they could be bought out with money, this fact is generally indicative of the fact that there was generally a negative interpretation of the Galatians as they are perceived, mostly in the early period when they had just settled in Anatolia, as disloyal and only interested in the pursuit of money and in having cities to burn. Though it is important to note, that as Diodorus Siculus is a late first century AD Roman writer,</w:t>
      </w:r>
      <w:r w:rsidR="006E58FB" w:rsidRPr="006E58FB">
        <w:rPr>
          <w:rStyle w:val="FootnoteReference"/>
        </w:rPr>
        <w:t xml:space="preserve"> </w:t>
      </w:r>
      <w:r w:rsidR="006E58FB">
        <w:rPr>
          <w:rStyle w:val="FootnoteReference"/>
        </w:rPr>
        <w:footnoteReference w:id="28"/>
      </w:r>
      <w:r>
        <w:t xml:space="preserve"> the sources he uses would</w:t>
      </w:r>
      <w:r w:rsidR="006E58FB">
        <w:t xml:space="preserve"> likely have been </w:t>
      </w:r>
      <w:r w:rsidR="00254F2F">
        <w:t>writing</w:t>
      </w:r>
      <w:r w:rsidR="006E58FB">
        <w:t xml:space="preserve"> similarly to poet Callimachus whom wrote of the Galatians that they were ‘evil’ and ‘foolish’</w:t>
      </w:r>
      <w:r w:rsidR="00254F2F">
        <w:t>,</w:t>
      </w:r>
      <w:r w:rsidR="00254F2F">
        <w:rPr>
          <w:rStyle w:val="FootnoteReference"/>
        </w:rPr>
        <w:footnoteReference w:id="29"/>
      </w:r>
      <w:r w:rsidR="00254F2F">
        <w:t xml:space="preserve"> therefore this </w:t>
      </w:r>
      <w:r>
        <w:t>does raise a question as to the legitimacy of his sources.</w:t>
      </w:r>
      <w:r>
        <w:rPr>
          <w:rStyle w:val="FootnoteReference"/>
        </w:rPr>
        <w:footnoteReference w:id="30"/>
      </w:r>
      <w:r>
        <w:t xml:space="preserve"> Inasmuch as the sources that Diodorus was using in his writing are from those of Hellenic writers whom have since been who </w:t>
      </w:r>
      <w:r w:rsidR="00254F2F">
        <w:t>write</w:t>
      </w:r>
      <w:r w:rsidR="00C60BDB">
        <w:t xml:space="preserve"> rather</w:t>
      </w:r>
      <w:r w:rsidR="00254F2F">
        <w:t xml:space="preserve"> negatively about the Galatians </w:t>
      </w:r>
      <w:r>
        <w:t>and likely would have greatly exaggerated every Greek victory over the Galatians and Pausanias even refers to them as being driven solely by a desire to ‘loot and rape’ the world.</w:t>
      </w:r>
      <w:r>
        <w:rPr>
          <w:rStyle w:val="FootnoteReference"/>
        </w:rPr>
        <w:footnoteReference w:id="31"/>
      </w:r>
      <w:r>
        <w:t xml:space="preserve"> There is little doubt then as to what the Hellenic view initially was of the Galatians. However, one has little reason to doubt this view since the destruction of cities is a fact that cannot really be disputed.</w:t>
      </w:r>
      <w:r w:rsidR="00C60BDB">
        <w:rPr>
          <w:rStyle w:val="FootnoteReference"/>
        </w:rPr>
        <w:footnoteReference w:id="32"/>
      </w:r>
      <w:r>
        <w:t xml:space="preserve"> Thus, the depiction of the</w:t>
      </w:r>
      <w:r w:rsidR="00800B29">
        <w:t xml:space="preserve"> Galatians </w:t>
      </w:r>
      <w:r>
        <w:t>as desiring to destroy cities is justified. However it does not go into the detail as to why the Galatians did this, therefore this entails a weakness in the historiography,</w:t>
      </w:r>
      <w:r>
        <w:rPr>
          <w:rStyle w:val="FootnoteReference"/>
        </w:rPr>
        <w:footnoteReference w:id="33"/>
      </w:r>
      <w:r>
        <w:t xml:space="preserve"> as we do not get an understanding of the Galatians motivations as to why they raided Hellenic land.</w:t>
      </w:r>
      <w:r w:rsidR="00794BFD">
        <w:rPr>
          <w:rStyle w:val="FootnoteReference"/>
        </w:rPr>
        <w:footnoteReference w:id="34"/>
      </w:r>
      <w:r>
        <w:t xml:space="preserve"> Therefore taking into account the fact of this weakness, it thus hinders the question as to why the Galatians acted in this way, as the only sources we have on this are basic and essentially amounted to the fact that they either wanted to bring about the destruction of the civilized world when they first invaded,</w:t>
      </w:r>
      <w:r w:rsidR="00794BFD">
        <w:rPr>
          <w:rStyle w:val="FootnoteReference"/>
        </w:rPr>
        <w:footnoteReference w:id="35"/>
      </w:r>
      <w:r>
        <w:t xml:space="preserve"> however the reality is that they simply wanted to find new land after having lost their homeland to internal fighting.</w:t>
      </w:r>
      <w:r>
        <w:rPr>
          <w:rStyle w:val="FootnoteReference"/>
        </w:rPr>
        <w:footnoteReference w:id="36"/>
      </w:r>
    </w:p>
    <w:p w14:paraId="00000011" w14:textId="690ACCA1" w:rsidR="004F4B44" w:rsidRDefault="00D74D48" w:rsidP="00C60BDB">
      <w:pPr>
        <w:spacing w:line="360" w:lineRule="auto"/>
      </w:pPr>
      <w:bookmarkStart w:id="4" w:name="_30j0zll" w:colFirst="0" w:colLast="0"/>
      <w:bookmarkEnd w:id="4"/>
      <w:r>
        <w:t>As soon as Pergamum declared itself an independent kingdom state, it immediately became a target for Galatian raids, desperate for new fertile land and access to the sea.</w:t>
      </w:r>
      <w:r w:rsidR="009F70BF">
        <w:rPr>
          <w:rStyle w:val="FootnoteReference"/>
        </w:rPr>
        <w:footnoteReference w:id="37"/>
      </w:r>
      <w:r>
        <w:t xml:space="preserve"> It took Attalus an army drawn from the various poleis along the coastline of Anatolia to defeat them at the Caecus River.</w:t>
      </w:r>
      <w:r w:rsidR="0060341F">
        <w:rPr>
          <w:rStyle w:val="FootnoteReference"/>
        </w:rPr>
        <w:footnoteReference w:id="38"/>
      </w:r>
      <w:r w:rsidR="00C60BDB">
        <w:t xml:space="preserve"> What is significant</w:t>
      </w:r>
      <w:r>
        <w:t xml:space="preserve"> is that this victory for Attalus became an instrumental part in his propaganda as he proclaimed himself Soter, meaning saviour of the Greek world as he would later commission a statue, the Dying Gaul to immortalise the image of the defeated Galatian.</w:t>
      </w:r>
      <w:r w:rsidR="00114024">
        <w:rPr>
          <w:rStyle w:val="FootnoteReference"/>
        </w:rPr>
        <w:footnoteReference w:id="39"/>
      </w:r>
      <w:r>
        <w:t xml:space="preserve"> The objective behind the Dying Gaul was to show that those of Hellenic culture were far stronger than those of the Celtic Galatian</w:t>
      </w:r>
      <w:r w:rsidR="00735B37">
        <w:t>,</w:t>
      </w:r>
      <w:r>
        <w:t xml:space="preserve"> even though the Galatian </w:t>
      </w:r>
      <w:r w:rsidR="00735B37">
        <w:t>was</w:t>
      </w:r>
      <w:r>
        <w:t xml:space="preserve"> incredibly muscular and strong</w:t>
      </w:r>
      <w:r w:rsidR="00735B37">
        <w:t>,</w:t>
      </w:r>
      <w:r>
        <w:t xml:space="preserve"> to see him knelt down in defeat</w:t>
      </w:r>
      <w:r w:rsidR="00735B37">
        <w:t>, it</w:t>
      </w:r>
      <w:r>
        <w:t xml:space="preserve"> is clear what the intent of Attalid propaganda was</w:t>
      </w:r>
      <w:r w:rsidR="00735B37">
        <w:t>: t</w:t>
      </w:r>
      <w:r>
        <w:t>o show that they had bested what was a formidable enemy in the Galatians. Therefore</w:t>
      </w:r>
      <w:r w:rsidR="004529E0">
        <w:t>,</w:t>
      </w:r>
      <w:r>
        <w:t xml:space="preserve"> this clearly exemplifies just how much of a threat the Galatians were to the Hellenic world and</w:t>
      </w:r>
      <w:r w:rsidR="00735B37">
        <w:t xml:space="preserve"> in so far as</w:t>
      </w:r>
      <w:r>
        <w:t xml:space="preserve"> Hellenic </w:t>
      </w:r>
      <w:r w:rsidR="004529E0">
        <w:t>artists</w:t>
      </w:r>
      <w:r>
        <w:t xml:space="preserve"> </w:t>
      </w:r>
      <w:r w:rsidR="00B355EB">
        <w:t>were</w:t>
      </w:r>
      <w:r>
        <w:t xml:space="preserve"> willing to celebrate the fact that they managed to beat the Galatians</w:t>
      </w:r>
      <w:r w:rsidR="004529E0">
        <w:t>,</w:t>
      </w:r>
      <w:r>
        <w:t xml:space="preserve"> </w:t>
      </w:r>
      <w:r w:rsidR="00B355EB">
        <w:t xml:space="preserve">it </w:t>
      </w:r>
      <w:r>
        <w:t>clearly exemplifies their importance to Hellenic power dynamics</w:t>
      </w:r>
      <w:r w:rsidR="00B355EB">
        <w:t>,</w:t>
      </w:r>
      <w:r>
        <w:t xml:space="preserve"> as Attalus’ victory clearly shows just how</w:t>
      </w:r>
      <w:r w:rsidR="00B355EB">
        <w:t>,</w:t>
      </w:r>
      <w:r>
        <w:t xml:space="preserve"> even in defeat</w:t>
      </w:r>
      <w:r w:rsidR="00B355EB">
        <w:t>,</w:t>
      </w:r>
      <w:r>
        <w:t xml:space="preserve"> the Galatians changed the power dynamic. </w:t>
      </w:r>
    </w:p>
    <w:p w14:paraId="54CF163A" w14:textId="305FA33A" w:rsidR="00A81B3F" w:rsidRDefault="00D74D48" w:rsidP="00C60BDB">
      <w:pPr>
        <w:spacing w:line="360" w:lineRule="auto"/>
      </w:pPr>
      <w:bookmarkStart w:id="5" w:name="_1fob9te" w:colFirst="0" w:colLast="0"/>
      <w:bookmarkEnd w:id="5"/>
      <w:r>
        <w:t>However</w:t>
      </w:r>
      <w:r w:rsidR="00532D73">
        <w:t>, simply</w:t>
      </w:r>
      <w:r>
        <w:t xml:space="preserve"> because Attalid propaganda portrays the Galatians as defeated, it does not mean that the</w:t>
      </w:r>
      <w:r w:rsidR="00B355EB">
        <w:t>ir</w:t>
      </w:r>
      <w:r>
        <w:t xml:space="preserve"> fearsome reputation was in any way damaged. The willingness of Hellenic kingdoms</w:t>
      </w:r>
      <w:r w:rsidR="0060341F">
        <w:t xml:space="preserve"> to show the Galatians defeated</w:t>
      </w:r>
      <w:r w:rsidR="00C60BDB">
        <w:t xml:space="preserve"> in iconography and propaganda</w:t>
      </w:r>
      <w:r>
        <w:t>, especially Pergamum</w:t>
      </w:r>
      <w:r w:rsidR="00012E91">
        <w:t xml:space="preserve"> in icons like the Dying Gaul</w:t>
      </w:r>
      <w:r>
        <w:t>,</w:t>
      </w:r>
      <w:r w:rsidR="00012E91">
        <w:rPr>
          <w:rStyle w:val="FootnoteReference"/>
        </w:rPr>
        <w:footnoteReference w:id="40"/>
      </w:r>
      <w:r>
        <w:t xml:space="preserve"> is instrumental in showcasing just how</w:t>
      </w:r>
      <w:r w:rsidR="001926CB">
        <w:t xml:space="preserve"> much of a threat the Galatians were and thus they saw the potential for them to fight on their side as their ferocity in battle was proven</w:t>
      </w:r>
      <w:r w:rsidR="00056493">
        <w:rPr>
          <w:rStyle w:val="FootnoteReference"/>
        </w:rPr>
        <w:footnoteReference w:id="41"/>
      </w:r>
      <w:r>
        <w:t>. For example, the Attalid kingdom invited an entire tribe to settle on their land in exchange for serving in their military.</w:t>
      </w:r>
      <w:r w:rsidR="00814274">
        <w:rPr>
          <w:rStyle w:val="FootnoteReference"/>
        </w:rPr>
        <w:footnoteReference w:id="42"/>
      </w:r>
      <w:r>
        <w:t xml:space="preserve"> Much later</w:t>
      </w:r>
      <w:r w:rsidR="004529E0">
        <w:t xml:space="preserve"> on,</w:t>
      </w:r>
      <w:r>
        <w:t xml:space="preserve"> the Ptolemies would use Galatians in their royal guard,</w:t>
      </w:r>
      <w:r w:rsidR="009F70BF">
        <w:rPr>
          <w:rStyle w:val="FootnoteReference"/>
        </w:rPr>
        <w:footnoteReference w:id="43"/>
      </w:r>
      <w:r>
        <w:t xml:space="preserve"> which further reinforces their skill at arms. On</w:t>
      </w:r>
      <w:r w:rsidR="00B355EB">
        <w:t>e</w:t>
      </w:r>
      <w:r>
        <w:t xml:space="preserve"> the example of the Attalid dynasty, the </w:t>
      </w:r>
      <w:r w:rsidR="008243FD">
        <w:t xml:space="preserve">Pergamene </w:t>
      </w:r>
      <w:r>
        <w:t>court at the time was surrounded by powerful enemies, with Macedon to the west and the Seleucid empire to the east, therefore the need for manpower was obvious and manpower that was also stronger than the standard citizen hoplites that Pergamum could call upon prior to this.</w:t>
      </w:r>
      <w:r w:rsidR="00CA7AE7">
        <w:rPr>
          <w:rStyle w:val="FootnoteReference"/>
        </w:rPr>
        <w:footnoteReference w:id="44"/>
      </w:r>
      <w:r>
        <w:t xml:space="preserve"> Therefore, naturally, the Galatian tribe of the Aigosages were the perfect fit for this task, as not only did it give Pergamum much needed manpower but it also discouraged raids from the Anatolian Galatians, as they were culturally similar and ha</w:t>
      </w:r>
      <w:r w:rsidR="00B355EB">
        <w:t>d</w:t>
      </w:r>
      <w:r>
        <w:t xml:space="preserve"> a similar belie</w:t>
      </w:r>
      <w:r w:rsidR="00B355EB">
        <w:t>f</w:t>
      </w:r>
      <w:r w:rsidR="0060341F">
        <w:t xml:space="preserve"> </w:t>
      </w:r>
      <w:r>
        <w:t>system.</w:t>
      </w:r>
      <w:r w:rsidR="002D775C">
        <w:rPr>
          <w:rStyle w:val="FootnoteReference"/>
        </w:rPr>
        <w:footnoteReference w:id="45"/>
      </w:r>
      <w:r>
        <w:t xml:space="preserve"> </w:t>
      </w:r>
    </w:p>
    <w:p w14:paraId="299D45B5" w14:textId="3519F560" w:rsidR="00CA7AE7" w:rsidRDefault="00CA7AE7" w:rsidP="00C60BDB">
      <w:pPr>
        <w:spacing w:line="360" w:lineRule="auto"/>
      </w:pPr>
      <w:bookmarkStart w:id="6" w:name="_gv34e6k7rzda" w:colFirst="0" w:colLast="0"/>
      <w:bookmarkEnd w:id="6"/>
      <w:r>
        <w:t xml:space="preserve">Another way in which the Galatians influenced the power dynamics of Hellenic ruling bodies, is when by being defeated they inadvertently helped fuel the Seleucid Empire’s propaganda with regards to Antiochus I in a battle whose only source is a satirical writer by the name of Lucian. In his description Lucian compares Antiochus’ deeds on the field of battle similar to the way </w:t>
      </w:r>
      <w:r w:rsidRPr="00254F2F">
        <w:t>Zeusix</w:t>
      </w:r>
      <w:r>
        <w:t xml:space="preserve"> admires a painting of a centaur. Clearly this is very much propaganda aimed at enhancing Antiochus’ image of a saviour, as he too had taken on the name Soter, however there is one description that stands out as it suggests that the mere presence of Elephants was enough to put the Galatians to flight, it reads;</w:t>
      </w:r>
    </w:p>
    <w:p w14:paraId="1187F983" w14:textId="77777777" w:rsidR="00CA7AE7" w:rsidRDefault="00CA7AE7" w:rsidP="00C60BDB">
      <w:pPr>
        <w:spacing w:line="360" w:lineRule="auto"/>
        <w:ind w:left="720"/>
      </w:pPr>
      <w:r>
        <w:t>‘</w:t>
      </w:r>
      <w:r w:rsidRPr="009F0646">
        <w:t>Neither the Galatians nor their horses had ever seen an elephant, and they were so taken aback by the strange sight that, long before the beasts came to close quarters, the mere sound of their trumpeting, the sight of their gleaming tusks relieved against dark bodies, and minatory waving trunks, was enough</w:t>
      </w:r>
      <w:r>
        <w:t>’</w:t>
      </w:r>
      <w:r>
        <w:rPr>
          <w:rStyle w:val="FootnoteReference"/>
        </w:rPr>
        <w:footnoteReference w:id="46"/>
      </w:r>
    </w:p>
    <w:p w14:paraId="287BD861" w14:textId="320A164E" w:rsidR="00CA7AE7" w:rsidRDefault="00CA7AE7" w:rsidP="00C60BDB">
      <w:pPr>
        <w:spacing w:line="360" w:lineRule="auto"/>
      </w:pPr>
      <w:r>
        <w:t>This is interesting as it leads to a debate amongst historians as to whether or not this is either propaganda intended in support of Antiochus and Lucian is satirising it or an actual descriptor of events. Nevertheless, it remains exemplary of the kind of propaganda the Seleucid’s would want to spread, as a significant portion of Antiochus’ coinage depicts that of an elephant</w:t>
      </w:r>
      <w:r w:rsidR="0012407C">
        <w:t>,</w:t>
      </w:r>
      <w:r w:rsidR="0012407C">
        <w:rPr>
          <w:rStyle w:val="FootnoteReference"/>
        </w:rPr>
        <w:footnoteReference w:id="47"/>
      </w:r>
      <w:r w:rsidR="0012407C">
        <w:t xml:space="preserve"> a continuation of the coinage under Seleucus</w:t>
      </w:r>
      <w:r>
        <w:t>.</w:t>
      </w:r>
      <w:r w:rsidR="002E2CF0">
        <w:rPr>
          <w:rStyle w:val="FootnoteReference"/>
        </w:rPr>
        <w:footnoteReference w:id="48"/>
      </w:r>
      <w:r>
        <w:t xml:space="preserve">  However, historians such as Bar-Kochva state that there is actually no particular reason to doubt whether the events that occurred were untrue,</w:t>
      </w:r>
      <w:r>
        <w:rPr>
          <w:rStyle w:val="FootnoteReference"/>
        </w:rPr>
        <w:footnoteReference w:id="49"/>
      </w:r>
      <w:r>
        <w:t xml:space="preserve"> as he suggests that this battle would have been common knowledge. However he does admit that most of what Lucian writes is purely rhetoric, as there is</w:t>
      </w:r>
      <w:r w:rsidR="008243FD">
        <w:t xml:space="preserve"> not </w:t>
      </w:r>
      <w:r>
        <w:t>even any evidence on the Galatians campaign apart from this.</w:t>
      </w:r>
      <w:r>
        <w:rPr>
          <w:rStyle w:val="FootnoteReference"/>
        </w:rPr>
        <w:footnoteReference w:id="50"/>
      </w:r>
      <w:r>
        <w:t xml:space="preserve"> Therefore all we can gauge from Lucian, is that Antiochus I used the ‘Elephant Battle’ as propaganda to enhance his reputation which remains a perfect example of how the Galatians played a key role in Hellenistic power struggles, as their defeat clearly played a key role in Antiochus I reputation, thus simply by being an ever-present threat the Galatians remained hugely influential.</w:t>
      </w:r>
    </w:p>
    <w:p w14:paraId="42AA89A4" w14:textId="2E61781C" w:rsidR="00CA7AE7" w:rsidRDefault="00CA7AE7" w:rsidP="00C60BDB">
      <w:pPr>
        <w:spacing w:line="360" w:lineRule="auto"/>
      </w:pPr>
      <w:r>
        <w:t>There is also evidence that after the Battle of the Caecus River, the Attalid king Eumenes I saw the need for troops that could fight in the more broken melee style of fighting, as well as those that fought in a hoplite formation.</w:t>
      </w:r>
      <w:r>
        <w:rPr>
          <w:rStyle w:val="FootnoteReference"/>
        </w:rPr>
        <w:footnoteReference w:id="51"/>
      </w:r>
      <w:r>
        <w:t xml:space="preserve"> Galatian mercenaries also proved an incredibly useful scouting force for any Hellenic faction as they were fast moving and nimble,</w:t>
      </w:r>
      <w:r w:rsidR="006E58FB">
        <w:rPr>
          <w:rStyle w:val="FootnoteReference"/>
        </w:rPr>
        <w:footnoteReference w:id="52"/>
      </w:r>
      <w:r>
        <w:t xml:space="preserve"> all of these were important reasons why the Galatians were used by multiple Hellenic factions and in a way helped not just to weaken their ruling bodies but also to preserve their interests, by performing tasks a citizen army that Pergamum possessed simply could not do adequately, such as scouting, ambushing and shock charges. They not only gave any Hellenic army a vital new compartment which could fight well in an open melee, but could also provide security as a garrison force should they be well paid</w:t>
      </w:r>
      <w:r w:rsidR="006E58FB">
        <w:t>, as they were later employed to a great deal in Plotemaic Egypt</w:t>
      </w:r>
      <w:r>
        <w:t>.</w:t>
      </w:r>
      <w:r w:rsidR="006E58FB">
        <w:rPr>
          <w:rStyle w:val="FootnoteReference"/>
        </w:rPr>
        <w:footnoteReference w:id="53"/>
      </w:r>
      <w:r>
        <w:t xml:space="preserve"> Therefore, the versatility and usefulness of the Galatians cannot be overstated for the Hellenic ruling bodies as they clearly helped maintain their positions.</w:t>
      </w:r>
    </w:p>
    <w:p w14:paraId="00000014" w14:textId="77777777" w:rsidR="004F4B44" w:rsidRDefault="004F4B44" w:rsidP="00C60BDB">
      <w:pPr>
        <w:spacing w:line="360" w:lineRule="auto"/>
      </w:pPr>
    </w:p>
    <w:p w14:paraId="23F4D4C9" w14:textId="628EDFA8" w:rsidR="006A5FAC" w:rsidRDefault="00AB25D6" w:rsidP="00C60BDB">
      <w:pPr>
        <w:spacing w:line="360" w:lineRule="auto"/>
      </w:pPr>
      <w:r>
        <w:t>Furthermore, once the Galatians had settled in Anatolia (an area which</w:t>
      </w:r>
      <w:r w:rsidR="00056493">
        <w:t xml:space="preserve"> was mainly desert with occasional forests</w:t>
      </w:r>
      <w:r w:rsidR="00056493">
        <w:rPr>
          <w:rStyle w:val="FootnoteReference"/>
        </w:rPr>
        <w:footnoteReference w:id="54"/>
      </w:r>
      <w:r>
        <w:t>) and had started to be used as mercenaries all over the Hellenic world, there is clear evidence of the Galatian mercenaries whom had come to live in provinces such as Egypt had begun to learn Greek, as an inscription on the temple of Seti I reads ‘Of the Galatians, we Thoas, Callistratos, Acannon, Apollonius, came, and a fox was caught here’</w:t>
      </w:r>
      <w:r w:rsidR="00B67161">
        <w:rPr>
          <w:rStyle w:val="FootnoteReference"/>
        </w:rPr>
        <w:footnoteReference w:id="55"/>
      </w:r>
      <w:r w:rsidR="001A5232">
        <w:t xml:space="preserve"> </w:t>
      </w:r>
      <w:r w:rsidR="00B67161">
        <w:t xml:space="preserve">this is clear evidence of the Galatians learning Greek, albeit at a basic level, </w:t>
      </w:r>
      <w:r w:rsidR="006A5FAC">
        <w:t>therefore reinforcing the notion that they became integrated into Hellenic culture and society and furthermore once they began to incorporate Greek custom and the Greeks Celtic, they could far more greatly influence Hellenic ruling power bodies by play</w:t>
      </w:r>
      <w:r w:rsidR="00B00FF9">
        <w:t>ing an integral role in society. A</w:t>
      </w:r>
      <w:r w:rsidR="006A5FAC">
        <w:t xml:space="preserve">n example </w:t>
      </w:r>
      <w:r w:rsidR="004529E0">
        <w:t xml:space="preserve">which </w:t>
      </w:r>
      <w:r w:rsidR="006A5FAC">
        <w:t>giv</w:t>
      </w:r>
      <w:r w:rsidR="004529E0">
        <w:t>es</w:t>
      </w:r>
      <w:r w:rsidR="006A5FAC">
        <w:t xml:space="preserve"> evidence to this idea, would be </w:t>
      </w:r>
      <w:r w:rsidR="00B00FF9">
        <w:t>the fact that they would later adopt Macedonian coinage almost certainly as a result of the raiding and looting of Macedonian treasuries and later as a means of paymen</w:t>
      </w:r>
      <w:r w:rsidR="007E54C3">
        <w:t>t for Mercenary work. Historian</w:t>
      </w:r>
      <w:r w:rsidR="00B00FF9">
        <w:t xml:space="preserve"> Hubert notes that the Galatians had access to a vast </w:t>
      </w:r>
      <w:r w:rsidR="007E54C3">
        <w:t>amount of Hellenic coinage and that they had managed to potentially produce some of their own coinage with Greco-Celtic imagery,</w:t>
      </w:r>
      <w:r w:rsidR="007E54C3">
        <w:rPr>
          <w:rStyle w:val="FootnoteReference"/>
        </w:rPr>
        <w:footnoteReference w:id="56"/>
      </w:r>
      <w:r w:rsidR="007E54C3">
        <w:t xml:space="preserve"> as one such coin depicts Zeus on one side and a Celtic horse on the other</w:t>
      </w:r>
      <w:r w:rsidR="007E54C3">
        <w:rPr>
          <w:rStyle w:val="FootnoteReference"/>
        </w:rPr>
        <w:footnoteReference w:id="57"/>
      </w:r>
      <w:r w:rsidR="007E54C3">
        <w:t xml:space="preserve">. This is therefore clear evidence of what </w:t>
      </w:r>
      <w:r w:rsidR="00B778BB">
        <w:t>historian Momigliano suggests is known as ‘Hellenization’ in which Hellenic culture is embedded into other cultures,</w:t>
      </w:r>
      <w:r w:rsidR="00794BFD">
        <w:rPr>
          <w:rStyle w:val="FootnoteReference"/>
        </w:rPr>
        <w:footnoteReference w:id="58"/>
      </w:r>
      <w:r w:rsidR="00B778BB">
        <w:t xml:space="preserve"> it was particularly prevalent during the time period of Alexander the Great when he declared himself an incarnation of and Zeus in Egypt.</w:t>
      </w:r>
      <w:r w:rsidR="00777F7A">
        <w:rPr>
          <w:rStyle w:val="FootnoteReference"/>
        </w:rPr>
        <w:footnoteReference w:id="59"/>
      </w:r>
      <w:r w:rsidR="00B778BB">
        <w:t xml:space="preserve"> However it is clear that with regards to the Galatians that it is not ‘Hellenisation’ in the traditional sense of it being forced upon them, but rather that they themselves integrated Hellenic practice to ensure they would be seen as more employable as mercenaries and that they would be less likely to be seen as an alien force,</w:t>
      </w:r>
      <w:r w:rsidR="00213816">
        <w:rPr>
          <w:rStyle w:val="FootnoteReference"/>
        </w:rPr>
        <w:footnoteReference w:id="60"/>
      </w:r>
      <w:r w:rsidR="00B778BB">
        <w:t xml:space="preserve"> of which they initially were what with stories of human sacrifice being prevalent. In turn for integrating Hellenic culture and values, it allowed the Galatians opportunity to have a vast impact on Hellenic ruling bodies, by spreading their culture in various Hellenic factions and being in their armies.</w:t>
      </w:r>
    </w:p>
    <w:p w14:paraId="0000001F" w14:textId="175ABBE7" w:rsidR="004F4B44" w:rsidRDefault="00D74D48" w:rsidP="00C60BDB">
      <w:pPr>
        <w:spacing w:line="360" w:lineRule="auto"/>
      </w:pPr>
      <w:r>
        <w:tab/>
        <w:t xml:space="preserve"> </w:t>
      </w:r>
    </w:p>
    <w:p w14:paraId="2EFE58FF" w14:textId="3BCB8D3B" w:rsidR="004D63B6" w:rsidRDefault="003D1A06" w:rsidP="00C60BDB">
      <w:pPr>
        <w:spacing w:line="360" w:lineRule="auto"/>
      </w:pPr>
      <w:r>
        <w:t xml:space="preserve">One problem that Hellenic factions often found with Galatian mercenaries </w:t>
      </w:r>
      <w:r w:rsidR="00511D78">
        <w:t>was</w:t>
      </w:r>
      <w:r>
        <w:t xml:space="preserve"> that their loyalty was by no means secure.</w:t>
      </w:r>
      <w:r w:rsidR="00794BFD">
        <w:rPr>
          <w:rStyle w:val="FootnoteReference"/>
        </w:rPr>
        <w:footnoteReference w:id="61"/>
      </w:r>
      <w:r>
        <w:t xml:space="preserve"> </w:t>
      </w:r>
      <w:r w:rsidR="008B65EB">
        <w:t>A key example showcasing this would be the revolt of the Galatian mercenaries that were hired by Ptolemy II to retake Cyrene,</w:t>
      </w:r>
      <w:r w:rsidR="002D775C">
        <w:rPr>
          <w:rStyle w:val="FootnoteReference"/>
        </w:rPr>
        <w:footnoteReference w:id="62"/>
      </w:r>
      <w:r w:rsidR="008B65EB">
        <w:t xml:space="preserve"> which had revolted and sided with Ptolemy’s brother Magas</w:t>
      </w:r>
      <w:r w:rsidR="00BA1EB9">
        <w:t xml:space="preserve"> the problem being that once the Galatians had achieved their objectives they were oft stuck in a foreign land with nowhere to go and with no set homeland to go and with the example of the Galatians that fought on the side of Ptolemy II this was especially true as once they had secured Cyrene they naturally took to raiding as the arid conditions of Northern Africa were not exactly suited for them, thus making it unlikely that they were ever going to settle there.</w:t>
      </w:r>
      <w:r w:rsidR="00580BA1">
        <w:rPr>
          <w:rStyle w:val="FootnoteReference"/>
        </w:rPr>
        <w:footnoteReference w:id="63"/>
      </w:r>
      <w:r w:rsidR="00907A4D">
        <w:t xml:space="preserve"> This therefore caused a significant problem as trying to suppress the Galatian revolt by fo</w:t>
      </w:r>
      <w:r w:rsidR="003A108E">
        <w:t>rce would, as Mitchell</w:t>
      </w:r>
      <w:r w:rsidR="00907A4D">
        <w:t>, notes, would be an expensive endeavour but then again as would be trying to simply pay off the Galatians,</w:t>
      </w:r>
      <w:r w:rsidR="003A108E">
        <w:rPr>
          <w:rStyle w:val="FootnoteReference"/>
        </w:rPr>
        <w:footnoteReference w:id="64"/>
      </w:r>
      <w:r w:rsidR="00907A4D">
        <w:t xml:space="preserve"> as Ptolemy had just used vast amounts of expenditure on trying to suppressing the revolt of Magas and on paying to Galatians in the first place.</w:t>
      </w:r>
      <w:r w:rsidR="003A108E">
        <w:rPr>
          <w:rStyle w:val="FootnoteReference"/>
        </w:rPr>
        <w:footnoteReference w:id="65"/>
      </w:r>
      <w:r w:rsidR="008243FD">
        <w:t xml:space="preserve"> </w:t>
      </w:r>
      <w:r w:rsidR="00907A4D">
        <w:t>Therefore this is indicative of one major problem with using Galatian mercenaries in war in that their loyalty could not easily be kept as there is one thing the Galatians desire which is a decent place to settle,</w:t>
      </w:r>
      <w:r w:rsidR="00012E91">
        <w:rPr>
          <w:rStyle w:val="FootnoteReference"/>
        </w:rPr>
        <w:footnoteReference w:id="66"/>
      </w:r>
      <w:r w:rsidR="00907A4D">
        <w:t xml:space="preserve"> and when Ptolemy failed in this endeavour the Galatians naturally revolted. This therefore has a unique adverse effect on the Ptolemaic Hellen</w:t>
      </w:r>
      <w:r w:rsidR="009857E4">
        <w:t>ic faction, as it is clear that they were most definitely a perceived threat to Ptolemaic territory,</w:t>
      </w:r>
      <w:r w:rsidR="00580BA1">
        <w:rPr>
          <w:rStyle w:val="FootnoteReference"/>
        </w:rPr>
        <w:footnoteReference w:id="67"/>
      </w:r>
      <w:r w:rsidR="009857E4">
        <w:t xml:space="preserve"> with goes some way to explain Ptolemy IIs actions in betraying the Galatians and leaving them stranded on an Island somewhere in the Mediterranean</w:t>
      </w:r>
      <w:r w:rsidR="00794BFD">
        <w:t>.</w:t>
      </w:r>
      <w:r w:rsidR="003A108E">
        <w:rPr>
          <w:rStyle w:val="FootnoteReference"/>
        </w:rPr>
        <w:footnoteReference w:id="68"/>
      </w:r>
      <w:r w:rsidR="009857E4">
        <w:t xml:space="preserve"> Though it is important to note that this evidence is exemplary of the power and fear the Galatians wielded that it caused great deals of stress for multiple Hellenic factions </w:t>
      </w:r>
      <w:r w:rsidR="00492DD0">
        <w:t>not least Lysimachus’ Macedon</w:t>
      </w:r>
      <w:r w:rsidR="0012407C">
        <w:rPr>
          <w:rStyle w:val="FootnoteReference"/>
        </w:rPr>
        <w:footnoteReference w:id="69"/>
      </w:r>
      <w:r w:rsidR="00492DD0">
        <w:t xml:space="preserve"> and Ptolemaic Egypt. </w:t>
      </w:r>
      <w:r w:rsidR="00CF3C48">
        <w:rPr>
          <w:rStyle w:val="FootnoteReference"/>
        </w:rPr>
        <w:footnoteReference w:id="70"/>
      </w:r>
      <w:r w:rsidR="00492DD0">
        <w:t>This therefore links back to the original idea that because of their strength, power and cultural aversion the Galatians had a huge impact on the Hellenistic world, one that simply cannot be ignored.</w:t>
      </w:r>
    </w:p>
    <w:p w14:paraId="4BF1A3E8" w14:textId="1B436E37" w:rsidR="00CA7AE7" w:rsidRDefault="00492DD0" w:rsidP="00C60BDB">
      <w:pPr>
        <w:spacing w:line="360" w:lineRule="auto"/>
      </w:pPr>
      <w:r>
        <w:t xml:space="preserve">Another key element to the Galatians was that their skill in open battle was utilized to great effect by all Hellenic factions as they served a unique role in serving any Hellenic army, as they were skilled in open and frantic combat and were fast moving and had much greater manoeuvrability than any type of Hellenic pike unit and if they could get at the vulnerable flank of a phalanx then the phalanx stood very little chance of surviving unless it was </w:t>
      </w:r>
      <w:r w:rsidR="002B2BD1">
        <w:t>immediately supported. Therefore this speed and versatility made the Galatians excellent in a battle scenario one notable would be the battle of Raphia where Galatian troops acted</w:t>
      </w:r>
      <w:r w:rsidR="00B6680B">
        <w:t xml:space="preserve"> alongside the Greek mercenaries led by Phoxidas</w:t>
      </w:r>
      <w:r w:rsidR="002B2BD1">
        <w:t>.</w:t>
      </w:r>
      <w:r w:rsidR="000841AD">
        <w:rPr>
          <w:rStyle w:val="FootnoteReference"/>
        </w:rPr>
        <w:footnoteReference w:id="71"/>
      </w:r>
      <w:r w:rsidR="002B2BD1">
        <w:t xml:space="preserve"> This is therefore exemplary of the fact that Galatian troops were incredibly </w:t>
      </w:r>
      <w:r w:rsidR="00D771F8">
        <w:t>useful as Polybius notes the mercenaries</w:t>
      </w:r>
      <w:r w:rsidR="00B6680B">
        <w:t xml:space="preserve"> completely annihilated the left flank of Antiochus III’s Seleucid empire</w:t>
      </w:r>
      <w:r w:rsidR="00E43682">
        <w:t>,</w:t>
      </w:r>
      <w:r w:rsidR="00B6680B">
        <w:rPr>
          <w:rStyle w:val="FootnoteReference"/>
        </w:rPr>
        <w:footnoteReference w:id="72"/>
      </w:r>
      <w:r w:rsidR="00E43682">
        <w:t xml:space="preserve"> therefore in battle the Galatians could easily sway the balance of power for the Hellenistic world and their actions in doing so should not be understated.</w:t>
      </w:r>
      <w:r w:rsidR="000841AD">
        <w:t xml:space="preserve"> Furthermore Historian Freeman notes that Galatians eventually grew into a warrior culture with tales of ancestor’s deeds being a strong motivator.</w:t>
      </w:r>
      <w:r w:rsidR="000841AD">
        <w:rPr>
          <w:rStyle w:val="FootnoteReference"/>
        </w:rPr>
        <w:footnoteReference w:id="73"/>
      </w:r>
      <w:r w:rsidR="000841AD">
        <w:t xml:space="preserve"> Using examples such as Raphia this warrior cult grew in size to the point where much later in the Roman period Justin notes: ‘no Eastern king would fight a war without Galatian mercenaries’</w:t>
      </w:r>
      <w:r w:rsidR="0080297B">
        <w:t>.</w:t>
      </w:r>
      <w:r w:rsidR="000841AD">
        <w:rPr>
          <w:rStyle w:val="FootnoteReference"/>
        </w:rPr>
        <w:footnoteReference w:id="74"/>
      </w:r>
    </w:p>
    <w:p w14:paraId="13465F5A" w14:textId="2E2F8595" w:rsidR="001852EE" w:rsidRDefault="00277373" w:rsidP="00C60BDB">
      <w:pPr>
        <w:spacing w:line="360" w:lineRule="auto"/>
      </w:pPr>
      <w:r>
        <w:t xml:space="preserve">In </w:t>
      </w:r>
      <w:r w:rsidR="00EF4793">
        <w:t>s</w:t>
      </w:r>
      <w:r>
        <w:t>ummation</w:t>
      </w:r>
      <w:r w:rsidR="00EF4793">
        <w:t>,</w:t>
      </w:r>
      <w:r>
        <w:t xml:space="preserve"> it is clear from the evidence </w:t>
      </w:r>
      <w:r w:rsidR="00A97287">
        <w:t xml:space="preserve">assembled here, </w:t>
      </w:r>
      <w:r>
        <w:t xml:space="preserve">that the Galatians tribes of the Tectosages, Tolistobogii and the Trocmii played a significant role in influencing power dynamics in the Hellenistic world, from initially being a horde in search of land to </w:t>
      </w:r>
      <w:r w:rsidR="00664D78">
        <w:t>incredibly respected mercenaries in the later Ptolemaic Empire. Whether they were being defeated in battle or killing family members of the Hellenic dynasties, simply by existing the Galatians played a key role in major events and although historiography perhaps does</w:t>
      </w:r>
      <w:r w:rsidR="00EF4793">
        <w:t xml:space="preserve"> not</w:t>
      </w:r>
      <w:r w:rsidR="00664D78">
        <w:t xml:space="preserve"> cover them as much</w:t>
      </w:r>
      <w:r w:rsidR="00EF4793">
        <w:t>,</w:t>
      </w:r>
      <w:r w:rsidR="00664D78">
        <w:t xml:space="preserve"> it is clear that the Galatians played a role in vast numbers o</w:t>
      </w:r>
      <w:r w:rsidR="00EF4793">
        <w:t>f</w:t>
      </w:r>
      <w:r w:rsidR="00664D78">
        <w:t xml:space="preserve"> key events often with their defeat being part of Hellenic propaganda.</w:t>
      </w:r>
      <w:r w:rsidR="0024666C">
        <w:t xml:space="preserve"> They were also instrumental in shaping the Hellenistic world culturally as both their language and culture intermingled with that of Hellenic culture. </w:t>
      </w:r>
      <w:r w:rsidR="00664D78">
        <w:t xml:space="preserve">As even in defeat they helped shift power dynamics, it is thus for these very reasons that the Galatians are clearly vital in the power dynamics of Hellenic power dynamics. </w:t>
      </w:r>
    </w:p>
    <w:p w14:paraId="0F60CC95" w14:textId="77777777" w:rsidR="0024666C" w:rsidRDefault="0024666C" w:rsidP="00C60BDB">
      <w:pPr>
        <w:spacing w:line="360" w:lineRule="auto"/>
      </w:pPr>
    </w:p>
    <w:p w14:paraId="6AF91B25" w14:textId="6F516FCA" w:rsidR="0024666C" w:rsidRDefault="0024666C" w:rsidP="00C60BDB">
      <w:pPr>
        <w:spacing w:line="360" w:lineRule="auto"/>
      </w:pPr>
    </w:p>
    <w:p w14:paraId="223A9C90" w14:textId="3D94F463" w:rsidR="00254F2F" w:rsidRDefault="00254F2F" w:rsidP="00C60BDB">
      <w:pPr>
        <w:spacing w:line="360" w:lineRule="auto"/>
      </w:pPr>
    </w:p>
    <w:p w14:paraId="16705D06" w14:textId="6FAD6799" w:rsidR="00254F2F" w:rsidRDefault="00254F2F" w:rsidP="00C60BDB">
      <w:pPr>
        <w:spacing w:line="360" w:lineRule="auto"/>
      </w:pPr>
    </w:p>
    <w:p w14:paraId="6A6C502A" w14:textId="77777777" w:rsidR="00254F2F" w:rsidRDefault="00254F2F" w:rsidP="00C60BDB">
      <w:pPr>
        <w:spacing w:line="360" w:lineRule="auto"/>
      </w:pPr>
    </w:p>
    <w:p w14:paraId="4D91C9FF" w14:textId="71F2B17F" w:rsidR="0024666C" w:rsidRDefault="00153B6B" w:rsidP="00C60BDB">
      <w:pPr>
        <w:spacing w:line="360" w:lineRule="auto"/>
      </w:pPr>
      <w:r>
        <w:t>Bibliography:</w:t>
      </w:r>
    </w:p>
    <w:p w14:paraId="32346CEA" w14:textId="77777777" w:rsidR="00CF3C48" w:rsidRDefault="0024666C" w:rsidP="00C60BDB">
      <w:pPr>
        <w:spacing w:line="360" w:lineRule="auto"/>
      </w:pPr>
      <w:r>
        <w:t>Inscriptions:</w:t>
      </w:r>
    </w:p>
    <w:p w14:paraId="32691290" w14:textId="47F236FD" w:rsidR="0024666C" w:rsidRDefault="00D95D85" w:rsidP="00C60BDB">
      <w:pPr>
        <w:spacing w:line="360" w:lineRule="auto"/>
        <w:ind w:firstLine="720"/>
      </w:pPr>
      <w:r w:rsidRPr="00D95D85">
        <w:br/>
      </w:r>
      <w:r w:rsidRPr="00D95D85">
        <w:rPr>
          <w:color w:val="212121"/>
          <w:shd w:val="clear" w:color="auto" w:fill="FFFFFF"/>
        </w:rPr>
        <w:t>Dittenberger, Wilhelm: Orientis Graeci Inscriptiones Selectae. Supplementum Sylloges Inscriptionum Graecarum, vols. I–II, Leipzig 1903/5, repr. Hildesheim 1970.</w:t>
      </w:r>
      <w:r>
        <w:rPr>
          <w:color w:val="212121"/>
          <w:sz w:val="20"/>
          <w:szCs w:val="20"/>
          <w:shd w:val="clear" w:color="auto" w:fill="FFFFFF"/>
        </w:rPr>
        <w:t xml:space="preserve"> = OGIS</w:t>
      </w:r>
      <w:r w:rsidR="0024666C" w:rsidRPr="0024666C">
        <w:t>SIG. 398.</w:t>
      </w:r>
      <w:r w:rsidR="00842FF3">
        <w:t xml:space="preserve"> =</w:t>
      </w:r>
      <w:r w:rsidR="0024666C" w:rsidRPr="0024666C">
        <w:t xml:space="preserve"> BD 17</w:t>
      </w:r>
    </w:p>
    <w:p w14:paraId="7D2717A3" w14:textId="045DC516" w:rsidR="00D95D85" w:rsidRDefault="00D95D85" w:rsidP="00C60BDB">
      <w:pPr>
        <w:spacing w:line="360" w:lineRule="auto"/>
      </w:pPr>
      <w:r>
        <w:t>Dittenberger, Wilhelm: Sylloge Inscriptionum Graecarum, 4 vols., Leipzig 31915–24. = SIG</w:t>
      </w:r>
    </w:p>
    <w:p w14:paraId="3057C389" w14:textId="1C5E9797" w:rsidR="0022752D" w:rsidRDefault="0024666C" w:rsidP="00C60BDB">
      <w:pPr>
        <w:spacing w:line="360" w:lineRule="auto"/>
      </w:pPr>
      <w:r>
        <w:t>Ancient sources</w:t>
      </w:r>
      <w:r w:rsidR="00D95D85">
        <w:t>:</w:t>
      </w:r>
    </w:p>
    <w:p w14:paraId="316D626B" w14:textId="78EEA952" w:rsidR="0024666C" w:rsidRPr="0024666C" w:rsidRDefault="0024666C" w:rsidP="00C60BDB">
      <w:pPr>
        <w:spacing w:line="360" w:lineRule="auto"/>
      </w:pPr>
      <w:r>
        <w:t xml:space="preserve">Arrian, </w:t>
      </w:r>
      <w:r>
        <w:rPr>
          <w:i/>
        </w:rPr>
        <w:t xml:space="preserve">Anabasis of Alexander. </w:t>
      </w:r>
      <w:r>
        <w:t>E. J. Chinnok. (trans). 1883. London: Hodder and Stoughton. LTD</w:t>
      </w:r>
    </w:p>
    <w:p w14:paraId="68625C0C" w14:textId="03159DC0" w:rsidR="0024666C" w:rsidRPr="0024666C" w:rsidRDefault="0024666C" w:rsidP="00C60BDB">
      <w:pPr>
        <w:spacing w:line="360" w:lineRule="auto"/>
      </w:pPr>
      <w:r>
        <w:t xml:space="preserve">Callimachus. </w:t>
      </w:r>
      <w:r w:rsidR="00254F2F">
        <w:rPr>
          <w:i/>
        </w:rPr>
        <w:t>Hymns of Delos</w:t>
      </w:r>
      <w:r>
        <w:rPr>
          <w:i/>
        </w:rPr>
        <w:t xml:space="preserve">. </w:t>
      </w:r>
      <w:r>
        <w:t>A. W. Mair (trans). 1921. London: William Heinemann LTD</w:t>
      </w:r>
    </w:p>
    <w:p w14:paraId="37BBF269" w14:textId="14D96A8A" w:rsidR="00777F7A" w:rsidRDefault="00777F7A" w:rsidP="00C60BDB">
      <w:pPr>
        <w:spacing w:line="360" w:lineRule="auto"/>
      </w:pPr>
      <w:r>
        <w:t xml:space="preserve">Diodorus Siculus. </w:t>
      </w:r>
      <w:r>
        <w:rPr>
          <w:i/>
        </w:rPr>
        <w:t xml:space="preserve">Bibliotheca Historia. </w:t>
      </w:r>
      <w:r>
        <w:t>C.H. Oldfather. 1914. London: William Heinemann LTD</w:t>
      </w:r>
    </w:p>
    <w:p w14:paraId="73D8F5F7" w14:textId="1CB8D9CF" w:rsidR="000841AD" w:rsidRPr="00CE06AF" w:rsidRDefault="000841AD" w:rsidP="00C60BDB">
      <w:pPr>
        <w:spacing w:line="360" w:lineRule="auto"/>
      </w:pPr>
      <w:r>
        <w:t xml:space="preserve">Justin. </w:t>
      </w:r>
      <w:r>
        <w:rPr>
          <w:i/>
        </w:rPr>
        <w:t xml:space="preserve">Epitome of Pompeius Trogus. </w:t>
      </w:r>
      <w:r w:rsidR="00CE06AF">
        <w:t>J. S. Watson. (trans). London: Covent Garden.</w:t>
      </w:r>
    </w:p>
    <w:p w14:paraId="42E82E65" w14:textId="6FCF8345" w:rsidR="00777F7A" w:rsidRPr="00777F7A" w:rsidRDefault="00777F7A" w:rsidP="00C60BDB">
      <w:pPr>
        <w:spacing w:line="360" w:lineRule="auto"/>
      </w:pPr>
      <w:r>
        <w:t xml:space="preserve">Lucian. </w:t>
      </w:r>
      <w:r w:rsidR="00842FF3">
        <w:rPr>
          <w:i/>
        </w:rPr>
        <w:t xml:space="preserve">Zeuxis </w:t>
      </w:r>
      <w:r>
        <w:rPr>
          <w:i/>
        </w:rPr>
        <w:t xml:space="preserve">and Antiochus. </w:t>
      </w:r>
      <w:r>
        <w:t>Loeb. (trans) 1914. Loeb. Loeb Classical Library.</w:t>
      </w:r>
    </w:p>
    <w:p w14:paraId="058FE394" w14:textId="4399C82F" w:rsidR="00777F7A" w:rsidRDefault="00777F7A" w:rsidP="00C60BDB">
      <w:pPr>
        <w:spacing w:line="360" w:lineRule="auto"/>
      </w:pPr>
      <w:r>
        <w:t xml:space="preserve">Pausanias. </w:t>
      </w:r>
      <w:r>
        <w:rPr>
          <w:i/>
        </w:rPr>
        <w:t xml:space="preserve">Description of Greece. </w:t>
      </w:r>
      <w:r>
        <w:t>W.H.S Jones. (trans). 1918. London: William Heinemann LTD.</w:t>
      </w:r>
    </w:p>
    <w:p w14:paraId="7DA17BE7" w14:textId="67F7263F" w:rsidR="000841AD" w:rsidRPr="00777F7A" w:rsidRDefault="000841AD" w:rsidP="00C60BDB">
      <w:pPr>
        <w:spacing w:line="360" w:lineRule="auto"/>
      </w:pPr>
      <w:r>
        <w:t xml:space="preserve">Polybius. </w:t>
      </w:r>
      <w:r>
        <w:rPr>
          <w:i/>
        </w:rPr>
        <w:t xml:space="preserve">The Histories. </w:t>
      </w:r>
      <w:r>
        <w:t>W.R. Paton. (trans) 2011. Cambridge, Massachusetts, Harvard University press</w:t>
      </w:r>
    </w:p>
    <w:p w14:paraId="78AA5609" w14:textId="33B4651B" w:rsidR="00842FF3" w:rsidRDefault="00777F7A" w:rsidP="00C60BDB">
      <w:pPr>
        <w:spacing w:line="360" w:lineRule="auto"/>
      </w:pPr>
      <w:r>
        <w:t xml:space="preserve">Strabo. </w:t>
      </w:r>
      <w:r>
        <w:rPr>
          <w:i/>
        </w:rPr>
        <w:t xml:space="preserve">Geographica. </w:t>
      </w:r>
      <w:r>
        <w:t>H. L. Jones. (trans) London: William Heinemann LTD</w:t>
      </w:r>
    </w:p>
    <w:p w14:paraId="03CA233E" w14:textId="75FCA747" w:rsidR="009F70BF" w:rsidRDefault="009F70BF" w:rsidP="00C60BDB">
      <w:pPr>
        <w:spacing w:line="360" w:lineRule="auto"/>
      </w:pPr>
      <w:r>
        <w:t>Modern Historiography:</w:t>
      </w:r>
    </w:p>
    <w:p w14:paraId="4552F636" w14:textId="7CA69627" w:rsidR="009F70BF" w:rsidRPr="009F70BF" w:rsidRDefault="009F70BF" w:rsidP="00C60BDB">
      <w:pPr>
        <w:spacing w:line="360" w:lineRule="auto"/>
      </w:pPr>
      <w:r>
        <w:t xml:space="preserve">Allen. (1983) </w:t>
      </w:r>
      <w:r>
        <w:rPr>
          <w:i/>
        </w:rPr>
        <w:t>The Attalid Kingdom</w:t>
      </w:r>
      <w:r>
        <w:t>. Oxford: Clarendon Press.</w:t>
      </w:r>
    </w:p>
    <w:p w14:paraId="30401367" w14:textId="4EC9CDF4" w:rsidR="0022752D" w:rsidRDefault="0022752D" w:rsidP="00C60BDB">
      <w:pPr>
        <w:spacing w:line="360" w:lineRule="auto"/>
      </w:pPr>
      <w:r>
        <w:t xml:space="preserve">Austin. (2006). </w:t>
      </w:r>
      <w:r>
        <w:rPr>
          <w:i/>
        </w:rPr>
        <w:t xml:space="preserve">The Hellenistic World from Alexander to the Roman conquest: A Selection of Ancient Sources in Translation. </w:t>
      </w:r>
      <w:r>
        <w:t>Cambridge Cambridge University Press.</w:t>
      </w:r>
    </w:p>
    <w:p w14:paraId="2EEED6D1" w14:textId="2715F873" w:rsidR="003B28E0" w:rsidRPr="003B28E0" w:rsidRDefault="003B28E0" w:rsidP="00C60BDB">
      <w:pPr>
        <w:spacing w:line="360" w:lineRule="auto"/>
      </w:pPr>
      <w:r>
        <w:t>Barbatani.</w:t>
      </w:r>
      <w:r w:rsidR="00213816">
        <w:t xml:space="preserve"> M.</w:t>
      </w:r>
      <w:r>
        <w:t xml:space="preserve"> (2011). </w:t>
      </w:r>
      <w:r>
        <w:rPr>
          <w:i/>
        </w:rPr>
        <w:t xml:space="preserve">Brill’s Companion to Callimachus. </w:t>
      </w:r>
      <w:r>
        <w:t>Leiden: Brill</w:t>
      </w:r>
    </w:p>
    <w:p w14:paraId="59281D44" w14:textId="73619783" w:rsidR="00153B6B" w:rsidRDefault="00153B6B" w:rsidP="00C60BDB">
      <w:pPr>
        <w:spacing w:line="360" w:lineRule="auto"/>
      </w:pPr>
      <w:r>
        <w:t xml:space="preserve">Bar-Kochva. B. (2002). </w:t>
      </w:r>
      <w:r w:rsidRPr="00153B6B">
        <w:rPr>
          <w:i/>
        </w:rPr>
        <w:t xml:space="preserve">Judas Maccabaeus: The Jewish Struggle </w:t>
      </w:r>
      <w:r w:rsidR="00A4431D" w:rsidRPr="00153B6B">
        <w:rPr>
          <w:i/>
        </w:rPr>
        <w:t>against</w:t>
      </w:r>
      <w:r w:rsidRPr="00153B6B">
        <w:rPr>
          <w:i/>
        </w:rPr>
        <w:t xml:space="preserve"> the Seleucids</w:t>
      </w:r>
      <w:r>
        <w:rPr>
          <w:i/>
        </w:rPr>
        <w:t xml:space="preserve">. </w:t>
      </w:r>
      <w:r>
        <w:t>Cambridge: Cambridge University Press</w:t>
      </w:r>
    </w:p>
    <w:p w14:paraId="01FE76BA" w14:textId="4E980643" w:rsidR="00794BFD" w:rsidRPr="00794BFD" w:rsidRDefault="00794BFD" w:rsidP="00C60BDB">
      <w:pPr>
        <w:spacing w:line="360" w:lineRule="auto"/>
      </w:pPr>
      <w:r>
        <w:t xml:space="preserve">Beek. A. (2015). </w:t>
      </w:r>
      <w:r w:rsidRPr="00794BFD">
        <w:rPr>
          <w:i/>
        </w:rPr>
        <w:t>Freelance Warfare and Illegitimacy: the Historians’ Portrayal of Bandits, Pirates, Mercenaries and Politicians</w:t>
      </w:r>
      <w:r>
        <w:rPr>
          <w:i/>
        </w:rPr>
        <w:t xml:space="preserve">. </w:t>
      </w:r>
      <w:r>
        <w:t>Minnieapolis: University of Minnesota Press</w:t>
      </w:r>
    </w:p>
    <w:p w14:paraId="2966B2FF" w14:textId="74D77E31" w:rsidR="00A4431D" w:rsidRDefault="00A4431D" w:rsidP="00C60BDB">
      <w:pPr>
        <w:spacing w:line="360" w:lineRule="auto"/>
      </w:pPr>
      <w:r>
        <w:t>Fischer-Bovet. C. (2014)</w:t>
      </w:r>
      <w:r w:rsidR="004D63B6">
        <w:t>.</w:t>
      </w:r>
      <w:r>
        <w:t xml:space="preserve"> </w:t>
      </w:r>
      <w:r>
        <w:rPr>
          <w:i/>
        </w:rPr>
        <w:t xml:space="preserve">The Ptolemaic Army. </w:t>
      </w:r>
      <w:r>
        <w:t>Oxford: Oxford University Press.</w:t>
      </w:r>
    </w:p>
    <w:p w14:paraId="39945EC9" w14:textId="662DA61C" w:rsidR="004D63B6" w:rsidRPr="004D63B6" w:rsidRDefault="004D63B6" w:rsidP="00C60BDB">
      <w:pPr>
        <w:spacing w:line="360" w:lineRule="auto"/>
      </w:pPr>
      <w:r>
        <w:t xml:space="preserve">Freeman. P. (2006).  </w:t>
      </w:r>
      <w:r w:rsidRPr="004D63B6">
        <w:rPr>
          <w:i/>
        </w:rPr>
        <w:t>The Philosopher and the Druids: A Journey Among the Ancient Celts</w:t>
      </w:r>
      <w:r>
        <w:rPr>
          <w:i/>
        </w:rPr>
        <w:t xml:space="preserve">. </w:t>
      </w:r>
      <w:r>
        <w:t>New York Simon and Schuster</w:t>
      </w:r>
    </w:p>
    <w:p w14:paraId="0D8111FA" w14:textId="3ADAE930" w:rsidR="0019358D" w:rsidRDefault="00814274" w:rsidP="00C60BDB">
      <w:pPr>
        <w:spacing w:line="360" w:lineRule="auto"/>
      </w:pPr>
      <w:r w:rsidRPr="00814274">
        <w:t xml:space="preserve">Getzel M. (1995). </w:t>
      </w:r>
      <w:r w:rsidRPr="00814274">
        <w:rPr>
          <w:i/>
        </w:rPr>
        <w:t>The Hellenistic Settlements in Europe, the Islands, and Asia Minor</w:t>
      </w:r>
      <w:r w:rsidRPr="00814274">
        <w:t>.</w:t>
      </w:r>
      <w:r w:rsidR="00A3024C">
        <w:t xml:space="preserve"> Berkeley</w:t>
      </w:r>
      <w:r w:rsidRPr="00814274">
        <w:t xml:space="preserve"> University of California Press. </w:t>
      </w:r>
    </w:p>
    <w:p w14:paraId="7B30A21D" w14:textId="5E0257B2" w:rsidR="00012E91" w:rsidRDefault="00012E91" w:rsidP="00C60BDB">
      <w:pPr>
        <w:spacing w:line="360" w:lineRule="auto"/>
      </w:pPr>
      <w:r>
        <w:t xml:space="preserve">Kosmetatou. (2003). </w:t>
      </w:r>
      <w:r w:rsidRPr="00012E91">
        <w:rPr>
          <w:i/>
        </w:rPr>
        <w:t>in A Companion to the Hellenistic World</w:t>
      </w:r>
      <w:r>
        <w:rPr>
          <w:i/>
        </w:rPr>
        <w:t xml:space="preserve">. </w:t>
      </w:r>
      <w:r>
        <w:t>E.d Erksine. A. Malden: Blackwell Publishing.</w:t>
      </w:r>
    </w:p>
    <w:p w14:paraId="46FFA230" w14:textId="3D066BA3" w:rsidR="0019358D" w:rsidRPr="0019358D" w:rsidRDefault="0019358D" w:rsidP="00C60BDB">
      <w:pPr>
        <w:spacing w:line="360" w:lineRule="auto"/>
      </w:pPr>
      <w:r>
        <w:t xml:space="preserve">Tunny. J.A. (2000). </w:t>
      </w:r>
      <w:r w:rsidRPr="0019358D">
        <w:rPr>
          <w:i/>
        </w:rPr>
        <w:t>Ptolemy "The Son" Reconsidered: Are There Too Many Ptolemies?</w:t>
      </w:r>
      <w:r>
        <w:t xml:space="preserve"> Bonn. </w:t>
      </w:r>
      <w:r w:rsidRPr="0019358D">
        <w:t>Dr. Rudolf Habelt GmbH</w:t>
      </w:r>
    </w:p>
    <w:p w14:paraId="6317C272" w14:textId="3C2AFAB2" w:rsidR="00794BFD" w:rsidRPr="00794BFD" w:rsidRDefault="00794BFD" w:rsidP="00C60BDB">
      <w:pPr>
        <w:spacing w:line="360" w:lineRule="auto"/>
      </w:pPr>
      <w:r>
        <w:t xml:space="preserve">Haywood. J. (2014). </w:t>
      </w:r>
      <w:r w:rsidRPr="00794BFD">
        <w:rPr>
          <w:i/>
        </w:rPr>
        <w:t>The Celts: Bronze Age to New Age</w:t>
      </w:r>
      <w:r>
        <w:rPr>
          <w:i/>
        </w:rPr>
        <w:t xml:space="preserve">. </w:t>
      </w:r>
      <w:r>
        <w:t>London: Routledge</w:t>
      </w:r>
    </w:p>
    <w:p w14:paraId="6F63330E" w14:textId="27AA4643" w:rsidR="0022752D" w:rsidRDefault="0022752D" w:rsidP="00C60BDB">
      <w:pPr>
        <w:spacing w:line="360" w:lineRule="auto"/>
      </w:pPr>
      <w:r>
        <w:t xml:space="preserve">Hazzard. R. A. (2000). </w:t>
      </w:r>
      <w:r>
        <w:rPr>
          <w:i/>
        </w:rPr>
        <w:t xml:space="preserve">Imagination of a monarchy: Studies in Ptolemaic Propaganda. </w:t>
      </w:r>
      <w:r>
        <w:t>Toronto: Toronto Press Incorporated.</w:t>
      </w:r>
    </w:p>
    <w:p w14:paraId="4A563DA6" w14:textId="53EF94F1" w:rsidR="00D5247B" w:rsidRPr="00D5247B" w:rsidRDefault="00D5247B" w:rsidP="00C60BDB">
      <w:pPr>
        <w:spacing w:line="360" w:lineRule="auto"/>
      </w:pPr>
      <w:r>
        <w:t xml:space="preserve">Heinen. H. (1984) in </w:t>
      </w:r>
      <w:r>
        <w:rPr>
          <w:i/>
        </w:rPr>
        <w:t>The Syrian-Egyptian Wars and the new Kingdoms of Asia Minor.</w:t>
      </w:r>
      <w:r>
        <w:t xml:space="preserve"> Cambridge. The Cambridge Ancient History</w:t>
      </w:r>
    </w:p>
    <w:p w14:paraId="7DDBF6F7" w14:textId="057E28E2" w:rsidR="0022752D" w:rsidRPr="0022752D" w:rsidRDefault="0022752D" w:rsidP="00C60BDB">
      <w:pPr>
        <w:spacing w:line="360" w:lineRule="auto"/>
      </w:pPr>
      <w:r>
        <w:t xml:space="preserve">Herm. G. (1975). </w:t>
      </w:r>
      <w:r>
        <w:rPr>
          <w:i/>
        </w:rPr>
        <w:t xml:space="preserve">The Celts: The people who came out of the darkness. </w:t>
      </w:r>
      <w:r>
        <w:t>London: Weidenfeld and Nicolson.</w:t>
      </w:r>
    </w:p>
    <w:p w14:paraId="0E759B15" w14:textId="6F80BFB9" w:rsidR="008B6870" w:rsidRDefault="008B6870" w:rsidP="00C60BDB">
      <w:pPr>
        <w:spacing w:line="360" w:lineRule="auto"/>
      </w:pPr>
      <w:r>
        <w:t>Hinds. K. (2009)</w:t>
      </w:r>
      <w:r w:rsidRPr="008B6870">
        <w:t xml:space="preserve">. </w:t>
      </w:r>
      <w:r w:rsidRPr="008B6870">
        <w:rPr>
          <w:i/>
        </w:rPr>
        <w:t>Ancient Celts: Europe's Tribal Ancestors</w:t>
      </w:r>
      <w:r>
        <w:rPr>
          <w:i/>
        </w:rPr>
        <w:t xml:space="preserve">. </w:t>
      </w:r>
      <w:r>
        <w:t>Singapore. Marshall Cavendish.</w:t>
      </w:r>
    </w:p>
    <w:p w14:paraId="39481E5C" w14:textId="23BB4C5C" w:rsidR="0022752D" w:rsidRPr="0022752D" w:rsidRDefault="0022752D" w:rsidP="00C60BDB">
      <w:pPr>
        <w:spacing w:line="360" w:lineRule="auto"/>
      </w:pPr>
      <w:r>
        <w:t xml:space="preserve">Holbl. G. (2001). </w:t>
      </w:r>
      <w:r>
        <w:rPr>
          <w:i/>
        </w:rPr>
        <w:t xml:space="preserve">A History of the Ptolemaic Empire. </w:t>
      </w:r>
      <w:r>
        <w:t xml:space="preserve">London: Routledge. </w:t>
      </w:r>
    </w:p>
    <w:p w14:paraId="0760F9D3" w14:textId="769A3E57" w:rsidR="00114024" w:rsidRDefault="00114024" w:rsidP="00C60BDB">
      <w:pPr>
        <w:spacing w:line="360" w:lineRule="auto"/>
      </w:pPr>
      <w:r>
        <w:t xml:space="preserve">Howard. S. (1983). </w:t>
      </w:r>
      <w:r w:rsidRPr="00114024">
        <w:rPr>
          <w:i/>
        </w:rPr>
        <w:t>The Dying Gaul, Aigina Warriors, and Pergamene Academicism</w:t>
      </w:r>
      <w:r>
        <w:rPr>
          <w:i/>
        </w:rPr>
        <w:t xml:space="preserve">. </w:t>
      </w:r>
      <w:r>
        <w:t xml:space="preserve">Boston. </w:t>
      </w:r>
      <w:r w:rsidR="00153B6B" w:rsidRPr="00153B6B">
        <w:t>Archaeological Institute of America</w:t>
      </w:r>
    </w:p>
    <w:p w14:paraId="16567AD5" w14:textId="4BB10EA8" w:rsidR="0060341F" w:rsidRDefault="00AF422C" w:rsidP="00C60BDB">
      <w:pPr>
        <w:spacing w:line="360" w:lineRule="auto"/>
      </w:pPr>
      <w:r>
        <w:t xml:space="preserve">Hubert. H. (1934). </w:t>
      </w:r>
      <w:r w:rsidRPr="00AF422C">
        <w:rPr>
          <w:i/>
        </w:rPr>
        <w:t>The Greatness and Decline of the Celts.</w:t>
      </w:r>
      <w:r>
        <w:rPr>
          <w:i/>
        </w:rPr>
        <w:t xml:space="preserve"> </w:t>
      </w:r>
      <w:r>
        <w:t>London. Kegan Paul Trench Turner &amp; CO.</w:t>
      </w:r>
    </w:p>
    <w:p w14:paraId="628C2D47" w14:textId="57409DE3" w:rsidR="0022752D" w:rsidRPr="0022752D" w:rsidRDefault="0022752D" w:rsidP="00C60BDB">
      <w:pPr>
        <w:spacing w:line="360" w:lineRule="auto"/>
      </w:pPr>
      <w:r>
        <w:t xml:space="preserve">James. S. (1993) </w:t>
      </w:r>
      <w:r>
        <w:rPr>
          <w:i/>
        </w:rPr>
        <w:t xml:space="preserve">Exploring the world of the Celts. </w:t>
      </w:r>
      <w:r>
        <w:t>London.</w:t>
      </w:r>
      <w:r>
        <w:rPr>
          <w:i/>
        </w:rPr>
        <w:t xml:space="preserve"> </w:t>
      </w:r>
      <w:r>
        <w:t>Thames and Hudson</w:t>
      </w:r>
    </w:p>
    <w:p w14:paraId="74B28C0D" w14:textId="2BAAA6B6" w:rsidR="0022752D" w:rsidRDefault="0022752D" w:rsidP="00C60BDB">
      <w:pPr>
        <w:spacing w:line="360" w:lineRule="auto"/>
      </w:pPr>
      <w:r>
        <w:t xml:space="preserve">Metzger. H. (1969). </w:t>
      </w:r>
      <w:r>
        <w:rPr>
          <w:i/>
        </w:rPr>
        <w:t>Anatolia II: First Millennium B.C to the end of the Roman Period</w:t>
      </w:r>
      <w:r>
        <w:t>. Geneva Nagel Publishers</w:t>
      </w:r>
    </w:p>
    <w:p w14:paraId="4CCA5814" w14:textId="380C5D43" w:rsidR="00EF32A6" w:rsidRDefault="00EF32A6" w:rsidP="00C60BDB">
      <w:pPr>
        <w:spacing w:line="360" w:lineRule="auto"/>
      </w:pPr>
      <w:r>
        <w:t xml:space="preserve">Mitchell. S. (2003) in </w:t>
      </w:r>
      <w:r>
        <w:rPr>
          <w:i/>
        </w:rPr>
        <w:t xml:space="preserve">A Companion to the Hellenistic World. </w:t>
      </w:r>
      <w:r>
        <w:t>E.d Erksine. A. Malden: Blackwell Publishing.</w:t>
      </w:r>
    </w:p>
    <w:p w14:paraId="4D62AD07" w14:textId="5FF00E32" w:rsidR="002E2CF0" w:rsidRPr="002E2CF0" w:rsidRDefault="002E2CF0" w:rsidP="00C60BDB">
      <w:pPr>
        <w:spacing w:line="360" w:lineRule="auto"/>
      </w:pPr>
      <w:r>
        <w:t xml:space="preserve">Momilgliano. A. </w:t>
      </w:r>
      <w:r w:rsidRPr="002E2CF0">
        <w:rPr>
          <w:i/>
        </w:rPr>
        <w:t>Alien Wisdom: The Limits of Hellenization</w:t>
      </w:r>
      <w:r>
        <w:rPr>
          <w:i/>
        </w:rPr>
        <w:t xml:space="preserve">. </w:t>
      </w:r>
      <w:r>
        <w:t>Cambridge: Cambridge University Press</w:t>
      </w:r>
    </w:p>
    <w:p w14:paraId="79DACC61" w14:textId="77777777" w:rsidR="006B1327" w:rsidRDefault="001852EE" w:rsidP="00C60BDB">
      <w:pPr>
        <w:spacing w:line="360" w:lineRule="auto"/>
      </w:pPr>
      <w:r>
        <w:t xml:space="preserve">Rankin. D. (1996). </w:t>
      </w:r>
      <w:r>
        <w:rPr>
          <w:i/>
        </w:rPr>
        <w:t xml:space="preserve">Celts and the Classical World. </w:t>
      </w:r>
      <w:r>
        <w:t>London: Routledge</w:t>
      </w:r>
    </w:p>
    <w:p w14:paraId="3C1423BE" w14:textId="77777777" w:rsidR="002E2CF0" w:rsidRDefault="006B1327" w:rsidP="00C60BDB">
      <w:pPr>
        <w:spacing w:line="360" w:lineRule="auto"/>
      </w:pPr>
      <w:r>
        <w:t xml:space="preserve">Sacks. K. (2014). </w:t>
      </w:r>
      <w:r w:rsidRPr="006B1327">
        <w:rPr>
          <w:i/>
        </w:rPr>
        <w:t>Diodorus Siculus and the First Century</w:t>
      </w:r>
      <w:r>
        <w:rPr>
          <w:i/>
        </w:rPr>
        <w:t xml:space="preserve">. </w:t>
      </w:r>
      <w:r>
        <w:t>Princeton: Princeton University Press</w:t>
      </w:r>
    </w:p>
    <w:p w14:paraId="2484195C" w14:textId="0B68D5B4" w:rsidR="00012E91" w:rsidRDefault="002E2CF0" w:rsidP="00C60BDB">
      <w:pPr>
        <w:spacing w:line="360" w:lineRule="auto"/>
      </w:pPr>
      <w:r>
        <w:t xml:space="preserve">Sherwin-White and Kuhrt. A. (1993) </w:t>
      </w:r>
      <w:r w:rsidRPr="002E2CF0">
        <w:rPr>
          <w:i/>
        </w:rPr>
        <w:t>From Samarkhand to Sardis: A New Approach to the Seleucid Empire</w:t>
      </w:r>
      <w:r>
        <w:rPr>
          <w:i/>
        </w:rPr>
        <w:t xml:space="preserve">. </w:t>
      </w:r>
      <w:r>
        <w:t xml:space="preserve">Berkeley: University of California Press. </w:t>
      </w:r>
    </w:p>
    <w:p w14:paraId="4FDB0673" w14:textId="6493DFD5" w:rsidR="00012E91" w:rsidRPr="00012E91" w:rsidRDefault="00012E91" w:rsidP="00C60BDB">
      <w:pPr>
        <w:spacing w:line="360" w:lineRule="auto"/>
      </w:pPr>
      <w:r>
        <w:t xml:space="preserve">Taylor. M. (2013). </w:t>
      </w:r>
      <w:r w:rsidRPr="00012E91">
        <w:rPr>
          <w:i/>
        </w:rPr>
        <w:t>Antiochus the Great</w:t>
      </w:r>
      <w:r>
        <w:rPr>
          <w:i/>
        </w:rPr>
        <w:t xml:space="preserve">. </w:t>
      </w:r>
      <w:r>
        <w:t>Barnesly: Pen and Sword Military.</w:t>
      </w:r>
    </w:p>
    <w:p w14:paraId="13619A8B" w14:textId="7969820F" w:rsidR="00056493" w:rsidRPr="00056493" w:rsidRDefault="00056493" w:rsidP="00C60BDB">
      <w:pPr>
        <w:spacing w:line="360" w:lineRule="auto"/>
        <w:rPr>
          <w:u w:val="single"/>
        </w:rPr>
      </w:pPr>
      <w:r>
        <w:t xml:space="preserve">Xie. Q. (2016). </w:t>
      </w:r>
      <w:r w:rsidRPr="00056493">
        <w:rPr>
          <w:i/>
        </w:rPr>
        <w:t>The Ethnic Identity and Redefinition of the Galatians in the Hellenistic World</w:t>
      </w:r>
      <w:r>
        <w:rPr>
          <w:i/>
        </w:rPr>
        <w:t xml:space="preserve">. </w:t>
      </w:r>
      <w:r>
        <w:t>Durham: University of New Hampshire Press</w:t>
      </w:r>
    </w:p>
    <w:sectPr w:rsidR="00056493" w:rsidRPr="00056493">
      <w:pgSz w:w="11906" w:h="16838"/>
      <w:pgMar w:top="1440" w:right="1440" w:bottom="1440" w:left="1440" w:header="708" w:footer="708"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1F5BC9C" w16cid:durableId="20B38AAD"/>
  <w16cid:commentId w16cid:paraId="00000044" w16cid:durableId="20B38A76"/>
  <w16cid:commentId w16cid:paraId="2590DD4B" w16cid:durableId="20B38ACB"/>
  <w16cid:commentId w16cid:paraId="5D7EFAB5" w16cid:durableId="20B38AF3"/>
  <w16cid:commentId w16cid:paraId="0000003C" w16cid:durableId="20B38A77"/>
  <w16cid:commentId w16cid:paraId="00000045" w16cid:durableId="20B38A78"/>
  <w16cid:commentId w16cid:paraId="0000003B" w16cid:durableId="20B38A79"/>
  <w16cid:commentId w16cid:paraId="00000030" w16cid:durableId="20B38A7A"/>
  <w16cid:commentId w16cid:paraId="0000003A" w16cid:durableId="20B38A7B"/>
  <w16cid:commentId w16cid:paraId="00000047" w16cid:durableId="20B38A7C"/>
  <w16cid:commentId w16cid:paraId="00000039" w16cid:durableId="20B38A7D"/>
  <w16cid:commentId w16cid:paraId="00000034" w16cid:durableId="20B38A7E"/>
  <w16cid:commentId w16cid:paraId="00000040" w16cid:durableId="20B38A7F"/>
  <w16cid:commentId w16cid:paraId="00000042" w16cid:durableId="20B38A80"/>
  <w16cid:commentId w16cid:paraId="0000002E" w16cid:durableId="20B38A81"/>
  <w16cid:commentId w16cid:paraId="0000002F" w16cid:durableId="20B38A82"/>
  <w16cid:commentId w16cid:paraId="5D68D452" w16cid:durableId="20B38A83"/>
  <w16cid:commentId w16cid:paraId="105A5F8B" w16cid:durableId="20B38B3F"/>
  <w16cid:commentId w16cid:paraId="0000003F" w16cid:durableId="20B38A84"/>
  <w16cid:commentId w16cid:paraId="00000035" w16cid:durableId="20B38A85"/>
  <w16cid:commentId w16cid:paraId="00000032" w16cid:durableId="20B38A86"/>
  <w16cid:commentId w16cid:paraId="4B230AED" w16cid:durableId="20B38BBC"/>
  <w16cid:commentId w16cid:paraId="1902EB59" w16cid:durableId="20B38A87"/>
  <w16cid:commentId w16cid:paraId="50CCA695" w16cid:durableId="20B38BB3"/>
  <w16cid:commentId w16cid:paraId="1647AD4C" w16cid:durableId="20B38BD8"/>
  <w16cid:commentId w16cid:paraId="00000031" w16cid:durableId="20B38A88"/>
  <w16cid:commentId w16cid:paraId="0000003D" w16cid:durableId="20B38A89"/>
  <w16cid:commentId w16cid:paraId="4776C72A" w16cid:durableId="20B38A8A"/>
  <w16cid:commentId w16cid:paraId="6FDFDA2A" w16cid:durableId="20B38BF4"/>
  <w16cid:commentId w16cid:paraId="57FE483D" w16cid:durableId="20B38C22"/>
  <w16cid:commentId w16cid:paraId="0000003E" w16cid:durableId="20B38A8B"/>
  <w16cid:commentId w16cid:paraId="3579CE5C" w16cid:durableId="20B38C4A"/>
  <w16cid:commentId w16cid:paraId="0CAED062" w16cid:durableId="20B38A8C"/>
  <w16cid:commentId w16cid:paraId="6052D65B" w16cid:durableId="20B38A8D"/>
  <w16cid:commentId w16cid:paraId="00000033" w16cid:durableId="20B38A8E"/>
  <w16cid:commentId w16cid:paraId="00000036" w16cid:durableId="20B38A8F"/>
  <w16cid:commentId w16cid:paraId="00000043" w16cid:durableId="20B38A90"/>
  <w16cid:commentId w16cid:paraId="00000048" w16cid:durableId="20B38A91"/>
  <w16cid:commentId w16cid:paraId="0000002D" w16cid:durableId="20B38A92"/>
  <w16cid:commentId w16cid:paraId="00000037" w16cid:durableId="20B38A93"/>
  <w16cid:commentId w16cid:paraId="5E0D551F" w16cid:durableId="20B38A94"/>
  <w16cid:commentId w16cid:paraId="00000041" w16cid:durableId="20B38A95"/>
  <w16cid:commentId w16cid:paraId="3D3B671A" w16cid:durableId="20B38A96"/>
  <w16cid:commentId w16cid:paraId="00000046" w16cid:durableId="20B38A97"/>
  <w16cid:commentId w16cid:paraId="1C5FD9E4" w16cid:durableId="20B38A98"/>
  <w16cid:commentId w16cid:paraId="0DBCDB6A" w16cid:durableId="20B38A99"/>
  <w16cid:commentId w16cid:paraId="3D90CC0F" w16cid:durableId="20B38CEC"/>
  <w16cid:commentId w16cid:paraId="2F167D86" w16cid:durableId="20B38A9A"/>
  <w16cid:commentId w16cid:paraId="62315789" w16cid:durableId="20B38A9B"/>
  <w16cid:commentId w16cid:paraId="7AE5E9D0" w16cid:durableId="20B38A9C"/>
  <w16cid:commentId w16cid:paraId="0815BE0C" w16cid:durableId="20B38A9D"/>
  <w16cid:commentId w16cid:paraId="74D17AA7" w16cid:durableId="20B38A9E"/>
  <w16cid:commentId w16cid:paraId="6315F4E4" w16cid:durableId="20B38A9F"/>
  <w16cid:commentId w16cid:paraId="72529CDD" w16cid:durableId="20B38AA0"/>
  <w16cid:commentId w16cid:paraId="3C986A87" w16cid:durableId="20B38AA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728679" w14:textId="77777777" w:rsidR="002B53E2" w:rsidRDefault="002B53E2">
      <w:pPr>
        <w:spacing w:after="0" w:line="240" w:lineRule="auto"/>
      </w:pPr>
      <w:r>
        <w:separator/>
      </w:r>
    </w:p>
  </w:endnote>
  <w:endnote w:type="continuationSeparator" w:id="0">
    <w:p w14:paraId="0645ABC2" w14:textId="77777777" w:rsidR="002B53E2" w:rsidRDefault="002B5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125F96" w14:textId="77777777" w:rsidR="002B53E2" w:rsidRDefault="002B53E2">
      <w:pPr>
        <w:spacing w:after="0" w:line="240" w:lineRule="auto"/>
      </w:pPr>
      <w:r>
        <w:separator/>
      </w:r>
    </w:p>
  </w:footnote>
  <w:footnote w:type="continuationSeparator" w:id="0">
    <w:p w14:paraId="09A2F649" w14:textId="77777777" w:rsidR="002B53E2" w:rsidRDefault="002B53E2">
      <w:pPr>
        <w:spacing w:after="0" w:line="240" w:lineRule="auto"/>
      </w:pPr>
      <w:r>
        <w:continuationSeparator/>
      </w:r>
    </w:p>
  </w:footnote>
  <w:footnote w:id="1">
    <w:p w14:paraId="641B0865" w14:textId="77777777" w:rsidR="008C5C38" w:rsidRDefault="008C5C38" w:rsidP="008C5C38">
      <w:pPr>
        <w:pStyle w:val="FootnoteText"/>
      </w:pPr>
      <w:r>
        <w:rPr>
          <w:rStyle w:val="FootnoteReference"/>
        </w:rPr>
        <w:footnoteRef/>
      </w:r>
      <w:r>
        <w:t xml:space="preserve"> Luc. 2.94</w:t>
      </w:r>
    </w:p>
  </w:footnote>
  <w:footnote w:id="2">
    <w:p w14:paraId="7C1E0100" w14:textId="23899DEC" w:rsidR="008C5C38" w:rsidRDefault="008C5C38" w:rsidP="008C5C38">
      <w:pPr>
        <w:pStyle w:val="FootnoteText"/>
      </w:pPr>
      <w:r>
        <w:rPr>
          <w:rStyle w:val="FootnoteReference"/>
        </w:rPr>
        <w:footnoteRef/>
      </w:r>
      <w:r>
        <w:t xml:space="preserve"> Hinds 200</w:t>
      </w:r>
      <w:r w:rsidR="0019358D">
        <w:t>9</w:t>
      </w:r>
      <w:r>
        <w:t>. 38</w:t>
      </w:r>
    </w:p>
  </w:footnote>
  <w:footnote w:id="3">
    <w:p w14:paraId="261955F0" w14:textId="717C3601" w:rsidR="008C5C38" w:rsidRDefault="008C5C38" w:rsidP="008C5C38">
      <w:pPr>
        <w:pStyle w:val="FootnoteText"/>
      </w:pPr>
      <w:r>
        <w:rPr>
          <w:rStyle w:val="FootnoteReference"/>
        </w:rPr>
        <w:footnoteRef/>
      </w:r>
      <w:r>
        <w:t xml:space="preserve"> Paus. 10. 5. 3</w:t>
      </w:r>
    </w:p>
  </w:footnote>
  <w:footnote w:id="4">
    <w:p w14:paraId="7FE1394F" w14:textId="044D128F" w:rsidR="00582F23" w:rsidRDefault="00582F23">
      <w:pPr>
        <w:pStyle w:val="FootnoteText"/>
      </w:pPr>
      <w:r>
        <w:rPr>
          <w:rStyle w:val="FootnoteReference"/>
        </w:rPr>
        <w:footnoteRef/>
      </w:r>
      <w:r>
        <w:t xml:space="preserve"> Paus. 10. 19-23</w:t>
      </w:r>
    </w:p>
  </w:footnote>
  <w:footnote w:id="5">
    <w:p w14:paraId="34DAABBF" w14:textId="508F7F39" w:rsidR="001852EE" w:rsidRDefault="001852EE">
      <w:pPr>
        <w:pStyle w:val="FootnoteText"/>
      </w:pPr>
      <w:r>
        <w:rPr>
          <w:rStyle w:val="FootnoteReference"/>
        </w:rPr>
        <w:footnoteRef/>
      </w:r>
      <w:r>
        <w:t xml:space="preserve"> Rankin. 1996. 15</w:t>
      </w:r>
    </w:p>
  </w:footnote>
  <w:footnote w:id="6">
    <w:p w14:paraId="77D6A727" w14:textId="1E25B555" w:rsidR="00D5247B" w:rsidRDefault="00D5247B">
      <w:pPr>
        <w:pStyle w:val="FootnoteText"/>
      </w:pPr>
      <w:r>
        <w:rPr>
          <w:rStyle w:val="FootnoteReference"/>
        </w:rPr>
        <w:footnoteRef/>
      </w:r>
      <w:r>
        <w:t xml:space="preserve"> Heinen. 1984. 425</w:t>
      </w:r>
    </w:p>
  </w:footnote>
  <w:footnote w:id="7">
    <w:p w14:paraId="745F3F60" w14:textId="202FBB30" w:rsidR="001852EE" w:rsidRDefault="001852EE">
      <w:pPr>
        <w:pStyle w:val="FootnoteText"/>
      </w:pPr>
      <w:r>
        <w:rPr>
          <w:rStyle w:val="FootnoteReference"/>
        </w:rPr>
        <w:footnoteRef/>
      </w:r>
      <w:r>
        <w:t xml:space="preserve"> Stra. 12. 3</w:t>
      </w:r>
    </w:p>
  </w:footnote>
  <w:footnote w:id="8">
    <w:p w14:paraId="71B59108" w14:textId="655834E4" w:rsidR="001852EE" w:rsidRDefault="001852EE">
      <w:pPr>
        <w:pStyle w:val="FootnoteText"/>
      </w:pPr>
      <w:r>
        <w:rPr>
          <w:rStyle w:val="FootnoteReference"/>
        </w:rPr>
        <w:footnoteRef/>
      </w:r>
      <w:r>
        <w:t xml:space="preserve"> Paus. 10. 15. 3</w:t>
      </w:r>
    </w:p>
  </w:footnote>
  <w:footnote w:id="9">
    <w:p w14:paraId="15E3443F" w14:textId="6C6926D9" w:rsidR="001852EE" w:rsidRDefault="001852EE">
      <w:pPr>
        <w:pStyle w:val="FootnoteText"/>
      </w:pPr>
      <w:r>
        <w:rPr>
          <w:rStyle w:val="FootnoteReference"/>
        </w:rPr>
        <w:footnoteRef/>
      </w:r>
      <w:r>
        <w:t xml:space="preserve"> Luc. 2. 94</w:t>
      </w:r>
    </w:p>
  </w:footnote>
  <w:footnote w:id="10">
    <w:p w14:paraId="550F3C28" w14:textId="026A882D" w:rsidR="001852EE" w:rsidRDefault="001852EE">
      <w:pPr>
        <w:pStyle w:val="FootnoteText"/>
      </w:pPr>
      <w:r>
        <w:rPr>
          <w:rStyle w:val="FootnoteReference"/>
        </w:rPr>
        <w:footnoteRef/>
      </w:r>
      <w:r>
        <w:t xml:space="preserve"> Paus. 10. 12. 5</w:t>
      </w:r>
    </w:p>
  </w:footnote>
  <w:footnote w:id="11">
    <w:p w14:paraId="2DF1C89C" w14:textId="5A7C0430" w:rsidR="001852EE" w:rsidRDefault="001852EE">
      <w:pPr>
        <w:pStyle w:val="FootnoteText"/>
      </w:pPr>
      <w:r>
        <w:rPr>
          <w:rStyle w:val="FootnoteReference"/>
        </w:rPr>
        <w:footnoteRef/>
      </w:r>
      <w:r>
        <w:t xml:space="preserve"> Paus. 10. 15. 3</w:t>
      </w:r>
    </w:p>
  </w:footnote>
  <w:footnote w:id="12">
    <w:p w14:paraId="00F2DCDE" w14:textId="70E72D8F" w:rsidR="001852EE" w:rsidRDefault="001852EE">
      <w:pPr>
        <w:pStyle w:val="FootnoteText"/>
      </w:pPr>
      <w:r>
        <w:rPr>
          <w:rStyle w:val="FootnoteReference"/>
        </w:rPr>
        <w:footnoteRef/>
      </w:r>
      <w:r>
        <w:t xml:space="preserve"> Rankin. 1993. 15</w:t>
      </w:r>
    </w:p>
  </w:footnote>
  <w:footnote w:id="13">
    <w:p w14:paraId="3A19DE95" w14:textId="23B4F253" w:rsidR="00582F23" w:rsidRDefault="00582F23">
      <w:pPr>
        <w:pStyle w:val="FootnoteText"/>
      </w:pPr>
      <w:r>
        <w:rPr>
          <w:rStyle w:val="FootnoteReference"/>
        </w:rPr>
        <w:footnoteRef/>
      </w:r>
      <w:r>
        <w:t xml:space="preserve"> Fischer-Bovet. 2014. 139</w:t>
      </w:r>
    </w:p>
  </w:footnote>
  <w:footnote w:id="14">
    <w:p w14:paraId="277C8FCF" w14:textId="73F0AD89" w:rsidR="0019358D" w:rsidRDefault="0019358D">
      <w:pPr>
        <w:pStyle w:val="FootnoteText"/>
      </w:pPr>
      <w:r>
        <w:rPr>
          <w:rStyle w:val="FootnoteReference"/>
        </w:rPr>
        <w:footnoteRef/>
      </w:r>
      <w:r>
        <w:t xml:space="preserve"> Holbl. 2001. 36</w:t>
      </w:r>
    </w:p>
  </w:footnote>
  <w:footnote w:id="15">
    <w:p w14:paraId="1A405E36" w14:textId="77777777" w:rsidR="0058741C" w:rsidRDefault="0058741C" w:rsidP="0058741C">
      <w:pPr>
        <w:pStyle w:val="FootnoteText"/>
      </w:pPr>
      <w:r>
        <w:rPr>
          <w:rStyle w:val="FootnoteReference"/>
        </w:rPr>
        <w:footnoteRef/>
      </w:r>
      <w:r>
        <w:t xml:space="preserve"> Holbl. 2001. 24</w:t>
      </w:r>
    </w:p>
  </w:footnote>
  <w:footnote w:id="16">
    <w:p w14:paraId="15505CF2" w14:textId="7D047C80" w:rsidR="0019358D" w:rsidRDefault="0019358D">
      <w:pPr>
        <w:pStyle w:val="FootnoteText"/>
      </w:pPr>
      <w:r>
        <w:rPr>
          <w:rStyle w:val="FootnoteReference"/>
        </w:rPr>
        <w:footnoteRef/>
      </w:r>
      <w:r>
        <w:t xml:space="preserve"> Tunny. 2000. 86</w:t>
      </w:r>
    </w:p>
  </w:footnote>
  <w:footnote w:id="17">
    <w:p w14:paraId="21A93A60" w14:textId="4FDFD250" w:rsidR="00D5537D" w:rsidRDefault="00D5537D">
      <w:pPr>
        <w:pStyle w:val="FootnoteText"/>
      </w:pPr>
      <w:r>
        <w:rPr>
          <w:rStyle w:val="FootnoteReference"/>
        </w:rPr>
        <w:footnoteRef/>
      </w:r>
      <w:r>
        <w:t xml:space="preserve"> Rankin. 1996. 30</w:t>
      </w:r>
    </w:p>
  </w:footnote>
  <w:footnote w:id="18">
    <w:p w14:paraId="3593BEDB" w14:textId="05F58528" w:rsidR="00794BFD" w:rsidRDefault="00794BFD">
      <w:pPr>
        <w:pStyle w:val="FootnoteText"/>
      </w:pPr>
      <w:r>
        <w:rPr>
          <w:rStyle w:val="FootnoteReference"/>
        </w:rPr>
        <w:footnoteRef/>
      </w:r>
      <w:r>
        <w:t xml:space="preserve"> Haywood. 2014. 31</w:t>
      </w:r>
    </w:p>
  </w:footnote>
  <w:footnote w:id="19">
    <w:p w14:paraId="326AFD28" w14:textId="77777777" w:rsidR="0058741C" w:rsidRDefault="0058741C" w:rsidP="0058741C">
      <w:pPr>
        <w:pStyle w:val="FootnoteText"/>
      </w:pPr>
      <w:r>
        <w:rPr>
          <w:rStyle w:val="FootnoteReference"/>
        </w:rPr>
        <w:footnoteRef/>
      </w:r>
      <w:r>
        <w:t xml:space="preserve"> Rankin. 1996. 188</w:t>
      </w:r>
    </w:p>
  </w:footnote>
  <w:footnote w:id="20">
    <w:p w14:paraId="7D16E589" w14:textId="49452D4D" w:rsidR="00EF32A6" w:rsidRDefault="00EF32A6">
      <w:pPr>
        <w:pStyle w:val="FootnoteText"/>
      </w:pPr>
      <w:r>
        <w:rPr>
          <w:rStyle w:val="FootnoteReference"/>
        </w:rPr>
        <w:footnoteRef/>
      </w:r>
      <w:r w:rsidR="006B1327">
        <w:t xml:space="preserve"> Barbatani. 2004</w:t>
      </w:r>
      <w:r>
        <w:t>. 171</w:t>
      </w:r>
    </w:p>
  </w:footnote>
  <w:footnote w:id="21">
    <w:p w14:paraId="00000028" w14:textId="77777777" w:rsidR="004F4B44" w:rsidRDefault="00D74D48">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Diod. 5. 28</w:t>
      </w:r>
    </w:p>
  </w:footnote>
  <w:footnote w:id="22">
    <w:p w14:paraId="4A5BAE55" w14:textId="3CD803F9" w:rsidR="00CF3C48" w:rsidRDefault="00CF3C48">
      <w:pPr>
        <w:pStyle w:val="FootnoteText"/>
      </w:pPr>
      <w:r>
        <w:rPr>
          <w:rStyle w:val="FootnoteReference"/>
        </w:rPr>
        <w:footnoteRef/>
      </w:r>
      <w:r>
        <w:t xml:space="preserve"> Kosmetatou. 2003. 171</w:t>
      </w:r>
    </w:p>
  </w:footnote>
  <w:footnote w:id="23">
    <w:p w14:paraId="5AB2E120" w14:textId="66A780BD" w:rsidR="009F70BF" w:rsidRDefault="009F70BF">
      <w:pPr>
        <w:pStyle w:val="FootnoteText"/>
      </w:pPr>
      <w:r>
        <w:rPr>
          <w:rStyle w:val="FootnoteReference"/>
        </w:rPr>
        <w:footnoteRef/>
      </w:r>
      <w:r>
        <w:t xml:space="preserve"> Paus. 1. 7. 2</w:t>
      </w:r>
    </w:p>
  </w:footnote>
  <w:footnote w:id="24">
    <w:p w14:paraId="0000002A" w14:textId="407F6033" w:rsidR="004F4B44" w:rsidRDefault="00D74D48">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Mitchell. 2003. 280</w:t>
      </w:r>
    </w:p>
  </w:footnote>
  <w:footnote w:id="25">
    <w:p w14:paraId="0000002B" w14:textId="77777777" w:rsidR="004F4B44" w:rsidRDefault="00D74D48">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Paus. 10. 12. 5</w:t>
      </w:r>
    </w:p>
  </w:footnote>
  <w:footnote w:id="26">
    <w:p w14:paraId="0000002C" w14:textId="77777777" w:rsidR="004F4B44" w:rsidRDefault="00D74D48">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SIG. 398. BD 17</w:t>
      </w:r>
    </w:p>
  </w:footnote>
  <w:footnote w:id="27">
    <w:p w14:paraId="220A8333" w14:textId="77777777" w:rsidR="0058741C" w:rsidRDefault="0058741C" w:rsidP="0058741C">
      <w:pPr>
        <w:pStyle w:val="FootnoteText"/>
      </w:pPr>
      <w:r>
        <w:rPr>
          <w:rStyle w:val="FootnoteReference"/>
        </w:rPr>
        <w:footnoteRef/>
      </w:r>
      <w:r>
        <w:t xml:space="preserve"> Diod. 22. 5</w:t>
      </w:r>
    </w:p>
  </w:footnote>
  <w:footnote w:id="28">
    <w:p w14:paraId="271986C4" w14:textId="77777777" w:rsidR="006E58FB" w:rsidRDefault="006E58FB" w:rsidP="006E58FB">
      <w:pPr>
        <w:pStyle w:val="FootnoteText"/>
      </w:pPr>
      <w:r>
        <w:rPr>
          <w:rStyle w:val="FootnoteReference"/>
        </w:rPr>
        <w:footnoteRef/>
      </w:r>
      <w:r>
        <w:t xml:space="preserve"> Sacks. 2014. 48</w:t>
      </w:r>
    </w:p>
  </w:footnote>
  <w:footnote w:id="29">
    <w:p w14:paraId="7C9901A9" w14:textId="3D946150" w:rsidR="00254F2F" w:rsidRDefault="00254F2F">
      <w:pPr>
        <w:pStyle w:val="FootnoteText"/>
      </w:pPr>
      <w:r>
        <w:rPr>
          <w:rStyle w:val="FootnoteReference"/>
        </w:rPr>
        <w:footnoteRef/>
      </w:r>
      <w:r>
        <w:t xml:space="preserve"> Call. Del. 1. 174</w:t>
      </w:r>
    </w:p>
  </w:footnote>
  <w:footnote w:id="30">
    <w:p w14:paraId="337288C4" w14:textId="77777777" w:rsidR="0058741C" w:rsidRDefault="0058741C" w:rsidP="0058741C">
      <w:pPr>
        <w:pStyle w:val="FootnoteText"/>
      </w:pPr>
      <w:r>
        <w:rPr>
          <w:rStyle w:val="FootnoteReference"/>
        </w:rPr>
        <w:footnoteRef/>
      </w:r>
      <w:r>
        <w:t xml:space="preserve"> Sacks. 2014. 151</w:t>
      </w:r>
    </w:p>
  </w:footnote>
  <w:footnote w:id="31">
    <w:p w14:paraId="4BF58EAF" w14:textId="77777777" w:rsidR="0058741C" w:rsidRDefault="0058741C" w:rsidP="0058741C">
      <w:pPr>
        <w:pStyle w:val="FootnoteText"/>
      </w:pPr>
      <w:r>
        <w:rPr>
          <w:rStyle w:val="FootnoteReference"/>
        </w:rPr>
        <w:footnoteRef/>
      </w:r>
      <w:r>
        <w:t xml:space="preserve"> Paus. 1. 7. 2</w:t>
      </w:r>
    </w:p>
  </w:footnote>
  <w:footnote w:id="32">
    <w:p w14:paraId="5C07BBE6" w14:textId="59C7A55F" w:rsidR="00C60BDB" w:rsidRDefault="00C60BDB">
      <w:pPr>
        <w:pStyle w:val="FootnoteText"/>
      </w:pPr>
      <w:r>
        <w:rPr>
          <w:rStyle w:val="FootnoteReference"/>
        </w:rPr>
        <w:footnoteRef/>
      </w:r>
      <w:r>
        <w:t xml:space="preserve"> Rankin. 1996. 50</w:t>
      </w:r>
    </w:p>
  </w:footnote>
  <w:footnote w:id="33">
    <w:p w14:paraId="266FB45B" w14:textId="77777777" w:rsidR="0058741C" w:rsidRDefault="0058741C" w:rsidP="0058741C">
      <w:pPr>
        <w:pStyle w:val="FootnoteText"/>
      </w:pPr>
      <w:r>
        <w:rPr>
          <w:rStyle w:val="FootnoteReference"/>
        </w:rPr>
        <w:footnoteRef/>
      </w:r>
      <w:r>
        <w:t xml:space="preserve"> Sacks. 2014. 48</w:t>
      </w:r>
    </w:p>
  </w:footnote>
  <w:footnote w:id="34">
    <w:p w14:paraId="56BE5E2B" w14:textId="557B39B4" w:rsidR="00794BFD" w:rsidRDefault="00794BFD">
      <w:pPr>
        <w:pStyle w:val="FootnoteText"/>
      </w:pPr>
      <w:r>
        <w:rPr>
          <w:rStyle w:val="FootnoteReference"/>
        </w:rPr>
        <w:footnoteRef/>
      </w:r>
      <w:r>
        <w:t xml:space="preserve"> Beek. 2015. 24.</w:t>
      </w:r>
    </w:p>
  </w:footnote>
  <w:footnote w:id="35">
    <w:p w14:paraId="54C43DA1" w14:textId="42BD0DC1" w:rsidR="00794BFD" w:rsidRDefault="00794BFD">
      <w:pPr>
        <w:pStyle w:val="FootnoteText"/>
      </w:pPr>
      <w:r>
        <w:rPr>
          <w:rStyle w:val="FootnoteReference"/>
        </w:rPr>
        <w:footnoteRef/>
      </w:r>
      <w:r>
        <w:t xml:space="preserve"> Paus. 1. 7.2</w:t>
      </w:r>
    </w:p>
  </w:footnote>
  <w:footnote w:id="36">
    <w:p w14:paraId="2666C64D" w14:textId="77777777" w:rsidR="0058741C" w:rsidRDefault="0058741C" w:rsidP="0058741C">
      <w:pPr>
        <w:pStyle w:val="FootnoteText"/>
      </w:pPr>
      <w:r>
        <w:rPr>
          <w:rStyle w:val="FootnoteReference"/>
        </w:rPr>
        <w:footnoteRef/>
      </w:r>
      <w:r>
        <w:t xml:space="preserve"> Rankin. 1996. 40.</w:t>
      </w:r>
    </w:p>
  </w:footnote>
  <w:footnote w:id="37">
    <w:p w14:paraId="48B0F18D" w14:textId="1E78E7FC" w:rsidR="009F70BF" w:rsidRDefault="009F70BF">
      <w:pPr>
        <w:pStyle w:val="FootnoteText"/>
      </w:pPr>
      <w:r>
        <w:rPr>
          <w:rStyle w:val="FootnoteReference"/>
        </w:rPr>
        <w:footnoteRef/>
      </w:r>
      <w:r>
        <w:t xml:space="preserve"> Allen. 1983. 136</w:t>
      </w:r>
    </w:p>
  </w:footnote>
  <w:footnote w:id="38">
    <w:p w14:paraId="1FEF9DE4" w14:textId="4BF5ED0A" w:rsidR="0060341F" w:rsidRDefault="0060341F">
      <w:pPr>
        <w:pStyle w:val="FootnoteText"/>
      </w:pPr>
      <w:r>
        <w:rPr>
          <w:rStyle w:val="FootnoteReference"/>
        </w:rPr>
        <w:footnoteRef/>
      </w:r>
      <w:r>
        <w:t xml:space="preserve"> Strabo. 13. 4. 2</w:t>
      </w:r>
    </w:p>
  </w:footnote>
  <w:footnote w:id="39">
    <w:p w14:paraId="0A40D553" w14:textId="503390A4" w:rsidR="00114024" w:rsidRDefault="00114024">
      <w:pPr>
        <w:pStyle w:val="FootnoteText"/>
      </w:pPr>
      <w:r>
        <w:rPr>
          <w:rStyle w:val="FootnoteReference"/>
        </w:rPr>
        <w:footnoteRef/>
      </w:r>
      <w:r>
        <w:t xml:space="preserve"> Howard. 1983</w:t>
      </w:r>
      <w:r w:rsidR="00814274">
        <w:t xml:space="preserve"> 1</w:t>
      </w:r>
    </w:p>
  </w:footnote>
  <w:footnote w:id="40">
    <w:p w14:paraId="5EF767E6" w14:textId="65FEC691" w:rsidR="00012E91" w:rsidRDefault="00012E91">
      <w:pPr>
        <w:pStyle w:val="FootnoteText"/>
      </w:pPr>
      <w:r>
        <w:rPr>
          <w:rStyle w:val="FootnoteReference"/>
        </w:rPr>
        <w:footnoteRef/>
      </w:r>
      <w:r>
        <w:t xml:space="preserve"> Howard. 1983 1</w:t>
      </w:r>
    </w:p>
  </w:footnote>
  <w:footnote w:id="41">
    <w:p w14:paraId="6E043B7A" w14:textId="5E232E5A" w:rsidR="00056493" w:rsidRDefault="00056493">
      <w:pPr>
        <w:pStyle w:val="FootnoteText"/>
      </w:pPr>
      <w:r>
        <w:rPr>
          <w:rStyle w:val="FootnoteReference"/>
        </w:rPr>
        <w:footnoteRef/>
      </w:r>
      <w:r>
        <w:t xml:space="preserve"> Xie. 2016. 1</w:t>
      </w:r>
    </w:p>
  </w:footnote>
  <w:footnote w:id="42">
    <w:p w14:paraId="4297E398" w14:textId="2ABD6EC4" w:rsidR="00814274" w:rsidRDefault="00814274">
      <w:pPr>
        <w:pStyle w:val="FootnoteText"/>
      </w:pPr>
      <w:r>
        <w:rPr>
          <w:rStyle w:val="FootnoteReference"/>
        </w:rPr>
        <w:footnoteRef/>
      </w:r>
      <w:r>
        <w:t xml:space="preserve"> Getzel. 1995. 145</w:t>
      </w:r>
    </w:p>
  </w:footnote>
  <w:footnote w:id="43">
    <w:p w14:paraId="00FDBE2A" w14:textId="49C2E5B9" w:rsidR="009F70BF" w:rsidRDefault="009F70BF">
      <w:pPr>
        <w:pStyle w:val="FootnoteText"/>
      </w:pPr>
      <w:r>
        <w:rPr>
          <w:rStyle w:val="FootnoteReference"/>
        </w:rPr>
        <w:footnoteRef/>
      </w:r>
      <w:r>
        <w:t xml:space="preserve"> Fischer-Bovet. </w:t>
      </w:r>
      <w:r w:rsidR="00A4431D">
        <w:t>2014. 5</w:t>
      </w:r>
    </w:p>
  </w:footnote>
  <w:footnote w:id="44">
    <w:p w14:paraId="6D2A03C7" w14:textId="145FACAC" w:rsidR="00CA7AE7" w:rsidRDefault="00CA7AE7">
      <w:pPr>
        <w:pStyle w:val="FootnoteText"/>
      </w:pPr>
      <w:r>
        <w:rPr>
          <w:rStyle w:val="FootnoteReference"/>
        </w:rPr>
        <w:footnoteRef/>
      </w:r>
      <w:r>
        <w:t xml:space="preserve"> Allen. 1987. 17</w:t>
      </w:r>
    </w:p>
  </w:footnote>
  <w:footnote w:id="45">
    <w:p w14:paraId="06ABB9BA" w14:textId="6854C2D4" w:rsidR="002D775C" w:rsidRDefault="002D775C">
      <w:pPr>
        <w:pStyle w:val="FootnoteText"/>
      </w:pPr>
      <w:r>
        <w:rPr>
          <w:rStyle w:val="FootnoteReference"/>
        </w:rPr>
        <w:footnoteRef/>
      </w:r>
      <w:r>
        <w:t xml:space="preserve"> Rankin. 1995. 10</w:t>
      </w:r>
    </w:p>
  </w:footnote>
  <w:footnote w:id="46">
    <w:p w14:paraId="24684CAA" w14:textId="77777777" w:rsidR="00CA7AE7" w:rsidRDefault="00CA7AE7" w:rsidP="00CA7AE7">
      <w:pPr>
        <w:pStyle w:val="FootnoteText"/>
      </w:pPr>
      <w:r>
        <w:rPr>
          <w:rStyle w:val="FootnoteReference"/>
        </w:rPr>
        <w:footnoteRef/>
      </w:r>
      <w:r>
        <w:t xml:space="preserve"> Luc. 2. 94</w:t>
      </w:r>
    </w:p>
  </w:footnote>
  <w:footnote w:id="47">
    <w:p w14:paraId="10B16BD3" w14:textId="3A4A1632" w:rsidR="0012407C" w:rsidRDefault="0012407C">
      <w:pPr>
        <w:pStyle w:val="FootnoteText"/>
      </w:pPr>
      <w:r>
        <w:rPr>
          <w:rStyle w:val="FootnoteReference"/>
        </w:rPr>
        <w:footnoteRef/>
      </w:r>
      <w:r>
        <w:t xml:space="preserve"> Sherwin-White. Kuhrt. (1993) 53</w:t>
      </w:r>
    </w:p>
  </w:footnote>
  <w:footnote w:id="48">
    <w:p w14:paraId="7806DA60" w14:textId="34592AFB" w:rsidR="002E2CF0" w:rsidRDefault="002E2CF0">
      <w:pPr>
        <w:pStyle w:val="FootnoteText"/>
      </w:pPr>
      <w:r>
        <w:rPr>
          <w:rStyle w:val="FootnoteReference"/>
        </w:rPr>
        <w:footnoteRef/>
      </w:r>
      <w:r>
        <w:t xml:space="preserve"> Sherwin-White. Kuhrt. (1993) 53</w:t>
      </w:r>
    </w:p>
  </w:footnote>
  <w:footnote w:id="49">
    <w:p w14:paraId="5051CD0E" w14:textId="77777777" w:rsidR="00CA7AE7" w:rsidRDefault="00CA7AE7" w:rsidP="00CA7AE7">
      <w:pPr>
        <w:pStyle w:val="FootnoteText"/>
      </w:pPr>
      <w:r>
        <w:rPr>
          <w:rStyle w:val="FootnoteReference"/>
        </w:rPr>
        <w:footnoteRef/>
      </w:r>
      <w:r>
        <w:t xml:space="preserve"> Bar-Kochva. (2002). 502</w:t>
      </w:r>
    </w:p>
  </w:footnote>
  <w:footnote w:id="50">
    <w:p w14:paraId="6D346DDF" w14:textId="77777777" w:rsidR="00CA7AE7" w:rsidRDefault="00CA7AE7" w:rsidP="00CA7AE7">
      <w:pPr>
        <w:pStyle w:val="FootnoteText"/>
      </w:pPr>
      <w:r>
        <w:rPr>
          <w:rStyle w:val="FootnoteReference"/>
        </w:rPr>
        <w:footnoteRef/>
      </w:r>
      <w:r>
        <w:t xml:space="preserve"> Bar-Kochva. (2002). 502</w:t>
      </w:r>
    </w:p>
  </w:footnote>
  <w:footnote w:id="51">
    <w:p w14:paraId="718276DD" w14:textId="77777777" w:rsidR="00CA7AE7" w:rsidRDefault="00CA7AE7" w:rsidP="00CA7AE7">
      <w:pPr>
        <w:pStyle w:val="FootnoteText"/>
      </w:pPr>
      <w:r>
        <w:rPr>
          <w:rStyle w:val="FootnoteReference"/>
        </w:rPr>
        <w:footnoteRef/>
      </w:r>
      <w:r>
        <w:t xml:space="preserve"> Mitchell. 1996. 71</w:t>
      </w:r>
    </w:p>
  </w:footnote>
  <w:footnote w:id="52">
    <w:p w14:paraId="1725F490" w14:textId="4F65AB34" w:rsidR="006E58FB" w:rsidRDefault="006E58FB">
      <w:pPr>
        <w:pStyle w:val="FootnoteText"/>
      </w:pPr>
      <w:r>
        <w:rPr>
          <w:rStyle w:val="FootnoteReference"/>
        </w:rPr>
        <w:footnoteRef/>
      </w:r>
      <w:r>
        <w:t xml:space="preserve"> Mitchell. 1996. 71</w:t>
      </w:r>
    </w:p>
  </w:footnote>
  <w:footnote w:id="53">
    <w:p w14:paraId="6C499A32" w14:textId="25798980" w:rsidR="006E58FB" w:rsidRDefault="006E58FB">
      <w:pPr>
        <w:pStyle w:val="FootnoteText"/>
      </w:pPr>
      <w:r>
        <w:rPr>
          <w:rStyle w:val="FootnoteReference"/>
        </w:rPr>
        <w:footnoteRef/>
      </w:r>
      <w:r>
        <w:t xml:space="preserve"> Fischer-Bovet. 2014. 5</w:t>
      </w:r>
    </w:p>
  </w:footnote>
  <w:footnote w:id="54">
    <w:p w14:paraId="0EED5A55" w14:textId="2A7F32A7" w:rsidR="00056493" w:rsidRDefault="00056493">
      <w:pPr>
        <w:pStyle w:val="FootnoteText"/>
      </w:pPr>
      <w:r>
        <w:rPr>
          <w:rStyle w:val="FootnoteReference"/>
        </w:rPr>
        <w:footnoteRef/>
      </w:r>
      <w:r>
        <w:t xml:space="preserve"> Metzger. 1969. 1</w:t>
      </w:r>
    </w:p>
  </w:footnote>
  <w:footnote w:id="55">
    <w:p w14:paraId="75DF40A7" w14:textId="0141199B" w:rsidR="00B67161" w:rsidRDefault="00B67161">
      <w:pPr>
        <w:pStyle w:val="FootnoteText"/>
      </w:pPr>
      <w:r>
        <w:rPr>
          <w:rStyle w:val="FootnoteReference"/>
        </w:rPr>
        <w:footnoteRef/>
      </w:r>
      <w:r>
        <w:t xml:space="preserve"> Dittenberger. OGIS 757</w:t>
      </w:r>
    </w:p>
  </w:footnote>
  <w:footnote w:id="56">
    <w:p w14:paraId="18FBAC27" w14:textId="28165C1B" w:rsidR="007E54C3" w:rsidRDefault="007E54C3">
      <w:pPr>
        <w:pStyle w:val="FootnoteText"/>
      </w:pPr>
      <w:r>
        <w:rPr>
          <w:rStyle w:val="FootnoteReference"/>
        </w:rPr>
        <w:footnoteRef/>
      </w:r>
      <w:r>
        <w:t xml:space="preserve"> Hubert. 1934. 65</w:t>
      </w:r>
    </w:p>
  </w:footnote>
  <w:footnote w:id="57">
    <w:p w14:paraId="56504BCC" w14:textId="3E8957EE" w:rsidR="007E54C3" w:rsidRDefault="007E54C3">
      <w:pPr>
        <w:pStyle w:val="FootnoteText"/>
      </w:pPr>
      <w:r>
        <w:rPr>
          <w:rStyle w:val="FootnoteReference"/>
        </w:rPr>
        <w:footnoteRef/>
      </w:r>
      <w:r>
        <w:t xml:space="preserve"> Hubert. 1934. 65</w:t>
      </w:r>
    </w:p>
  </w:footnote>
  <w:footnote w:id="58">
    <w:p w14:paraId="267C61CE" w14:textId="0D70B640" w:rsidR="00794BFD" w:rsidRDefault="00794BFD">
      <w:pPr>
        <w:pStyle w:val="FootnoteText"/>
      </w:pPr>
      <w:r>
        <w:rPr>
          <w:rStyle w:val="FootnoteReference"/>
        </w:rPr>
        <w:footnoteRef/>
      </w:r>
      <w:r>
        <w:t xml:space="preserve"> Momigliano</w:t>
      </w:r>
      <w:r w:rsidR="002E2CF0">
        <w:t>. 1971. 61</w:t>
      </w:r>
    </w:p>
  </w:footnote>
  <w:footnote w:id="59">
    <w:p w14:paraId="17FAD11B" w14:textId="4C78BF2F" w:rsidR="00777F7A" w:rsidRDefault="00777F7A">
      <w:pPr>
        <w:pStyle w:val="FootnoteText"/>
      </w:pPr>
      <w:r>
        <w:rPr>
          <w:rStyle w:val="FootnoteReference"/>
        </w:rPr>
        <w:footnoteRef/>
      </w:r>
      <w:r>
        <w:t xml:space="preserve"> Arrian 14. 7</w:t>
      </w:r>
    </w:p>
  </w:footnote>
  <w:footnote w:id="60">
    <w:p w14:paraId="1E2714E3" w14:textId="576D85BA" w:rsidR="00213816" w:rsidRDefault="00213816">
      <w:pPr>
        <w:pStyle w:val="FootnoteText"/>
      </w:pPr>
      <w:r>
        <w:rPr>
          <w:rStyle w:val="FootnoteReference"/>
        </w:rPr>
        <w:footnoteRef/>
      </w:r>
      <w:r>
        <w:t xml:space="preserve"> Momigliano. 1971. 61</w:t>
      </w:r>
    </w:p>
  </w:footnote>
  <w:footnote w:id="61">
    <w:p w14:paraId="467FA3EE" w14:textId="49E8249D" w:rsidR="00794BFD" w:rsidRDefault="00794BFD">
      <w:pPr>
        <w:pStyle w:val="FootnoteText"/>
      </w:pPr>
      <w:r>
        <w:rPr>
          <w:rStyle w:val="FootnoteReference"/>
        </w:rPr>
        <w:footnoteRef/>
      </w:r>
      <w:r>
        <w:t xml:space="preserve"> Beek. 2015. 24</w:t>
      </w:r>
    </w:p>
  </w:footnote>
  <w:footnote w:id="62">
    <w:p w14:paraId="6FF0F910" w14:textId="47F881CF" w:rsidR="002D775C" w:rsidRDefault="002D775C">
      <w:pPr>
        <w:pStyle w:val="FootnoteText"/>
      </w:pPr>
      <w:r>
        <w:rPr>
          <w:rStyle w:val="FootnoteReference"/>
        </w:rPr>
        <w:footnoteRef/>
      </w:r>
      <w:r>
        <w:t xml:space="preserve"> Paus. </w:t>
      </w:r>
      <w:r w:rsidR="00580BA1">
        <w:t>1. 7.1</w:t>
      </w:r>
    </w:p>
  </w:footnote>
  <w:footnote w:id="63">
    <w:p w14:paraId="340B4D79" w14:textId="7E332DEF" w:rsidR="00580BA1" w:rsidRDefault="00580BA1">
      <w:pPr>
        <w:pStyle w:val="FootnoteText"/>
      </w:pPr>
      <w:r>
        <w:rPr>
          <w:rStyle w:val="FootnoteReference"/>
        </w:rPr>
        <w:footnoteRef/>
      </w:r>
      <w:r>
        <w:t xml:space="preserve"> Hazzard. 2000. 106</w:t>
      </w:r>
    </w:p>
  </w:footnote>
  <w:footnote w:id="64">
    <w:p w14:paraId="0DCB7082" w14:textId="6A485855" w:rsidR="003A108E" w:rsidRDefault="003A108E">
      <w:pPr>
        <w:pStyle w:val="FootnoteText"/>
      </w:pPr>
      <w:r>
        <w:rPr>
          <w:rStyle w:val="FootnoteReference"/>
        </w:rPr>
        <w:footnoteRef/>
      </w:r>
      <w:r w:rsidR="00576CC2">
        <w:t xml:space="preserve"> Mitchell. 1996. </w:t>
      </w:r>
    </w:p>
  </w:footnote>
  <w:footnote w:id="65">
    <w:p w14:paraId="3D54A1C2" w14:textId="171B42C8" w:rsidR="003A108E" w:rsidRDefault="003A108E">
      <w:pPr>
        <w:pStyle w:val="FootnoteText"/>
      </w:pPr>
      <w:r>
        <w:rPr>
          <w:rStyle w:val="FootnoteReference"/>
        </w:rPr>
        <w:footnoteRef/>
      </w:r>
      <w:r>
        <w:t xml:space="preserve"> Paus. 1. 7. 1</w:t>
      </w:r>
    </w:p>
  </w:footnote>
  <w:footnote w:id="66">
    <w:p w14:paraId="011C0567" w14:textId="0505432D" w:rsidR="00012E91" w:rsidRDefault="00012E91">
      <w:pPr>
        <w:pStyle w:val="FootnoteText"/>
      </w:pPr>
      <w:r>
        <w:rPr>
          <w:rStyle w:val="FootnoteReference"/>
        </w:rPr>
        <w:footnoteRef/>
      </w:r>
      <w:r>
        <w:t xml:space="preserve"> Taylor. 2013. 50</w:t>
      </w:r>
    </w:p>
  </w:footnote>
  <w:footnote w:id="67">
    <w:p w14:paraId="2C879CAC" w14:textId="332A4581" w:rsidR="00580BA1" w:rsidRDefault="00580BA1">
      <w:pPr>
        <w:pStyle w:val="FootnoteText"/>
      </w:pPr>
      <w:r>
        <w:rPr>
          <w:rStyle w:val="FootnoteReference"/>
        </w:rPr>
        <w:footnoteRef/>
      </w:r>
      <w:r>
        <w:t xml:space="preserve"> Hazzard. 2000. 107</w:t>
      </w:r>
    </w:p>
  </w:footnote>
  <w:footnote w:id="68">
    <w:p w14:paraId="5DB6324D" w14:textId="7777F590" w:rsidR="003A108E" w:rsidRDefault="003A108E">
      <w:pPr>
        <w:pStyle w:val="FootnoteText"/>
      </w:pPr>
      <w:r>
        <w:rPr>
          <w:rStyle w:val="FootnoteReference"/>
        </w:rPr>
        <w:footnoteRef/>
      </w:r>
      <w:r>
        <w:t xml:space="preserve"> Rankin. 1996. 100</w:t>
      </w:r>
    </w:p>
  </w:footnote>
  <w:footnote w:id="69">
    <w:p w14:paraId="586B64B4" w14:textId="2C0986F9" w:rsidR="0012407C" w:rsidRDefault="0012407C">
      <w:pPr>
        <w:pStyle w:val="FootnoteText"/>
      </w:pPr>
      <w:r>
        <w:rPr>
          <w:rStyle w:val="FootnoteReference"/>
        </w:rPr>
        <w:footnoteRef/>
      </w:r>
      <w:r>
        <w:t xml:space="preserve"> </w:t>
      </w:r>
      <w:r w:rsidR="00CF3C48">
        <w:t xml:space="preserve">Rankin. 1996. 14. </w:t>
      </w:r>
    </w:p>
  </w:footnote>
  <w:footnote w:id="70">
    <w:p w14:paraId="032F5635" w14:textId="19D16450" w:rsidR="00CF3C48" w:rsidRDefault="00CF3C48">
      <w:pPr>
        <w:pStyle w:val="FootnoteText"/>
      </w:pPr>
      <w:r>
        <w:rPr>
          <w:rStyle w:val="FootnoteReference"/>
        </w:rPr>
        <w:footnoteRef/>
      </w:r>
      <w:r>
        <w:t xml:space="preserve"> Rankin. 1996. 14</w:t>
      </w:r>
    </w:p>
  </w:footnote>
  <w:footnote w:id="71">
    <w:p w14:paraId="65A0603E" w14:textId="78A6E744" w:rsidR="000841AD" w:rsidRDefault="000841AD">
      <w:pPr>
        <w:pStyle w:val="FootnoteText"/>
      </w:pPr>
      <w:r>
        <w:rPr>
          <w:rStyle w:val="FootnoteReference"/>
        </w:rPr>
        <w:footnoteRef/>
      </w:r>
      <w:r>
        <w:t xml:space="preserve"> Poly. Hist. 85. 5</w:t>
      </w:r>
    </w:p>
  </w:footnote>
  <w:footnote w:id="72">
    <w:p w14:paraId="07D1DA13" w14:textId="4E3D76AB" w:rsidR="00B6680B" w:rsidRDefault="00B6680B">
      <w:pPr>
        <w:pStyle w:val="FootnoteText"/>
      </w:pPr>
      <w:r>
        <w:rPr>
          <w:rStyle w:val="FootnoteReference"/>
        </w:rPr>
        <w:footnoteRef/>
      </w:r>
      <w:r>
        <w:t xml:space="preserve"> Poly. Hist. 84. 6</w:t>
      </w:r>
    </w:p>
  </w:footnote>
  <w:footnote w:id="73">
    <w:p w14:paraId="7AB3A705" w14:textId="5DF23B38" w:rsidR="000841AD" w:rsidRDefault="000841AD">
      <w:pPr>
        <w:pStyle w:val="FootnoteText"/>
      </w:pPr>
      <w:r>
        <w:rPr>
          <w:rStyle w:val="FootnoteReference"/>
        </w:rPr>
        <w:footnoteRef/>
      </w:r>
      <w:r>
        <w:t xml:space="preserve"> Freeman. 2006. 46</w:t>
      </w:r>
    </w:p>
  </w:footnote>
  <w:footnote w:id="74">
    <w:p w14:paraId="3A853F69" w14:textId="46A50411" w:rsidR="000841AD" w:rsidRDefault="000841AD">
      <w:pPr>
        <w:pStyle w:val="FootnoteText"/>
      </w:pPr>
      <w:r>
        <w:rPr>
          <w:rStyle w:val="FootnoteReference"/>
        </w:rPr>
        <w:footnoteRef/>
      </w:r>
      <w:r>
        <w:t xml:space="preserve"> Just. Epi. 25.2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B44"/>
    <w:rsid w:val="00012E91"/>
    <w:rsid w:val="00056493"/>
    <w:rsid w:val="00081DEA"/>
    <w:rsid w:val="000841AD"/>
    <w:rsid w:val="00114024"/>
    <w:rsid w:val="00123D09"/>
    <w:rsid w:val="0012407C"/>
    <w:rsid w:val="00131B79"/>
    <w:rsid w:val="001417C9"/>
    <w:rsid w:val="00151AB9"/>
    <w:rsid w:val="00153B6B"/>
    <w:rsid w:val="001852EE"/>
    <w:rsid w:val="001926CB"/>
    <w:rsid w:val="0019358D"/>
    <w:rsid w:val="001A5232"/>
    <w:rsid w:val="001C0100"/>
    <w:rsid w:val="001D7BF8"/>
    <w:rsid w:val="001F6C93"/>
    <w:rsid w:val="00213816"/>
    <w:rsid w:val="0022752D"/>
    <w:rsid w:val="0024666C"/>
    <w:rsid w:val="002522B5"/>
    <w:rsid w:val="00254F2F"/>
    <w:rsid w:val="00277373"/>
    <w:rsid w:val="00294685"/>
    <w:rsid w:val="002B2BD1"/>
    <w:rsid w:val="002B53E2"/>
    <w:rsid w:val="002C7598"/>
    <w:rsid w:val="002D775C"/>
    <w:rsid w:val="002E2CF0"/>
    <w:rsid w:val="003507C5"/>
    <w:rsid w:val="003576DE"/>
    <w:rsid w:val="003A108E"/>
    <w:rsid w:val="003B28E0"/>
    <w:rsid w:val="003C3800"/>
    <w:rsid w:val="003C42F2"/>
    <w:rsid w:val="003D1A06"/>
    <w:rsid w:val="003E7A81"/>
    <w:rsid w:val="003F066D"/>
    <w:rsid w:val="004529E0"/>
    <w:rsid w:val="004548F8"/>
    <w:rsid w:val="00492DD0"/>
    <w:rsid w:val="004D63B6"/>
    <w:rsid w:val="004F4B44"/>
    <w:rsid w:val="00511D78"/>
    <w:rsid w:val="00532D73"/>
    <w:rsid w:val="00564E43"/>
    <w:rsid w:val="00571D56"/>
    <w:rsid w:val="00572307"/>
    <w:rsid w:val="00576CC2"/>
    <w:rsid w:val="00580BA1"/>
    <w:rsid w:val="00582F23"/>
    <w:rsid w:val="0058582A"/>
    <w:rsid w:val="0058741C"/>
    <w:rsid w:val="005B3074"/>
    <w:rsid w:val="005B7AA0"/>
    <w:rsid w:val="005C2DED"/>
    <w:rsid w:val="0060341F"/>
    <w:rsid w:val="006563CE"/>
    <w:rsid w:val="00664D78"/>
    <w:rsid w:val="006A5FAC"/>
    <w:rsid w:val="006B1327"/>
    <w:rsid w:val="006E58FB"/>
    <w:rsid w:val="007153A9"/>
    <w:rsid w:val="00735B37"/>
    <w:rsid w:val="0075455A"/>
    <w:rsid w:val="00777F7A"/>
    <w:rsid w:val="00794BFD"/>
    <w:rsid w:val="007E54C3"/>
    <w:rsid w:val="007E6688"/>
    <w:rsid w:val="007E69E3"/>
    <w:rsid w:val="00800928"/>
    <w:rsid w:val="00800B29"/>
    <w:rsid w:val="0080111A"/>
    <w:rsid w:val="0080297B"/>
    <w:rsid w:val="00814274"/>
    <w:rsid w:val="008243FD"/>
    <w:rsid w:val="00842FF3"/>
    <w:rsid w:val="008A5570"/>
    <w:rsid w:val="008B2946"/>
    <w:rsid w:val="008B65EB"/>
    <w:rsid w:val="008B6870"/>
    <w:rsid w:val="008C5C38"/>
    <w:rsid w:val="008E034A"/>
    <w:rsid w:val="00907A4D"/>
    <w:rsid w:val="00944A41"/>
    <w:rsid w:val="009702EC"/>
    <w:rsid w:val="009857E4"/>
    <w:rsid w:val="009A1B95"/>
    <w:rsid w:val="009F0646"/>
    <w:rsid w:val="009F70BF"/>
    <w:rsid w:val="00A14F48"/>
    <w:rsid w:val="00A3024C"/>
    <w:rsid w:val="00A4431D"/>
    <w:rsid w:val="00A801DA"/>
    <w:rsid w:val="00A81B3F"/>
    <w:rsid w:val="00A97287"/>
    <w:rsid w:val="00AB25D6"/>
    <w:rsid w:val="00AB66B8"/>
    <w:rsid w:val="00AF422C"/>
    <w:rsid w:val="00B00FF9"/>
    <w:rsid w:val="00B355EB"/>
    <w:rsid w:val="00B6680B"/>
    <w:rsid w:val="00B67161"/>
    <w:rsid w:val="00B778BB"/>
    <w:rsid w:val="00B8095D"/>
    <w:rsid w:val="00BA1EB9"/>
    <w:rsid w:val="00C60BDB"/>
    <w:rsid w:val="00CA7AE7"/>
    <w:rsid w:val="00CC18F9"/>
    <w:rsid w:val="00CE06AF"/>
    <w:rsid w:val="00CF3C48"/>
    <w:rsid w:val="00CF49E8"/>
    <w:rsid w:val="00D5247B"/>
    <w:rsid w:val="00D5537D"/>
    <w:rsid w:val="00D74D48"/>
    <w:rsid w:val="00D771F8"/>
    <w:rsid w:val="00D95D85"/>
    <w:rsid w:val="00DC5E77"/>
    <w:rsid w:val="00DD7004"/>
    <w:rsid w:val="00DF483B"/>
    <w:rsid w:val="00DF57B5"/>
    <w:rsid w:val="00E43682"/>
    <w:rsid w:val="00ED1687"/>
    <w:rsid w:val="00EF32A6"/>
    <w:rsid w:val="00EF4793"/>
    <w:rsid w:val="00F23689"/>
    <w:rsid w:val="00F3794B"/>
    <w:rsid w:val="00F57CA9"/>
    <w:rsid w:val="00F97D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30422"/>
  <w15:docId w15:val="{857CC03B-0541-48EA-AD49-9087946F2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FootnoteText">
    <w:name w:val="footnote text"/>
    <w:basedOn w:val="Normal"/>
    <w:link w:val="FootnoteTextChar"/>
    <w:uiPriority w:val="99"/>
    <w:semiHidden/>
    <w:unhideWhenUsed/>
    <w:rsid w:val="00064E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64E1D"/>
    <w:rPr>
      <w:sz w:val="20"/>
      <w:szCs w:val="20"/>
    </w:rPr>
  </w:style>
  <w:style w:type="character" w:styleId="FootnoteReference">
    <w:name w:val="footnote reference"/>
    <w:basedOn w:val="DefaultParagraphFont"/>
    <w:uiPriority w:val="99"/>
    <w:semiHidden/>
    <w:unhideWhenUsed/>
    <w:rsid w:val="00064E1D"/>
    <w:rPr>
      <w:vertAlign w:val="superscript"/>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07C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7C6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54C44"/>
    <w:rPr>
      <w:b/>
      <w:bCs/>
    </w:rPr>
  </w:style>
  <w:style w:type="character" w:customStyle="1" w:styleId="CommentSubjectChar">
    <w:name w:val="Comment Subject Char"/>
    <w:basedOn w:val="CommentTextChar"/>
    <w:link w:val="CommentSubject"/>
    <w:uiPriority w:val="99"/>
    <w:semiHidden/>
    <w:rsid w:val="00A54C44"/>
    <w:rPr>
      <w:b/>
      <w:bCs/>
      <w:sz w:val="20"/>
      <w:szCs w:val="20"/>
    </w:rPr>
  </w:style>
  <w:style w:type="paragraph" w:styleId="Header">
    <w:name w:val="header"/>
    <w:basedOn w:val="Normal"/>
    <w:link w:val="HeaderChar"/>
    <w:uiPriority w:val="99"/>
    <w:unhideWhenUsed/>
    <w:rsid w:val="00A801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1DA"/>
  </w:style>
  <w:style w:type="paragraph" w:styleId="Footer">
    <w:name w:val="footer"/>
    <w:basedOn w:val="Normal"/>
    <w:link w:val="FooterChar"/>
    <w:uiPriority w:val="99"/>
    <w:unhideWhenUsed/>
    <w:rsid w:val="00A801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01DA"/>
  </w:style>
  <w:style w:type="paragraph" w:styleId="EndnoteText">
    <w:name w:val="endnote text"/>
    <w:basedOn w:val="Normal"/>
    <w:link w:val="EndnoteTextChar"/>
    <w:uiPriority w:val="99"/>
    <w:semiHidden/>
    <w:unhideWhenUsed/>
    <w:rsid w:val="000841A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841AD"/>
    <w:rPr>
      <w:sz w:val="20"/>
      <w:szCs w:val="20"/>
    </w:rPr>
  </w:style>
  <w:style w:type="character" w:styleId="EndnoteReference">
    <w:name w:val="endnote reference"/>
    <w:basedOn w:val="DefaultParagraphFont"/>
    <w:uiPriority w:val="99"/>
    <w:semiHidden/>
    <w:unhideWhenUsed/>
    <w:rsid w:val="000841A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666834">
      <w:bodyDiv w:val="1"/>
      <w:marLeft w:val="0"/>
      <w:marRight w:val="0"/>
      <w:marTop w:val="0"/>
      <w:marBottom w:val="0"/>
      <w:divBdr>
        <w:top w:val="none" w:sz="0" w:space="0" w:color="auto"/>
        <w:left w:val="none" w:sz="0" w:space="0" w:color="auto"/>
        <w:bottom w:val="none" w:sz="0" w:space="0" w:color="auto"/>
        <w:right w:val="none" w:sz="0" w:space="0" w:color="auto"/>
      </w:divBdr>
    </w:div>
    <w:div w:id="243607848">
      <w:bodyDiv w:val="1"/>
      <w:marLeft w:val="0"/>
      <w:marRight w:val="0"/>
      <w:marTop w:val="0"/>
      <w:marBottom w:val="0"/>
      <w:divBdr>
        <w:top w:val="none" w:sz="0" w:space="0" w:color="auto"/>
        <w:left w:val="none" w:sz="0" w:space="0" w:color="auto"/>
        <w:bottom w:val="none" w:sz="0" w:space="0" w:color="auto"/>
        <w:right w:val="none" w:sz="0" w:space="0" w:color="auto"/>
      </w:divBdr>
    </w:div>
    <w:div w:id="296034705">
      <w:bodyDiv w:val="1"/>
      <w:marLeft w:val="0"/>
      <w:marRight w:val="0"/>
      <w:marTop w:val="0"/>
      <w:marBottom w:val="0"/>
      <w:divBdr>
        <w:top w:val="none" w:sz="0" w:space="0" w:color="auto"/>
        <w:left w:val="none" w:sz="0" w:space="0" w:color="auto"/>
        <w:bottom w:val="none" w:sz="0" w:space="0" w:color="auto"/>
        <w:right w:val="none" w:sz="0" w:space="0" w:color="auto"/>
      </w:divBdr>
    </w:div>
    <w:div w:id="371921744">
      <w:bodyDiv w:val="1"/>
      <w:marLeft w:val="0"/>
      <w:marRight w:val="0"/>
      <w:marTop w:val="0"/>
      <w:marBottom w:val="0"/>
      <w:divBdr>
        <w:top w:val="none" w:sz="0" w:space="0" w:color="auto"/>
        <w:left w:val="none" w:sz="0" w:space="0" w:color="auto"/>
        <w:bottom w:val="none" w:sz="0" w:space="0" w:color="auto"/>
        <w:right w:val="none" w:sz="0" w:space="0" w:color="auto"/>
      </w:divBdr>
    </w:div>
    <w:div w:id="377895254">
      <w:bodyDiv w:val="1"/>
      <w:marLeft w:val="0"/>
      <w:marRight w:val="0"/>
      <w:marTop w:val="0"/>
      <w:marBottom w:val="0"/>
      <w:divBdr>
        <w:top w:val="none" w:sz="0" w:space="0" w:color="auto"/>
        <w:left w:val="none" w:sz="0" w:space="0" w:color="auto"/>
        <w:bottom w:val="none" w:sz="0" w:space="0" w:color="auto"/>
        <w:right w:val="none" w:sz="0" w:space="0" w:color="auto"/>
      </w:divBdr>
    </w:div>
    <w:div w:id="878978695">
      <w:bodyDiv w:val="1"/>
      <w:marLeft w:val="0"/>
      <w:marRight w:val="0"/>
      <w:marTop w:val="0"/>
      <w:marBottom w:val="0"/>
      <w:divBdr>
        <w:top w:val="none" w:sz="0" w:space="0" w:color="auto"/>
        <w:left w:val="none" w:sz="0" w:space="0" w:color="auto"/>
        <w:bottom w:val="none" w:sz="0" w:space="0" w:color="auto"/>
        <w:right w:val="none" w:sz="0" w:space="0" w:color="auto"/>
      </w:divBdr>
    </w:div>
    <w:div w:id="1058548989">
      <w:bodyDiv w:val="1"/>
      <w:marLeft w:val="0"/>
      <w:marRight w:val="0"/>
      <w:marTop w:val="0"/>
      <w:marBottom w:val="0"/>
      <w:divBdr>
        <w:top w:val="none" w:sz="0" w:space="0" w:color="auto"/>
        <w:left w:val="none" w:sz="0" w:space="0" w:color="auto"/>
        <w:bottom w:val="none" w:sz="0" w:space="0" w:color="auto"/>
        <w:right w:val="none" w:sz="0" w:space="0" w:color="auto"/>
      </w:divBdr>
    </w:div>
    <w:div w:id="1380789707">
      <w:bodyDiv w:val="1"/>
      <w:marLeft w:val="0"/>
      <w:marRight w:val="0"/>
      <w:marTop w:val="0"/>
      <w:marBottom w:val="0"/>
      <w:divBdr>
        <w:top w:val="none" w:sz="0" w:space="0" w:color="auto"/>
        <w:left w:val="none" w:sz="0" w:space="0" w:color="auto"/>
        <w:bottom w:val="none" w:sz="0" w:space="0" w:color="auto"/>
        <w:right w:val="none" w:sz="0" w:space="0" w:color="auto"/>
      </w:divBdr>
    </w:div>
    <w:div w:id="1560750998">
      <w:bodyDiv w:val="1"/>
      <w:marLeft w:val="0"/>
      <w:marRight w:val="0"/>
      <w:marTop w:val="0"/>
      <w:marBottom w:val="0"/>
      <w:divBdr>
        <w:top w:val="none" w:sz="0" w:space="0" w:color="auto"/>
        <w:left w:val="none" w:sz="0" w:space="0" w:color="auto"/>
        <w:bottom w:val="none" w:sz="0" w:space="0" w:color="auto"/>
        <w:right w:val="none" w:sz="0" w:space="0" w:color="auto"/>
      </w:divBdr>
    </w:div>
    <w:div w:id="1643077585">
      <w:bodyDiv w:val="1"/>
      <w:marLeft w:val="0"/>
      <w:marRight w:val="0"/>
      <w:marTop w:val="0"/>
      <w:marBottom w:val="0"/>
      <w:divBdr>
        <w:top w:val="none" w:sz="0" w:space="0" w:color="auto"/>
        <w:left w:val="none" w:sz="0" w:space="0" w:color="auto"/>
        <w:bottom w:val="none" w:sz="0" w:space="0" w:color="auto"/>
        <w:right w:val="none" w:sz="0" w:space="0" w:color="auto"/>
      </w:divBdr>
    </w:div>
    <w:div w:id="1759716105">
      <w:bodyDiv w:val="1"/>
      <w:marLeft w:val="0"/>
      <w:marRight w:val="0"/>
      <w:marTop w:val="0"/>
      <w:marBottom w:val="0"/>
      <w:divBdr>
        <w:top w:val="none" w:sz="0" w:space="0" w:color="auto"/>
        <w:left w:val="none" w:sz="0" w:space="0" w:color="auto"/>
        <w:bottom w:val="none" w:sz="0" w:space="0" w:color="auto"/>
        <w:right w:val="none" w:sz="0" w:space="0" w:color="auto"/>
      </w:divBdr>
    </w:div>
    <w:div w:id="1881161602">
      <w:bodyDiv w:val="1"/>
      <w:marLeft w:val="0"/>
      <w:marRight w:val="0"/>
      <w:marTop w:val="0"/>
      <w:marBottom w:val="0"/>
      <w:divBdr>
        <w:top w:val="none" w:sz="0" w:space="0" w:color="auto"/>
        <w:left w:val="none" w:sz="0" w:space="0" w:color="auto"/>
        <w:bottom w:val="none" w:sz="0" w:space="0" w:color="auto"/>
        <w:right w:val="none" w:sz="0" w:space="0" w:color="auto"/>
      </w:divBdr>
    </w:div>
    <w:div w:id="20561986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13608-EE4D-4C34-84DA-ACB99B92E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4671</Words>
  <Characters>26625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Liam Raybould (1500458)</dc:creator>
  <cp:lastModifiedBy>Liam Raybould (1500458)</cp:lastModifiedBy>
  <cp:revision>6</cp:revision>
  <dcterms:created xsi:type="dcterms:W3CDTF">2019-06-19T20:22:00Z</dcterms:created>
  <dcterms:modified xsi:type="dcterms:W3CDTF">2019-06-19T20:32:00Z</dcterms:modified>
</cp:coreProperties>
</file>