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3D7EAA" w14:textId="5A4DCAFD" w:rsidR="00887792" w:rsidRPr="006115C4" w:rsidRDefault="00456CA6">
      <w:pPr>
        <w:spacing w:after="184" w:line="259" w:lineRule="auto"/>
        <w:ind w:left="0" w:firstLine="0"/>
        <w:rPr>
          <w:rFonts w:ascii="Arial" w:hAnsi="Arial" w:cs="Arial"/>
          <w:sz w:val="22"/>
          <w:szCs w:val="22"/>
        </w:rPr>
      </w:pPr>
      <w:r>
        <w:rPr>
          <w:rFonts w:cs="Aptos"/>
        </w:rPr>
        <w:t xml:space="preserve"> </w:t>
      </w:r>
      <w:r w:rsidR="00116DAA" w:rsidRPr="006115C4">
        <w:rPr>
          <w:rFonts w:ascii="Arial" w:hAnsi="Arial" w:cs="Arial"/>
          <w:sz w:val="22"/>
          <w:szCs w:val="22"/>
        </w:rPr>
        <w:t xml:space="preserve">Psychology in health and social care // </w:t>
      </w:r>
      <w:r w:rsidR="003A0E56" w:rsidRPr="006115C4">
        <w:rPr>
          <w:rFonts w:ascii="Arial" w:hAnsi="Arial" w:cs="Arial"/>
          <w:sz w:val="22"/>
          <w:szCs w:val="22"/>
        </w:rPr>
        <w:t>LCHS4010</w:t>
      </w:r>
    </w:p>
    <w:p w14:paraId="14513F6E" w14:textId="5EB73887" w:rsidR="003A0E56" w:rsidRPr="006115C4" w:rsidRDefault="003A0E56">
      <w:pPr>
        <w:spacing w:after="184" w:line="259" w:lineRule="auto"/>
        <w:ind w:left="0" w:firstLine="0"/>
        <w:rPr>
          <w:rFonts w:ascii="Arial" w:hAnsi="Arial" w:cs="Arial"/>
          <w:sz w:val="22"/>
          <w:szCs w:val="22"/>
        </w:rPr>
      </w:pPr>
      <w:r w:rsidRPr="006115C4">
        <w:rPr>
          <w:rFonts w:ascii="Arial" w:hAnsi="Arial" w:cs="Arial"/>
          <w:sz w:val="22"/>
          <w:szCs w:val="22"/>
        </w:rPr>
        <w:t xml:space="preserve">2437061// </w:t>
      </w:r>
      <w:proofErr w:type="spellStart"/>
      <w:r w:rsidRPr="006115C4">
        <w:rPr>
          <w:rFonts w:ascii="Arial" w:hAnsi="Arial" w:cs="Arial"/>
          <w:sz w:val="22"/>
          <w:szCs w:val="22"/>
        </w:rPr>
        <w:t>Adeela</w:t>
      </w:r>
      <w:proofErr w:type="spellEnd"/>
      <w:r w:rsidRPr="006115C4">
        <w:rPr>
          <w:rFonts w:ascii="Arial" w:hAnsi="Arial" w:cs="Arial"/>
          <w:sz w:val="22"/>
          <w:szCs w:val="22"/>
        </w:rPr>
        <w:t xml:space="preserve"> Bibi</w:t>
      </w:r>
    </w:p>
    <w:p w14:paraId="6D312715"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Part A </w:t>
      </w:r>
      <w:r w:rsidRPr="006115C4">
        <w:rPr>
          <w:rFonts w:ascii="Arial" w:hAnsi="Arial" w:cs="Arial"/>
          <w:sz w:val="22"/>
          <w:szCs w:val="22"/>
        </w:rPr>
        <w:t xml:space="preserve"> </w:t>
      </w:r>
    </w:p>
    <w:p w14:paraId="11B53CFA"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There are many theories that look into adult development and wellbeing in health and social care. It’s very important to understand psychological factors that impact human </w:t>
      </w:r>
      <w:proofErr w:type="spellStart"/>
      <w:r w:rsidRPr="006115C4">
        <w:rPr>
          <w:rFonts w:ascii="Arial" w:hAnsi="Arial" w:cs="Arial"/>
          <w:sz w:val="22"/>
          <w:szCs w:val="22"/>
        </w:rPr>
        <w:t>behaviour</w:t>
      </w:r>
      <w:proofErr w:type="spellEnd"/>
      <w:r w:rsidRPr="006115C4">
        <w:rPr>
          <w:rFonts w:ascii="Arial" w:hAnsi="Arial" w:cs="Arial"/>
          <w:sz w:val="22"/>
          <w:szCs w:val="22"/>
        </w:rPr>
        <w:t xml:space="preserve">. </w:t>
      </w:r>
      <w:r w:rsidRPr="006115C4">
        <w:rPr>
          <w:rFonts w:ascii="Arial" w:hAnsi="Arial" w:cs="Arial"/>
          <w:sz w:val="22"/>
          <w:szCs w:val="22"/>
        </w:rPr>
        <w:t xml:space="preserve">“Adult development (AD) theories have a great potential for use in providing perspective and create new understanding of societal problems and challenges.” (Philippe </w:t>
      </w:r>
      <w:proofErr w:type="spellStart"/>
      <w:r w:rsidRPr="006115C4">
        <w:rPr>
          <w:rFonts w:ascii="Arial" w:hAnsi="Arial" w:cs="Arial"/>
          <w:sz w:val="22"/>
          <w:szCs w:val="22"/>
        </w:rPr>
        <w:t>Gloaguen</w:t>
      </w:r>
      <w:proofErr w:type="spellEnd"/>
      <w:r w:rsidRPr="006115C4">
        <w:rPr>
          <w:rFonts w:ascii="Arial" w:hAnsi="Arial" w:cs="Arial"/>
          <w:sz w:val="22"/>
          <w:szCs w:val="22"/>
        </w:rPr>
        <w:t xml:space="preserve">, 2018) These provide framework to support, </w:t>
      </w:r>
      <w:proofErr w:type="spellStart"/>
      <w:r w:rsidRPr="006115C4">
        <w:rPr>
          <w:rFonts w:ascii="Arial" w:hAnsi="Arial" w:cs="Arial"/>
          <w:sz w:val="22"/>
          <w:szCs w:val="22"/>
        </w:rPr>
        <w:t>recognise</w:t>
      </w:r>
      <w:proofErr w:type="spellEnd"/>
      <w:r w:rsidRPr="006115C4">
        <w:rPr>
          <w:rFonts w:ascii="Arial" w:hAnsi="Arial" w:cs="Arial"/>
          <w:sz w:val="22"/>
          <w:szCs w:val="22"/>
        </w:rPr>
        <w:t xml:space="preserve"> and interpret individual experiences. Especially when it comes to older adults who may experience challenges that come with </w:t>
      </w:r>
      <w:proofErr w:type="spellStart"/>
      <w:r w:rsidRPr="006115C4">
        <w:rPr>
          <w:rFonts w:ascii="Arial" w:hAnsi="Arial" w:cs="Arial"/>
          <w:sz w:val="22"/>
          <w:szCs w:val="22"/>
        </w:rPr>
        <w:t>ageing</w:t>
      </w:r>
      <w:proofErr w:type="spellEnd"/>
      <w:r w:rsidRPr="006115C4">
        <w:rPr>
          <w:rFonts w:ascii="Arial" w:hAnsi="Arial" w:cs="Arial"/>
          <w:sz w:val="22"/>
          <w:szCs w:val="22"/>
        </w:rPr>
        <w:t>. For example health issues such as declining health.</w:t>
      </w:r>
      <w:r w:rsidRPr="006115C4">
        <w:rPr>
          <w:rFonts w:ascii="Arial" w:hAnsi="Arial" w:cs="Arial"/>
          <w:sz w:val="22"/>
          <w:szCs w:val="22"/>
        </w:rPr>
        <w:t xml:space="preserve"> </w:t>
      </w:r>
    </w:p>
    <w:p w14:paraId="70F10F52"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I will be examining 4 academic sources that will highlight adult development and wellbeing. I will refer to </w:t>
      </w:r>
      <w:proofErr w:type="spellStart"/>
      <w:r w:rsidRPr="006115C4">
        <w:rPr>
          <w:rFonts w:ascii="Arial" w:hAnsi="Arial" w:cs="Arial"/>
          <w:sz w:val="22"/>
          <w:szCs w:val="22"/>
        </w:rPr>
        <w:t>Bowlby’s</w:t>
      </w:r>
      <w:proofErr w:type="spellEnd"/>
      <w:r w:rsidRPr="006115C4">
        <w:rPr>
          <w:rFonts w:ascii="Arial" w:hAnsi="Arial" w:cs="Arial"/>
          <w:sz w:val="22"/>
          <w:szCs w:val="22"/>
        </w:rPr>
        <w:t xml:space="preserve"> attachment theory and positive psychology approaches when it comes to </w:t>
      </w:r>
      <w:proofErr w:type="spellStart"/>
      <w:r w:rsidRPr="006115C4">
        <w:rPr>
          <w:rFonts w:ascii="Arial" w:hAnsi="Arial" w:cs="Arial"/>
          <w:sz w:val="22"/>
          <w:szCs w:val="22"/>
        </w:rPr>
        <w:t>ageing</w:t>
      </w:r>
      <w:proofErr w:type="spellEnd"/>
      <w:r w:rsidRPr="006115C4">
        <w:rPr>
          <w:rFonts w:ascii="Arial" w:hAnsi="Arial" w:cs="Arial"/>
          <w:sz w:val="22"/>
          <w:szCs w:val="22"/>
        </w:rPr>
        <w:t>.</w:t>
      </w:r>
      <w:r w:rsidRPr="006115C4">
        <w:rPr>
          <w:rFonts w:ascii="Arial" w:hAnsi="Arial" w:cs="Arial"/>
          <w:sz w:val="22"/>
          <w:szCs w:val="22"/>
        </w:rPr>
        <w:t xml:space="preserve"> </w:t>
      </w:r>
    </w:p>
    <w:p w14:paraId="6AE5A816"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The first book I’ll discuss is A Secure Base Parent – Child Attachment and Health Human Development by John </w:t>
      </w:r>
      <w:proofErr w:type="spellStart"/>
      <w:r w:rsidRPr="006115C4">
        <w:rPr>
          <w:rFonts w:ascii="Arial" w:hAnsi="Arial" w:cs="Arial"/>
          <w:sz w:val="22"/>
          <w:szCs w:val="22"/>
        </w:rPr>
        <w:t>Bowlby</w:t>
      </w:r>
      <w:proofErr w:type="spellEnd"/>
      <w:r w:rsidRPr="006115C4">
        <w:rPr>
          <w:rFonts w:ascii="Arial" w:hAnsi="Arial" w:cs="Arial"/>
          <w:sz w:val="22"/>
          <w:szCs w:val="22"/>
        </w:rPr>
        <w:t xml:space="preserve">. It </w:t>
      </w:r>
      <w:proofErr w:type="spellStart"/>
      <w:r w:rsidRPr="006115C4">
        <w:rPr>
          <w:rFonts w:ascii="Arial" w:hAnsi="Arial" w:cs="Arial"/>
          <w:sz w:val="22"/>
          <w:szCs w:val="22"/>
        </w:rPr>
        <w:t>emphasises</w:t>
      </w:r>
      <w:proofErr w:type="spellEnd"/>
      <w:r w:rsidRPr="006115C4">
        <w:rPr>
          <w:rFonts w:ascii="Arial" w:hAnsi="Arial" w:cs="Arial"/>
          <w:sz w:val="22"/>
          <w:szCs w:val="22"/>
        </w:rPr>
        <w:t xml:space="preserve"> the importance of attachment theory in a child’s early years, which is the relationship a child has with their carers.  A secure attachment will result in many positive things, such as emotional stability and the ability to form healthy relationships with others. “Secure Base: Attachment figures provide a secure base that empowers exploration and independence, and a safe haven offering comfort and protection during distress or danger.”(</w:t>
      </w:r>
      <w:proofErr w:type="spellStart"/>
      <w:r w:rsidRPr="006115C4">
        <w:rPr>
          <w:rFonts w:ascii="Arial" w:hAnsi="Arial" w:cs="Arial"/>
          <w:sz w:val="22"/>
          <w:szCs w:val="22"/>
        </w:rPr>
        <w:t>Mcleod</w:t>
      </w:r>
      <w:proofErr w:type="spellEnd"/>
      <w:r w:rsidRPr="006115C4">
        <w:rPr>
          <w:rFonts w:ascii="Arial" w:hAnsi="Arial" w:cs="Arial"/>
          <w:sz w:val="22"/>
          <w:szCs w:val="22"/>
        </w:rPr>
        <w:t>, 2025) On the other hand, an insecure attac</w:t>
      </w:r>
      <w:r w:rsidRPr="006115C4">
        <w:rPr>
          <w:rFonts w:ascii="Arial" w:hAnsi="Arial" w:cs="Arial"/>
          <w:sz w:val="22"/>
          <w:szCs w:val="22"/>
        </w:rPr>
        <w:t>hment can make it difficult for a child to trust people or build healthy relationships.</w:t>
      </w:r>
      <w:r w:rsidRPr="006115C4">
        <w:rPr>
          <w:rFonts w:ascii="Arial" w:hAnsi="Arial" w:cs="Arial"/>
          <w:sz w:val="22"/>
          <w:szCs w:val="22"/>
        </w:rPr>
        <w:t xml:space="preserve"> “1963 by The World Health </w:t>
      </w:r>
      <w:proofErr w:type="spellStart"/>
      <w:r w:rsidRPr="006115C4">
        <w:rPr>
          <w:rFonts w:ascii="Arial" w:hAnsi="Arial" w:cs="Arial"/>
          <w:sz w:val="22"/>
          <w:szCs w:val="22"/>
        </w:rPr>
        <w:t>Organisation</w:t>
      </w:r>
      <w:proofErr w:type="spellEnd"/>
      <w:r w:rsidRPr="006115C4">
        <w:rPr>
          <w:rFonts w:ascii="Arial" w:hAnsi="Arial" w:cs="Arial"/>
          <w:sz w:val="22"/>
          <w:szCs w:val="22"/>
        </w:rPr>
        <w:t xml:space="preserve"> of a collection of articles in which the manifold effects of the Various types of experience covered by the term ‘deprivation of maternal care’ were reassessed.” (</w:t>
      </w:r>
      <w:proofErr w:type="spellStart"/>
      <w:r w:rsidRPr="006115C4">
        <w:rPr>
          <w:rFonts w:ascii="Arial" w:hAnsi="Arial" w:cs="Arial"/>
          <w:sz w:val="22"/>
          <w:szCs w:val="22"/>
        </w:rPr>
        <w:t>Bowlby</w:t>
      </w:r>
      <w:proofErr w:type="spellEnd"/>
      <w:r w:rsidRPr="006115C4">
        <w:rPr>
          <w:rFonts w:ascii="Arial" w:hAnsi="Arial" w:cs="Arial"/>
          <w:sz w:val="22"/>
          <w:szCs w:val="22"/>
        </w:rPr>
        <w:t xml:space="preserve">, 1988) </w:t>
      </w:r>
      <w:proofErr w:type="spellStart"/>
      <w:r w:rsidRPr="006115C4">
        <w:rPr>
          <w:rFonts w:ascii="Arial" w:hAnsi="Arial" w:cs="Arial"/>
          <w:sz w:val="22"/>
          <w:szCs w:val="22"/>
        </w:rPr>
        <w:t>Bowlby’s</w:t>
      </w:r>
      <w:proofErr w:type="spellEnd"/>
      <w:r w:rsidRPr="006115C4">
        <w:rPr>
          <w:rFonts w:ascii="Arial" w:hAnsi="Arial" w:cs="Arial"/>
          <w:sz w:val="22"/>
          <w:szCs w:val="22"/>
        </w:rPr>
        <w:t xml:space="preserve"> theory emphasize that attachment  </w:t>
      </w:r>
      <w:proofErr w:type="spellStart"/>
      <w:r w:rsidRPr="006115C4">
        <w:rPr>
          <w:rFonts w:ascii="Arial" w:hAnsi="Arial" w:cs="Arial"/>
          <w:sz w:val="22"/>
          <w:szCs w:val="22"/>
        </w:rPr>
        <w:t>behaviours</w:t>
      </w:r>
      <w:proofErr w:type="spellEnd"/>
      <w:r w:rsidRPr="006115C4">
        <w:rPr>
          <w:rFonts w:ascii="Arial" w:hAnsi="Arial" w:cs="Arial"/>
          <w:sz w:val="22"/>
          <w:szCs w:val="22"/>
        </w:rPr>
        <w:t xml:space="preserve"> continue to impact throughout adulthood. This can impact how individuals  respond to stress and loss in later life. “</w:t>
      </w:r>
      <w:r w:rsidRPr="006115C4">
        <w:rPr>
          <w:rFonts w:ascii="Arial" w:hAnsi="Arial" w:cs="Arial"/>
          <w:sz w:val="22"/>
          <w:szCs w:val="22"/>
        </w:rPr>
        <w:t>For example, a new light is thrown on</w:t>
      </w:r>
      <w:r w:rsidRPr="006115C4">
        <w:rPr>
          <w:rFonts w:ascii="Arial" w:hAnsi="Arial" w:cs="Arial"/>
          <w:sz w:val="22"/>
          <w:szCs w:val="22"/>
        </w:rPr>
        <w:t xml:space="preserve"> the problem of separation anxiety, namely anxiety About losing, or becoming separated from, someone loved. Why ‘mere separation’ should Cause anxiety has been a mystery. Freud wrestled with the problem and advanced a number of Hypotheses ( Freud 1926; Strachey 1959).” </w:t>
      </w:r>
    </w:p>
    <w:p w14:paraId="076E3208"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This theory is useful in the health and social care sectors because it enables practitioners and experts to identify and understand various </w:t>
      </w:r>
      <w:proofErr w:type="spellStart"/>
      <w:r w:rsidRPr="006115C4">
        <w:rPr>
          <w:rFonts w:ascii="Arial" w:hAnsi="Arial" w:cs="Arial"/>
          <w:sz w:val="22"/>
          <w:szCs w:val="22"/>
        </w:rPr>
        <w:t>behaviours</w:t>
      </w:r>
      <w:proofErr w:type="spellEnd"/>
      <w:r w:rsidRPr="006115C4">
        <w:rPr>
          <w:rFonts w:ascii="Arial" w:hAnsi="Arial" w:cs="Arial"/>
          <w:sz w:val="22"/>
          <w:szCs w:val="22"/>
        </w:rPr>
        <w:t xml:space="preserve">. Particularly for people who are in residential care .  However, </w:t>
      </w:r>
      <w:proofErr w:type="spellStart"/>
      <w:r w:rsidRPr="006115C4">
        <w:rPr>
          <w:rFonts w:ascii="Arial" w:hAnsi="Arial" w:cs="Arial"/>
          <w:sz w:val="22"/>
          <w:szCs w:val="22"/>
        </w:rPr>
        <w:t>Bowlby’s</w:t>
      </w:r>
      <w:proofErr w:type="spellEnd"/>
      <w:r w:rsidRPr="006115C4">
        <w:rPr>
          <w:rFonts w:ascii="Arial" w:hAnsi="Arial" w:cs="Arial"/>
          <w:sz w:val="22"/>
          <w:szCs w:val="22"/>
        </w:rPr>
        <w:t xml:space="preserve"> hypothesis has a drawback in that it places a lot of emphasis on early life events and does not always take into account the changes a person encounters as an adult. “The social care system in its current form is struggling to meet the needs of older people. Six consecutive years of cuts to local authority budgets have </w:t>
      </w:r>
      <w:r w:rsidRPr="006115C4">
        <w:rPr>
          <w:rFonts w:ascii="Arial" w:hAnsi="Arial" w:cs="Arial"/>
          <w:sz w:val="22"/>
          <w:szCs w:val="22"/>
        </w:rPr>
        <w:t xml:space="preserve"> </w:t>
      </w:r>
    </w:p>
    <w:p w14:paraId="29820EE3" w14:textId="77777777" w:rsidR="00887792" w:rsidRPr="006115C4" w:rsidRDefault="00456CA6">
      <w:pPr>
        <w:spacing w:after="184" w:line="259" w:lineRule="auto"/>
        <w:ind w:left="0" w:firstLine="0"/>
        <w:rPr>
          <w:rFonts w:ascii="Arial" w:hAnsi="Arial" w:cs="Arial"/>
          <w:sz w:val="22"/>
          <w:szCs w:val="22"/>
        </w:rPr>
      </w:pPr>
      <w:r w:rsidRPr="006115C4">
        <w:rPr>
          <w:rFonts w:ascii="Arial" w:hAnsi="Arial" w:cs="Arial"/>
          <w:sz w:val="22"/>
          <w:szCs w:val="22"/>
        </w:rPr>
        <w:lastRenderedPageBreak/>
        <w:t xml:space="preserve"> </w:t>
      </w:r>
    </w:p>
    <w:p w14:paraId="7D81D3DB"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Seen 26 per cent fewer people get help.” (Humphries et al., 2016) Therefore, professionals in the fields of health and social care must strike a balance between attachment-based knowledge and acknowledging later-life experiences.  </w:t>
      </w:r>
      <w:r w:rsidRPr="006115C4">
        <w:rPr>
          <w:rFonts w:ascii="Arial" w:hAnsi="Arial" w:cs="Arial"/>
          <w:sz w:val="22"/>
          <w:szCs w:val="22"/>
        </w:rPr>
        <w:t xml:space="preserve"> </w:t>
      </w:r>
    </w:p>
    <w:p w14:paraId="78A97E01" w14:textId="77777777" w:rsidR="00887792" w:rsidRPr="006115C4" w:rsidRDefault="00456CA6">
      <w:pPr>
        <w:spacing w:after="14"/>
        <w:ind w:left="-5"/>
        <w:rPr>
          <w:rFonts w:ascii="Arial" w:hAnsi="Arial" w:cs="Arial"/>
          <w:sz w:val="22"/>
          <w:szCs w:val="22"/>
        </w:rPr>
      </w:pPr>
      <w:r w:rsidRPr="006115C4">
        <w:rPr>
          <w:rFonts w:ascii="Arial" w:hAnsi="Arial" w:cs="Arial"/>
          <w:sz w:val="22"/>
          <w:szCs w:val="22"/>
        </w:rPr>
        <w:t xml:space="preserve">The second book, The Life Cycle Completed, explores Erik </w:t>
      </w:r>
      <w:proofErr w:type="spellStart"/>
      <w:r w:rsidRPr="006115C4">
        <w:rPr>
          <w:rFonts w:ascii="Arial" w:hAnsi="Arial" w:cs="Arial"/>
          <w:sz w:val="22"/>
          <w:szCs w:val="22"/>
        </w:rPr>
        <w:t>Erikson’s</w:t>
      </w:r>
      <w:proofErr w:type="spellEnd"/>
      <w:r w:rsidRPr="006115C4">
        <w:rPr>
          <w:rFonts w:ascii="Arial" w:hAnsi="Arial" w:cs="Arial"/>
          <w:sz w:val="22"/>
          <w:szCs w:val="22"/>
        </w:rPr>
        <w:t xml:space="preserve"> psychosocial theory. </w:t>
      </w:r>
    </w:p>
    <w:p w14:paraId="1953D989" w14:textId="77777777" w:rsidR="00887792" w:rsidRPr="006115C4" w:rsidRDefault="00456CA6">
      <w:pPr>
        <w:ind w:left="-5"/>
        <w:rPr>
          <w:rFonts w:ascii="Arial" w:hAnsi="Arial" w:cs="Arial"/>
          <w:sz w:val="22"/>
          <w:szCs w:val="22"/>
        </w:rPr>
      </w:pPr>
      <w:r w:rsidRPr="006115C4">
        <w:rPr>
          <w:rFonts w:ascii="Arial" w:hAnsi="Arial" w:cs="Arial"/>
          <w:sz w:val="22"/>
          <w:szCs w:val="22"/>
        </w:rPr>
        <w:t>This encompasses eight stages of an individual’s development throughout their lifetime. “Stages arise as individuals grow and face new decisions and turning points during childhood, adolescence, and adulthood. Each stage is defined by 2 opposing psychological tendencies: positive (</w:t>
      </w:r>
      <w:proofErr w:type="spellStart"/>
      <w:r w:rsidRPr="006115C4">
        <w:rPr>
          <w:rFonts w:ascii="Arial" w:hAnsi="Arial" w:cs="Arial"/>
          <w:sz w:val="22"/>
          <w:szCs w:val="22"/>
        </w:rPr>
        <w:t>syntonic</w:t>
      </w:r>
      <w:proofErr w:type="spellEnd"/>
      <w:r w:rsidRPr="006115C4">
        <w:rPr>
          <w:rFonts w:ascii="Arial" w:hAnsi="Arial" w:cs="Arial"/>
          <w:sz w:val="22"/>
          <w:szCs w:val="22"/>
        </w:rPr>
        <w:t>) and negative (dystonic).”(</w:t>
      </w:r>
      <w:proofErr w:type="spellStart"/>
      <w:r w:rsidRPr="006115C4">
        <w:rPr>
          <w:rFonts w:ascii="Arial" w:hAnsi="Arial" w:cs="Arial"/>
          <w:sz w:val="22"/>
          <w:szCs w:val="22"/>
        </w:rPr>
        <w:t>Orenstein</w:t>
      </w:r>
      <w:proofErr w:type="spellEnd"/>
      <w:r w:rsidRPr="006115C4">
        <w:rPr>
          <w:rFonts w:ascii="Arial" w:hAnsi="Arial" w:cs="Arial"/>
          <w:sz w:val="22"/>
          <w:szCs w:val="22"/>
        </w:rPr>
        <w:t xml:space="preserve"> and Lewis, 2022) For older individuals, the final stage—“ego integrity vs. Despair”—is critical. It suggests that when people reflect on their life, they either find acceptance and </w:t>
      </w:r>
      <w:proofErr w:type="spellStart"/>
      <w:r w:rsidRPr="006115C4">
        <w:rPr>
          <w:rFonts w:ascii="Arial" w:hAnsi="Arial" w:cs="Arial"/>
          <w:sz w:val="22"/>
          <w:szCs w:val="22"/>
        </w:rPr>
        <w:t>fulfilment</w:t>
      </w:r>
      <w:proofErr w:type="spellEnd"/>
      <w:r w:rsidRPr="006115C4">
        <w:rPr>
          <w:rFonts w:ascii="Arial" w:hAnsi="Arial" w:cs="Arial"/>
          <w:sz w:val="22"/>
          <w:szCs w:val="22"/>
        </w:rPr>
        <w:t xml:space="preserve"> or regret and unhappiness.(Pages 1–15 of </w:t>
      </w:r>
      <w:proofErr w:type="spellStart"/>
      <w:r w:rsidRPr="006115C4">
        <w:rPr>
          <w:rFonts w:ascii="Arial" w:hAnsi="Arial" w:cs="Arial"/>
          <w:sz w:val="22"/>
          <w:szCs w:val="22"/>
        </w:rPr>
        <w:t>Erikson</w:t>
      </w:r>
      <w:proofErr w:type="spellEnd"/>
      <w:r w:rsidRPr="006115C4">
        <w:rPr>
          <w:rFonts w:ascii="Arial" w:hAnsi="Arial" w:cs="Arial"/>
          <w:sz w:val="22"/>
          <w:szCs w:val="22"/>
        </w:rPr>
        <w:t xml:space="preserve"> &amp; </w:t>
      </w:r>
      <w:proofErr w:type="spellStart"/>
      <w:r w:rsidRPr="006115C4">
        <w:rPr>
          <w:rFonts w:ascii="Arial" w:hAnsi="Arial" w:cs="Arial"/>
          <w:sz w:val="22"/>
          <w:szCs w:val="22"/>
        </w:rPr>
        <w:t>Erikson</w:t>
      </w:r>
      <w:proofErr w:type="spellEnd"/>
      <w:r w:rsidRPr="006115C4">
        <w:rPr>
          <w:rFonts w:ascii="Arial" w:hAnsi="Arial" w:cs="Arial"/>
          <w:sz w:val="22"/>
          <w:szCs w:val="22"/>
        </w:rPr>
        <w:t>, 1998)</w:t>
      </w:r>
      <w:r w:rsidRPr="006115C4">
        <w:rPr>
          <w:rFonts w:ascii="Arial" w:hAnsi="Arial" w:cs="Arial"/>
          <w:sz w:val="22"/>
          <w:szCs w:val="22"/>
        </w:rPr>
        <w:t xml:space="preserve"> </w:t>
      </w:r>
    </w:p>
    <w:p w14:paraId="40CD2946" w14:textId="77777777" w:rsidR="00887792" w:rsidRPr="006115C4" w:rsidRDefault="00456CA6">
      <w:pPr>
        <w:ind w:left="-5"/>
        <w:rPr>
          <w:rFonts w:ascii="Arial" w:hAnsi="Arial" w:cs="Arial"/>
          <w:sz w:val="22"/>
          <w:szCs w:val="22"/>
        </w:rPr>
      </w:pPr>
      <w:proofErr w:type="spellStart"/>
      <w:r w:rsidRPr="006115C4">
        <w:rPr>
          <w:rFonts w:ascii="Arial" w:hAnsi="Arial" w:cs="Arial"/>
          <w:sz w:val="22"/>
          <w:szCs w:val="22"/>
        </w:rPr>
        <w:t>Erikson’s</w:t>
      </w:r>
      <w:proofErr w:type="spellEnd"/>
      <w:r w:rsidRPr="006115C4">
        <w:rPr>
          <w:rFonts w:ascii="Arial" w:hAnsi="Arial" w:cs="Arial"/>
          <w:sz w:val="22"/>
          <w:szCs w:val="22"/>
        </w:rPr>
        <w:t xml:space="preserve"> theory is applied to promote emotional health as people age. It provides guidance for treatments like life review therapy, which can assist senior citizens in finding closure and purpose in their lives. This is important to allow older people to be actively involved when it comes to there daily life. However, because different people age differently, the idea has been challenged for being overly stage-based and rigid. Furthermore, there is little consideration of cultural and socioeconomic variations in </w:t>
      </w:r>
      <w:proofErr w:type="spellStart"/>
      <w:r w:rsidRPr="006115C4">
        <w:rPr>
          <w:rFonts w:ascii="Arial" w:hAnsi="Arial" w:cs="Arial"/>
          <w:sz w:val="22"/>
          <w:szCs w:val="22"/>
        </w:rPr>
        <w:t>ag</w:t>
      </w:r>
      <w:r w:rsidRPr="006115C4">
        <w:rPr>
          <w:rFonts w:ascii="Arial" w:hAnsi="Arial" w:cs="Arial"/>
          <w:sz w:val="22"/>
          <w:szCs w:val="22"/>
        </w:rPr>
        <w:t>eing</w:t>
      </w:r>
      <w:proofErr w:type="spellEnd"/>
      <w:r w:rsidRPr="006115C4">
        <w:rPr>
          <w:rFonts w:ascii="Arial" w:hAnsi="Arial" w:cs="Arial"/>
          <w:sz w:val="22"/>
          <w:szCs w:val="22"/>
        </w:rPr>
        <w:t xml:space="preserve">. </w:t>
      </w:r>
      <w:r w:rsidRPr="006115C4">
        <w:rPr>
          <w:rFonts w:ascii="Arial" w:hAnsi="Arial" w:cs="Arial"/>
          <w:sz w:val="22"/>
          <w:szCs w:val="22"/>
        </w:rPr>
        <w:t xml:space="preserve"> </w:t>
      </w:r>
    </w:p>
    <w:p w14:paraId="19B5275E"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The third book is Flourish: A Visionary New Understanding of Happiness and Well-being, By Martin E. P. </w:t>
      </w:r>
      <w:proofErr w:type="spellStart"/>
      <w:r w:rsidRPr="006115C4">
        <w:rPr>
          <w:rFonts w:ascii="Arial" w:hAnsi="Arial" w:cs="Arial"/>
          <w:sz w:val="22"/>
          <w:szCs w:val="22"/>
        </w:rPr>
        <w:t>Seligman</w:t>
      </w:r>
      <w:proofErr w:type="spellEnd"/>
      <w:r w:rsidRPr="006115C4">
        <w:rPr>
          <w:rFonts w:ascii="Arial" w:hAnsi="Arial" w:cs="Arial"/>
          <w:sz w:val="22"/>
          <w:szCs w:val="22"/>
        </w:rPr>
        <w:t xml:space="preserve">. </w:t>
      </w:r>
      <w:proofErr w:type="spellStart"/>
      <w:r w:rsidRPr="006115C4">
        <w:rPr>
          <w:rFonts w:ascii="Arial" w:hAnsi="Arial" w:cs="Arial"/>
          <w:sz w:val="22"/>
          <w:szCs w:val="22"/>
        </w:rPr>
        <w:t>Seligman</w:t>
      </w:r>
      <w:proofErr w:type="spellEnd"/>
      <w:r w:rsidRPr="006115C4">
        <w:rPr>
          <w:rFonts w:ascii="Arial" w:hAnsi="Arial" w:cs="Arial"/>
          <w:sz w:val="22"/>
          <w:szCs w:val="22"/>
        </w:rPr>
        <w:t xml:space="preserve"> introduces the PERMA model, which has five stages of wellbeing: positive emotion, engagement, relationships, meaning, and accomplishment. “Focusing on these areas can enhance life satisfaction &amp; resilience by fostering a balanced &amp; fulfilling life.Applying PERMA principles encourages personal growth &amp; improved mental health, leading to sustained happiness &amp; fulfillment.”(</w:t>
      </w:r>
      <w:proofErr w:type="spellStart"/>
      <w:r w:rsidRPr="006115C4">
        <w:rPr>
          <w:rFonts w:ascii="Arial" w:hAnsi="Arial" w:cs="Arial"/>
          <w:sz w:val="22"/>
          <w:szCs w:val="22"/>
        </w:rPr>
        <w:t>Madeson</w:t>
      </w:r>
      <w:proofErr w:type="spellEnd"/>
      <w:r w:rsidRPr="006115C4">
        <w:rPr>
          <w:rFonts w:ascii="Arial" w:hAnsi="Arial" w:cs="Arial"/>
          <w:sz w:val="22"/>
          <w:szCs w:val="22"/>
        </w:rPr>
        <w:t xml:space="preserve">, 2017) This theory </w:t>
      </w:r>
      <w:proofErr w:type="spellStart"/>
      <w:r w:rsidRPr="006115C4">
        <w:rPr>
          <w:rFonts w:ascii="Arial" w:hAnsi="Arial" w:cs="Arial"/>
          <w:sz w:val="22"/>
          <w:szCs w:val="22"/>
        </w:rPr>
        <w:t>emphasises</w:t>
      </w:r>
      <w:proofErr w:type="spellEnd"/>
      <w:r w:rsidRPr="006115C4">
        <w:rPr>
          <w:rFonts w:ascii="Arial" w:hAnsi="Arial" w:cs="Arial"/>
          <w:sz w:val="22"/>
          <w:szCs w:val="22"/>
        </w:rPr>
        <w:t xml:space="preserve"> strengths, resilience, and the potential for growth throughout the lifespan, incl</w:t>
      </w:r>
      <w:r w:rsidRPr="006115C4">
        <w:rPr>
          <w:rFonts w:ascii="Arial" w:hAnsi="Arial" w:cs="Arial"/>
          <w:sz w:val="22"/>
          <w:szCs w:val="22"/>
        </w:rPr>
        <w:t>uding in older age. (</w:t>
      </w:r>
      <w:proofErr w:type="spellStart"/>
      <w:r w:rsidRPr="006115C4">
        <w:rPr>
          <w:rFonts w:ascii="Arial" w:hAnsi="Arial" w:cs="Arial"/>
          <w:sz w:val="22"/>
          <w:szCs w:val="22"/>
        </w:rPr>
        <w:t>Selligman</w:t>
      </w:r>
      <w:proofErr w:type="spellEnd"/>
      <w:r w:rsidRPr="006115C4">
        <w:rPr>
          <w:rFonts w:ascii="Arial" w:hAnsi="Arial" w:cs="Arial"/>
          <w:sz w:val="22"/>
          <w:szCs w:val="22"/>
        </w:rPr>
        <w:t>, 2024)</w:t>
      </w:r>
      <w:r w:rsidRPr="006115C4">
        <w:rPr>
          <w:rFonts w:ascii="Arial" w:hAnsi="Arial" w:cs="Arial"/>
          <w:sz w:val="22"/>
          <w:szCs w:val="22"/>
        </w:rPr>
        <w:t xml:space="preserve"> </w:t>
      </w:r>
    </w:p>
    <w:p w14:paraId="55B3F8D2" w14:textId="77777777" w:rsidR="00887792" w:rsidRPr="006115C4" w:rsidRDefault="00456CA6">
      <w:pPr>
        <w:ind w:left="-5"/>
        <w:rPr>
          <w:rFonts w:ascii="Arial" w:hAnsi="Arial" w:cs="Arial"/>
          <w:sz w:val="22"/>
          <w:szCs w:val="22"/>
        </w:rPr>
      </w:pPr>
      <w:r w:rsidRPr="006115C4">
        <w:rPr>
          <w:rFonts w:ascii="Arial" w:hAnsi="Arial" w:cs="Arial"/>
          <w:sz w:val="22"/>
          <w:szCs w:val="22"/>
        </w:rPr>
        <w:t>Positive psychology is  relevant in health and social care as it shifts the focus from illness  to wellbeing and quality of life. “The first step in positive psychology is dissolve the monism of happiness into more workable term.” (</w:t>
      </w:r>
      <w:proofErr w:type="spellStart"/>
      <w:r w:rsidRPr="006115C4">
        <w:rPr>
          <w:rFonts w:ascii="Arial" w:hAnsi="Arial" w:cs="Arial"/>
          <w:sz w:val="22"/>
          <w:szCs w:val="22"/>
        </w:rPr>
        <w:t>Selligman</w:t>
      </w:r>
      <w:proofErr w:type="spellEnd"/>
      <w:r w:rsidRPr="006115C4">
        <w:rPr>
          <w:rFonts w:ascii="Arial" w:hAnsi="Arial" w:cs="Arial"/>
          <w:sz w:val="22"/>
          <w:szCs w:val="22"/>
        </w:rPr>
        <w:t xml:space="preserve">, 2024) Instead of focusing on the negative.  It supports  active </w:t>
      </w:r>
      <w:proofErr w:type="spellStart"/>
      <w:r w:rsidRPr="006115C4">
        <w:rPr>
          <w:rFonts w:ascii="Arial" w:hAnsi="Arial" w:cs="Arial"/>
          <w:sz w:val="22"/>
          <w:szCs w:val="22"/>
        </w:rPr>
        <w:t>ageing</w:t>
      </w:r>
      <w:proofErr w:type="spellEnd"/>
      <w:r w:rsidRPr="006115C4">
        <w:rPr>
          <w:rFonts w:ascii="Arial" w:hAnsi="Arial" w:cs="Arial"/>
          <w:sz w:val="22"/>
          <w:szCs w:val="22"/>
        </w:rPr>
        <w:t xml:space="preserve">. This can be done through encourage adults with similar interests to </w:t>
      </w:r>
      <w:proofErr w:type="spellStart"/>
      <w:r w:rsidRPr="006115C4">
        <w:rPr>
          <w:rFonts w:ascii="Arial" w:hAnsi="Arial" w:cs="Arial"/>
          <w:sz w:val="22"/>
          <w:szCs w:val="22"/>
        </w:rPr>
        <w:t>socialise</w:t>
      </w:r>
      <w:proofErr w:type="spellEnd"/>
      <w:r w:rsidRPr="006115C4">
        <w:rPr>
          <w:rFonts w:ascii="Arial" w:hAnsi="Arial" w:cs="Arial"/>
          <w:sz w:val="22"/>
          <w:szCs w:val="22"/>
        </w:rPr>
        <w:t xml:space="preserve"> and interact with each other. However, critics argue that the model may overlook structural inequalities such as poverty, poor health, and limited access to care, which can significantly impact wellbeing. As not all </w:t>
      </w:r>
      <w:proofErr w:type="spellStart"/>
      <w:r w:rsidRPr="006115C4">
        <w:rPr>
          <w:rFonts w:ascii="Arial" w:hAnsi="Arial" w:cs="Arial"/>
          <w:sz w:val="22"/>
          <w:szCs w:val="22"/>
        </w:rPr>
        <w:t>senier</w:t>
      </w:r>
      <w:proofErr w:type="spellEnd"/>
      <w:r w:rsidRPr="006115C4">
        <w:rPr>
          <w:rFonts w:ascii="Arial" w:hAnsi="Arial" w:cs="Arial"/>
          <w:sz w:val="22"/>
          <w:szCs w:val="22"/>
        </w:rPr>
        <w:t xml:space="preserve"> adults are in care homes and have access to a wide range of resources. Despite this, the PERMA model provides a valuable framewo</w:t>
      </w:r>
      <w:r w:rsidRPr="006115C4">
        <w:rPr>
          <w:rFonts w:ascii="Arial" w:hAnsi="Arial" w:cs="Arial"/>
          <w:sz w:val="22"/>
          <w:szCs w:val="22"/>
        </w:rPr>
        <w:t xml:space="preserve">rk for promoting mental health and resilience in </w:t>
      </w:r>
      <w:proofErr w:type="spellStart"/>
      <w:r w:rsidRPr="006115C4">
        <w:rPr>
          <w:rFonts w:ascii="Arial" w:hAnsi="Arial" w:cs="Arial"/>
          <w:sz w:val="22"/>
          <w:szCs w:val="22"/>
        </w:rPr>
        <w:t>ageing</w:t>
      </w:r>
      <w:proofErr w:type="spellEnd"/>
      <w:r w:rsidRPr="006115C4">
        <w:rPr>
          <w:rFonts w:ascii="Arial" w:hAnsi="Arial" w:cs="Arial"/>
          <w:sz w:val="22"/>
          <w:szCs w:val="22"/>
        </w:rPr>
        <w:t xml:space="preserve"> </w:t>
      </w:r>
      <w:r w:rsidRPr="006115C4">
        <w:rPr>
          <w:rFonts w:ascii="Arial" w:hAnsi="Arial" w:cs="Arial"/>
          <w:sz w:val="22"/>
          <w:szCs w:val="22"/>
        </w:rPr>
        <w:lastRenderedPageBreak/>
        <w:t>populations.  “ authentic happiness theory positive psychology is about happiness in three guides – positive emotion, engagement, and meaning.” (</w:t>
      </w:r>
      <w:proofErr w:type="spellStart"/>
      <w:r w:rsidRPr="006115C4">
        <w:rPr>
          <w:rFonts w:ascii="Arial" w:hAnsi="Arial" w:cs="Arial"/>
          <w:sz w:val="22"/>
          <w:szCs w:val="22"/>
        </w:rPr>
        <w:t>Selligman</w:t>
      </w:r>
      <w:proofErr w:type="spellEnd"/>
      <w:r w:rsidRPr="006115C4">
        <w:rPr>
          <w:rFonts w:ascii="Arial" w:hAnsi="Arial" w:cs="Arial"/>
          <w:sz w:val="22"/>
          <w:szCs w:val="22"/>
        </w:rPr>
        <w:t>, 2024)</w:t>
      </w:r>
      <w:r w:rsidRPr="006115C4">
        <w:rPr>
          <w:rFonts w:ascii="Arial" w:hAnsi="Arial" w:cs="Arial"/>
          <w:sz w:val="22"/>
          <w:szCs w:val="22"/>
        </w:rPr>
        <w:t xml:space="preserve"> </w:t>
      </w:r>
    </w:p>
    <w:p w14:paraId="745D688D" w14:textId="77777777" w:rsidR="00887792" w:rsidRPr="006115C4" w:rsidRDefault="00456CA6">
      <w:pPr>
        <w:spacing w:after="25" w:line="268" w:lineRule="auto"/>
        <w:ind w:left="-5"/>
        <w:rPr>
          <w:rFonts w:ascii="Arial" w:hAnsi="Arial" w:cs="Arial"/>
          <w:sz w:val="22"/>
          <w:szCs w:val="22"/>
        </w:rPr>
      </w:pPr>
      <w:r w:rsidRPr="006115C4">
        <w:rPr>
          <w:rFonts w:ascii="Arial" w:eastAsia="Arial" w:hAnsi="Arial" w:cs="Arial"/>
          <w:color w:val="333333"/>
          <w:sz w:val="22"/>
          <w:szCs w:val="22"/>
        </w:rPr>
        <w:t xml:space="preserve">The fourth book I looked at, is called Successful Aging: Perspectives from the </w:t>
      </w:r>
    </w:p>
    <w:p w14:paraId="3E80E860" w14:textId="77777777" w:rsidR="00887792" w:rsidRPr="006115C4" w:rsidRDefault="00456CA6">
      <w:pPr>
        <w:ind w:left="-5"/>
        <w:rPr>
          <w:rFonts w:ascii="Arial" w:hAnsi="Arial" w:cs="Arial"/>
          <w:sz w:val="22"/>
          <w:szCs w:val="22"/>
        </w:rPr>
      </w:pPr>
      <w:r w:rsidRPr="006115C4">
        <w:rPr>
          <w:rFonts w:ascii="Arial" w:eastAsia="Arial" w:hAnsi="Arial" w:cs="Arial"/>
          <w:color w:val="333333"/>
          <w:sz w:val="22"/>
          <w:szCs w:val="22"/>
        </w:rPr>
        <w:t xml:space="preserve">Behavioral Sciences </w:t>
      </w:r>
      <w:r w:rsidRPr="006115C4">
        <w:rPr>
          <w:rFonts w:ascii="Arial" w:hAnsi="Arial" w:cs="Arial"/>
          <w:sz w:val="22"/>
          <w:szCs w:val="22"/>
        </w:rPr>
        <w:t xml:space="preserve">by Paul Boris </w:t>
      </w:r>
      <w:proofErr w:type="spellStart"/>
      <w:r w:rsidRPr="006115C4">
        <w:rPr>
          <w:rFonts w:ascii="Arial" w:hAnsi="Arial" w:cs="Arial"/>
          <w:sz w:val="22"/>
          <w:szCs w:val="22"/>
        </w:rPr>
        <w:t>Baltes</w:t>
      </w:r>
      <w:proofErr w:type="spellEnd"/>
      <w:r w:rsidRPr="006115C4">
        <w:rPr>
          <w:rFonts w:ascii="Arial" w:hAnsi="Arial" w:cs="Arial"/>
          <w:sz w:val="22"/>
          <w:szCs w:val="22"/>
        </w:rPr>
        <w:t xml:space="preserve">. The authors develop a model of </w:t>
      </w:r>
      <w:proofErr w:type="spellStart"/>
      <w:r w:rsidRPr="006115C4">
        <w:rPr>
          <w:rFonts w:ascii="Arial" w:hAnsi="Arial" w:cs="Arial"/>
          <w:sz w:val="22"/>
          <w:szCs w:val="22"/>
        </w:rPr>
        <w:t>ageing</w:t>
      </w:r>
      <w:proofErr w:type="spellEnd"/>
      <w:r w:rsidRPr="006115C4">
        <w:rPr>
          <w:rFonts w:ascii="Arial" w:hAnsi="Arial" w:cs="Arial"/>
          <w:sz w:val="22"/>
          <w:szCs w:val="22"/>
        </w:rPr>
        <w:t xml:space="preserve"> known as the Selection, </w:t>
      </w:r>
      <w:proofErr w:type="spellStart"/>
      <w:r w:rsidRPr="006115C4">
        <w:rPr>
          <w:rFonts w:ascii="Arial" w:hAnsi="Arial" w:cs="Arial"/>
          <w:sz w:val="22"/>
          <w:szCs w:val="22"/>
        </w:rPr>
        <w:t>Optimisation</w:t>
      </w:r>
      <w:proofErr w:type="spellEnd"/>
      <w:r w:rsidRPr="006115C4">
        <w:rPr>
          <w:rFonts w:ascii="Arial" w:hAnsi="Arial" w:cs="Arial"/>
          <w:sz w:val="22"/>
          <w:szCs w:val="22"/>
        </w:rPr>
        <w:t xml:space="preserve">, and Compensation (SOC) model. According to this paradigm, people adjust to </w:t>
      </w:r>
      <w:proofErr w:type="spellStart"/>
      <w:r w:rsidRPr="006115C4">
        <w:rPr>
          <w:rFonts w:ascii="Arial" w:hAnsi="Arial" w:cs="Arial"/>
          <w:sz w:val="22"/>
          <w:szCs w:val="22"/>
        </w:rPr>
        <w:t>ageing</w:t>
      </w:r>
      <w:proofErr w:type="spellEnd"/>
      <w:r w:rsidRPr="006115C4">
        <w:rPr>
          <w:rFonts w:ascii="Arial" w:hAnsi="Arial" w:cs="Arial"/>
          <w:sz w:val="22"/>
          <w:szCs w:val="22"/>
        </w:rPr>
        <w:t xml:space="preserve"> by setting goals, making the most of their skills, and making up for losses.(</w:t>
      </w:r>
      <w:proofErr w:type="spellStart"/>
      <w:r w:rsidRPr="006115C4">
        <w:rPr>
          <w:rFonts w:ascii="Arial" w:hAnsi="Arial" w:cs="Arial"/>
          <w:sz w:val="22"/>
          <w:szCs w:val="22"/>
        </w:rPr>
        <w:t>Baltes</w:t>
      </w:r>
      <w:proofErr w:type="spellEnd"/>
      <w:r w:rsidRPr="006115C4">
        <w:rPr>
          <w:rFonts w:ascii="Arial" w:hAnsi="Arial" w:cs="Arial"/>
          <w:sz w:val="22"/>
          <w:szCs w:val="22"/>
        </w:rPr>
        <w:t xml:space="preserve"> and </w:t>
      </w:r>
      <w:proofErr w:type="spellStart"/>
      <w:r w:rsidRPr="006115C4">
        <w:rPr>
          <w:rFonts w:ascii="Arial" w:hAnsi="Arial" w:cs="Arial"/>
          <w:sz w:val="22"/>
          <w:szCs w:val="22"/>
        </w:rPr>
        <w:t>Baltes</w:t>
      </w:r>
      <w:proofErr w:type="spellEnd"/>
      <w:r w:rsidRPr="006115C4">
        <w:rPr>
          <w:rFonts w:ascii="Arial" w:hAnsi="Arial" w:cs="Arial"/>
          <w:sz w:val="22"/>
          <w:szCs w:val="22"/>
        </w:rPr>
        <w:t>, 2019)</w:t>
      </w:r>
      <w:r w:rsidRPr="006115C4">
        <w:rPr>
          <w:rFonts w:ascii="Arial" w:hAnsi="Arial" w:cs="Arial"/>
          <w:sz w:val="22"/>
          <w:szCs w:val="22"/>
        </w:rPr>
        <w:t xml:space="preserve"> </w:t>
      </w:r>
    </w:p>
    <w:p w14:paraId="725F8E27"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Since  it encourages </w:t>
      </w:r>
      <w:proofErr w:type="spellStart"/>
      <w:r w:rsidRPr="006115C4">
        <w:rPr>
          <w:rFonts w:ascii="Arial" w:hAnsi="Arial" w:cs="Arial"/>
          <w:sz w:val="22"/>
          <w:szCs w:val="22"/>
        </w:rPr>
        <w:t>individualised</w:t>
      </w:r>
      <w:proofErr w:type="spellEnd"/>
      <w:r w:rsidRPr="006115C4">
        <w:rPr>
          <w:rFonts w:ascii="Arial" w:hAnsi="Arial" w:cs="Arial"/>
          <w:sz w:val="22"/>
          <w:szCs w:val="22"/>
        </w:rPr>
        <w:t xml:space="preserve"> and flexible care approaches, the SOC model is very useful in health and social care settings. This is tailored to each person’s care plans. It </w:t>
      </w:r>
      <w:proofErr w:type="spellStart"/>
      <w:r w:rsidRPr="006115C4">
        <w:rPr>
          <w:rFonts w:ascii="Arial" w:hAnsi="Arial" w:cs="Arial"/>
          <w:sz w:val="22"/>
          <w:szCs w:val="22"/>
        </w:rPr>
        <w:t>recognises</w:t>
      </w:r>
      <w:proofErr w:type="spellEnd"/>
      <w:r w:rsidRPr="006115C4">
        <w:rPr>
          <w:rFonts w:ascii="Arial" w:hAnsi="Arial" w:cs="Arial"/>
          <w:sz w:val="22"/>
          <w:szCs w:val="22"/>
        </w:rPr>
        <w:t xml:space="preserve"> the interplay between biological deterioration and social support networks, Because it’s crucial for experts to pay attention to older people’s emotions and develop effective techniques. However, the strategy aligns with </w:t>
      </w:r>
      <w:proofErr w:type="spellStart"/>
      <w:r w:rsidRPr="006115C4">
        <w:rPr>
          <w:rFonts w:ascii="Arial" w:hAnsi="Arial" w:cs="Arial"/>
          <w:sz w:val="22"/>
          <w:szCs w:val="22"/>
        </w:rPr>
        <w:t>person-centred</w:t>
      </w:r>
      <w:proofErr w:type="spellEnd"/>
      <w:r w:rsidRPr="006115C4">
        <w:rPr>
          <w:rFonts w:ascii="Arial" w:hAnsi="Arial" w:cs="Arial"/>
          <w:sz w:val="22"/>
          <w:szCs w:val="22"/>
        </w:rPr>
        <w:t xml:space="preserve"> care ideals by encouraging resilience and independence.</w:t>
      </w:r>
      <w:r w:rsidRPr="006115C4">
        <w:rPr>
          <w:rFonts w:ascii="Arial" w:hAnsi="Arial" w:cs="Arial"/>
          <w:sz w:val="22"/>
          <w:szCs w:val="22"/>
        </w:rPr>
        <w:t xml:space="preserve"> </w:t>
      </w:r>
    </w:p>
    <w:p w14:paraId="56DD61DB"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The concepts presented in this bibliography highlight how crucial it is to comprehend how biological, social, and psychological elements influence people’s conduct as they age. Erik </w:t>
      </w:r>
      <w:proofErr w:type="spellStart"/>
      <w:r w:rsidRPr="006115C4">
        <w:rPr>
          <w:rFonts w:ascii="Arial" w:hAnsi="Arial" w:cs="Arial"/>
          <w:sz w:val="22"/>
          <w:szCs w:val="22"/>
        </w:rPr>
        <w:t>Erikson</w:t>
      </w:r>
      <w:proofErr w:type="spellEnd"/>
      <w:r w:rsidRPr="006115C4">
        <w:rPr>
          <w:rFonts w:ascii="Arial" w:hAnsi="Arial" w:cs="Arial"/>
          <w:sz w:val="22"/>
          <w:szCs w:val="22"/>
        </w:rPr>
        <w:t xml:space="preserve"> concentrates on identity and life reflection, whereas John </w:t>
      </w:r>
      <w:proofErr w:type="spellStart"/>
      <w:r w:rsidRPr="006115C4">
        <w:rPr>
          <w:rFonts w:ascii="Arial" w:hAnsi="Arial" w:cs="Arial"/>
          <w:sz w:val="22"/>
          <w:szCs w:val="22"/>
        </w:rPr>
        <w:t>Bowlby’s</w:t>
      </w:r>
      <w:proofErr w:type="spellEnd"/>
      <w:r w:rsidRPr="006115C4">
        <w:rPr>
          <w:rFonts w:ascii="Arial" w:hAnsi="Arial" w:cs="Arial"/>
          <w:sz w:val="22"/>
          <w:szCs w:val="22"/>
        </w:rPr>
        <w:t xml:space="preserve"> attachment theory aids in the explanation of emotional needs. Paul </w:t>
      </w:r>
      <w:proofErr w:type="spellStart"/>
      <w:r w:rsidRPr="006115C4">
        <w:rPr>
          <w:rFonts w:ascii="Arial" w:hAnsi="Arial" w:cs="Arial"/>
          <w:sz w:val="22"/>
          <w:szCs w:val="22"/>
        </w:rPr>
        <w:t>Baltes</w:t>
      </w:r>
      <w:proofErr w:type="spellEnd"/>
      <w:r w:rsidRPr="006115C4">
        <w:rPr>
          <w:rFonts w:ascii="Arial" w:hAnsi="Arial" w:cs="Arial"/>
          <w:sz w:val="22"/>
          <w:szCs w:val="22"/>
        </w:rPr>
        <w:t xml:space="preserve"> offers a helpful perspective on how individuals adjust as they age, and Martin </w:t>
      </w:r>
      <w:proofErr w:type="spellStart"/>
      <w:r w:rsidRPr="006115C4">
        <w:rPr>
          <w:rFonts w:ascii="Arial" w:hAnsi="Arial" w:cs="Arial"/>
          <w:sz w:val="22"/>
          <w:szCs w:val="22"/>
        </w:rPr>
        <w:t>Seligman’s</w:t>
      </w:r>
      <w:proofErr w:type="spellEnd"/>
      <w:r w:rsidRPr="006115C4">
        <w:rPr>
          <w:rFonts w:ascii="Arial" w:hAnsi="Arial" w:cs="Arial"/>
          <w:sz w:val="22"/>
          <w:szCs w:val="22"/>
        </w:rPr>
        <w:t xml:space="preserve"> positive psychology approach promotes wellness.</w:t>
      </w:r>
      <w:r w:rsidRPr="006115C4">
        <w:rPr>
          <w:rFonts w:ascii="Arial" w:hAnsi="Arial" w:cs="Arial"/>
          <w:sz w:val="22"/>
          <w:szCs w:val="22"/>
        </w:rPr>
        <w:t xml:space="preserve"> </w:t>
      </w:r>
    </w:p>
    <w:p w14:paraId="05FFF9C9" w14:textId="77777777" w:rsidR="00887792" w:rsidRPr="006115C4" w:rsidRDefault="00456CA6">
      <w:pPr>
        <w:spacing w:after="171" w:line="268" w:lineRule="auto"/>
        <w:ind w:left="-5"/>
        <w:rPr>
          <w:rFonts w:ascii="Arial" w:hAnsi="Arial" w:cs="Arial"/>
          <w:sz w:val="22"/>
          <w:szCs w:val="22"/>
        </w:rPr>
      </w:pPr>
      <w:r w:rsidRPr="006115C4">
        <w:rPr>
          <w:rFonts w:ascii="Arial" w:eastAsia="Arial" w:hAnsi="Arial" w:cs="Arial"/>
          <w:color w:val="333333"/>
          <w:sz w:val="22"/>
          <w:szCs w:val="22"/>
        </w:rPr>
        <w:t xml:space="preserve">A whole-person approach to health and social care is supported by these philosophies taken together. They assist specialists in better comprehending and addressing the requirements of senior citizens. These concepts can enhance </w:t>
      </w:r>
      <w:proofErr w:type="spellStart"/>
      <w:r w:rsidRPr="006115C4">
        <w:rPr>
          <w:rFonts w:ascii="Arial" w:eastAsia="Arial" w:hAnsi="Arial" w:cs="Arial"/>
          <w:color w:val="333333"/>
          <w:sz w:val="22"/>
          <w:szCs w:val="22"/>
        </w:rPr>
        <w:t>person-centred</w:t>
      </w:r>
      <w:proofErr w:type="spellEnd"/>
      <w:r w:rsidRPr="006115C4">
        <w:rPr>
          <w:rFonts w:ascii="Arial" w:eastAsia="Arial" w:hAnsi="Arial" w:cs="Arial"/>
          <w:color w:val="333333"/>
          <w:sz w:val="22"/>
          <w:szCs w:val="22"/>
        </w:rPr>
        <w:t xml:space="preserve"> care, promote greater wellness, and assist individuals in leading fulfilling and respectable lives as they age. </w:t>
      </w:r>
    </w:p>
    <w:p w14:paraId="481E44B9" w14:textId="77777777" w:rsidR="00887792" w:rsidRPr="006115C4" w:rsidRDefault="00456CA6">
      <w:pPr>
        <w:spacing w:after="184" w:line="259" w:lineRule="auto"/>
        <w:ind w:left="0" w:firstLine="0"/>
        <w:rPr>
          <w:rFonts w:ascii="Arial" w:hAnsi="Arial" w:cs="Arial"/>
          <w:sz w:val="22"/>
          <w:szCs w:val="22"/>
        </w:rPr>
      </w:pPr>
      <w:r w:rsidRPr="006115C4">
        <w:rPr>
          <w:rFonts w:ascii="Arial" w:hAnsi="Arial" w:cs="Arial"/>
          <w:sz w:val="22"/>
          <w:szCs w:val="22"/>
        </w:rPr>
        <w:t xml:space="preserve"> </w:t>
      </w:r>
    </w:p>
    <w:p w14:paraId="4C3F4998" w14:textId="77777777" w:rsidR="00887792" w:rsidRPr="006115C4" w:rsidRDefault="00456CA6">
      <w:pPr>
        <w:spacing w:after="184" w:line="259" w:lineRule="auto"/>
        <w:ind w:left="0" w:firstLine="0"/>
        <w:rPr>
          <w:rFonts w:ascii="Arial" w:hAnsi="Arial" w:cs="Arial"/>
          <w:sz w:val="22"/>
          <w:szCs w:val="22"/>
        </w:rPr>
      </w:pPr>
      <w:r w:rsidRPr="006115C4">
        <w:rPr>
          <w:rFonts w:ascii="Arial" w:hAnsi="Arial" w:cs="Arial"/>
          <w:sz w:val="22"/>
          <w:szCs w:val="22"/>
        </w:rPr>
        <w:t xml:space="preserve"> </w:t>
      </w:r>
    </w:p>
    <w:p w14:paraId="32F724A3" w14:textId="77777777" w:rsidR="00887792" w:rsidRPr="006115C4" w:rsidRDefault="00456CA6">
      <w:pPr>
        <w:spacing w:after="184" w:line="259" w:lineRule="auto"/>
        <w:ind w:left="0" w:firstLine="0"/>
        <w:rPr>
          <w:rFonts w:ascii="Arial" w:hAnsi="Arial" w:cs="Arial"/>
          <w:sz w:val="22"/>
          <w:szCs w:val="22"/>
        </w:rPr>
      </w:pPr>
      <w:r w:rsidRPr="006115C4">
        <w:rPr>
          <w:rFonts w:ascii="Arial" w:hAnsi="Arial" w:cs="Arial"/>
          <w:sz w:val="22"/>
          <w:szCs w:val="22"/>
        </w:rPr>
        <w:t xml:space="preserve"> </w:t>
      </w:r>
    </w:p>
    <w:p w14:paraId="4E454194" w14:textId="77777777" w:rsidR="00887792" w:rsidRPr="006115C4" w:rsidRDefault="00456CA6">
      <w:pPr>
        <w:spacing w:after="184" w:line="259" w:lineRule="auto"/>
        <w:ind w:left="0" w:firstLine="0"/>
        <w:rPr>
          <w:rFonts w:ascii="Arial" w:hAnsi="Arial" w:cs="Arial"/>
          <w:sz w:val="22"/>
          <w:szCs w:val="22"/>
        </w:rPr>
      </w:pPr>
      <w:r w:rsidRPr="006115C4">
        <w:rPr>
          <w:rFonts w:ascii="Arial" w:hAnsi="Arial" w:cs="Arial"/>
          <w:sz w:val="22"/>
          <w:szCs w:val="22"/>
        </w:rPr>
        <w:t xml:space="preserve"> </w:t>
      </w:r>
    </w:p>
    <w:p w14:paraId="51F1A5BA" w14:textId="77777777" w:rsidR="00887792" w:rsidRPr="006115C4" w:rsidRDefault="00456CA6">
      <w:pPr>
        <w:spacing w:after="184" w:line="259" w:lineRule="auto"/>
        <w:ind w:left="0" w:firstLine="0"/>
        <w:rPr>
          <w:rFonts w:ascii="Arial" w:hAnsi="Arial" w:cs="Arial"/>
          <w:sz w:val="22"/>
          <w:szCs w:val="22"/>
        </w:rPr>
      </w:pPr>
      <w:r w:rsidRPr="006115C4">
        <w:rPr>
          <w:rFonts w:ascii="Arial" w:hAnsi="Arial" w:cs="Arial"/>
          <w:sz w:val="22"/>
          <w:szCs w:val="22"/>
        </w:rPr>
        <w:t xml:space="preserve"> </w:t>
      </w:r>
    </w:p>
    <w:p w14:paraId="3E6FBE0A" w14:textId="77777777" w:rsidR="00887792" w:rsidRPr="006115C4" w:rsidRDefault="00456CA6">
      <w:pPr>
        <w:spacing w:after="184" w:line="259" w:lineRule="auto"/>
        <w:ind w:left="0" w:firstLine="0"/>
        <w:rPr>
          <w:rFonts w:ascii="Arial" w:hAnsi="Arial" w:cs="Arial"/>
          <w:sz w:val="22"/>
          <w:szCs w:val="22"/>
        </w:rPr>
      </w:pPr>
      <w:r w:rsidRPr="006115C4">
        <w:rPr>
          <w:rFonts w:ascii="Arial" w:hAnsi="Arial" w:cs="Arial"/>
          <w:sz w:val="22"/>
          <w:szCs w:val="22"/>
        </w:rPr>
        <w:t xml:space="preserve"> </w:t>
      </w:r>
    </w:p>
    <w:p w14:paraId="5FDA6DEE" w14:textId="77777777" w:rsidR="00887792" w:rsidRPr="006115C4" w:rsidRDefault="00456CA6">
      <w:pPr>
        <w:spacing w:after="179" w:line="259" w:lineRule="auto"/>
        <w:ind w:left="0" w:firstLine="0"/>
        <w:rPr>
          <w:rFonts w:ascii="Arial" w:hAnsi="Arial" w:cs="Arial"/>
          <w:sz w:val="22"/>
          <w:szCs w:val="22"/>
        </w:rPr>
      </w:pPr>
      <w:r w:rsidRPr="006115C4">
        <w:rPr>
          <w:rFonts w:ascii="Arial" w:hAnsi="Arial" w:cs="Arial"/>
          <w:sz w:val="22"/>
          <w:szCs w:val="22"/>
        </w:rPr>
        <w:t xml:space="preserve"> </w:t>
      </w:r>
    </w:p>
    <w:p w14:paraId="59B83DAB" w14:textId="77777777" w:rsidR="00887792" w:rsidRPr="006115C4" w:rsidRDefault="00456CA6">
      <w:pPr>
        <w:spacing w:after="0" w:line="259" w:lineRule="auto"/>
        <w:ind w:left="0" w:firstLine="0"/>
        <w:rPr>
          <w:rFonts w:ascii="Arial" w:hAnsi="Arial" w:cs="Arial"/>
          <w:sz w:val="22"/>
          <w:szCs w:val="22"/>
        </w:rPr>
      </w:pPr>
      <w:r w:rsidRPr="006115C4">
        <w:rPr>
          <w:rFonts w:ascii="Arial" w:hAnsi="Arial" w:cs="Arial"/>
          <w:sz w:val="22"/>
          <w:szCs w:val="22"/>
        </w:rPr>
        <w:t xml:space="preserve"> </w:t>
      </w:r>
    </w:p>
    <w:p w14:paraId="0C22ACC7" w14:textId="77777777" w:rsidR="00887792" w:rsidRPr="006115C4" w:rsidRDefault="00456CA6">
      <w:pPr>
        <w:spacing w:after="184" w:line="259" w:lineRule="auto"/>
        <w:ind w:left="0" w:firstLine="0"/>
        <w:rPr>
          <w:rFonts w:ascii="Arial" w:hAnsi="Arial" w:cs="Arial"/>
          <w:sz w:val="22"/>
          <w:szCs w:val="22"/>
        </w:rPr>
      </w:pPr>
      <w:r w:rsidRPr="006115C4">
        <w:rPr>
          <w:rFonts w:ascii="Arial" w:hAnsi="Arial" w:cs="Arial"/>
          <w:sz w:val="22"/>
          <w:szCs w:val="22"/>
        </w:rPr>
        <w:lastRenderedPageBreak/>
        <w:t xml:space="preserve"> </w:t>
      </w:r>
    </w:p>
    <w:p w14:paraId="294B1819"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Bibliography list </w:t>
      </w:r>
      <w:r w:rsidRPr="006115C4">
        <w:rPr>
          <w:rFonts w:ascii="Arial" w:hAnsi="Arial" w:cs="Arial"/>
          <w:sz w:val="22"/>
          <w:szCs w:val="22"/>
        </w:rPr>
        <w:t xml:space="preserve"> </w:t>
      </w:r>
    </w:p>
    <w:p w14:paraId="40E84DB3" w14:textId="77777777" w:rsidR="00887792" w:rsidRPr="006115C4" w:rsidRDefault="00456CA6">
      <w:pPr>
        <w:ind w:left="-5"/>
        <w:rPr>
          <w:rFonts w:ascii="Arial" w:hAnsi="Arial" w:cs="Arial"/>
          <w:sz w:val="22"/>
          <w:szCs w:val="22"/>
        </w:rPr>
      </w:pPr>
      <w:proofErr w:type="spellStart"/>
      <w:r w:rsidRPr="006115C4">
        <w:rPr>
          <w:rFonts w:ascii="Arial" w:hAnsi="Arial" w:cs="Arial"/>
          <w:sz w:val="22"/>
          <w:szCs w:val="22"/>
        </w:rPr>
        <w:t>Baltes</w:t>
      </w:r>
      <w:proofErr w:type="spellEnd"/>
      <w:r w:rsidRPr="006115C4">
        <w:rPr>
          <w:rFonts w:ascii="Arial" w:hAnsi="Arial" w:cs="Arial"/>
          <w:sz w:val="22"/>
          <w:szCs w:val="22"/>
        </w:rPr>
        <w:t xml:space="preserve">, P.B. and </w:t>
      </w:r>
      <w:proofErr w:type="spellStart"/>
      <w:r w:rsidRPr="006115C4">
        <w:rPr>
          <w:rFonts w:ascii="Arial" w:hAnsi="Arial" w:cs="Arial"/>
          <w:sz w:val="22"/>
          <w:szCs w:val="22"/>
        </w:rPr>
        <w:t>Baltes</w:t>
      </w:r>
      <w:proofErr w:type="spellEnd"/>
      <w:r w:rsidRPr="006115C4">
        <w:rPr>
          <w:rFonts w:ascii="Arial" w:hAnsi="Arial" w:cs="Arial"/>
          <w:sz w:val="22"/>
          <w:szCs w:val="22"/>
        </w:rPr>
        <w:t xml:space="preserve">, M.M. (2019). Successful Aging. [online] Google Books. Available at: </w:t>
      </w:r>
      <w:hyperlink r:id="rId4">
        <w:r w:rsidRPr="006115C4">
          <w:rPr>
            <w:rFonts w:ascii="Arial" w:hAnsi="Arial" w:cs="Arial"/>
            <w:color w:val="467886"/>
            <w:sz w:val="22"/>
            <w:szCs w:val="22"/>
            <w:u w:val="single" w:color="467886"/>
          </w:rPr>
          <w:t xml:space="preserve">https://books.google.co.uk/books?hl=en&amp;lr=&amp;id=0oEJaiK30wUC&amp;oi=fnd&amp;pg=PA1&amp;dq=Balt </w:t>
        </w:r>
      </w:hyperlink>
      <w:hyperlink r:id="rId5">
        <w:r w:rsidRPr="006115C4">
          <w:rPr>
            <w:rFonts w:ascii="Arial" w:hAnsi="Arial" w:cs="Arial"/>
            <w:color w:val="467886"/>
            <w:sz w:val="22"/>
            <w:szCs w:val="22"/>
            <w:u w:val="single" w:color="467886"/>
          </w:rPr>
          <w:t>es</w:t>
        </w:r>
      </w:hyperlink>
      <w:hyperlink r:id="rId6">
        <w:r w:rsidRPr="006115C4">
          <w:rPr>
            <w:rFonts w:ascii="Arial" w:hAnsi="Arial" w:cs="Arial"/>
            <w:sz w:val="22"/>
            <w:szCs w:val="22"/>
          </w:rPr>
          <w:t xml:space="preserve"> </w:t>
        </w:r>
      </w:hyperlink>
      <w:r w:rsidRPr="006115C4">
        <w:rPr>
          <w:rFonts w:ascii="Arial" w:hAnsi="Arial" w:cs="Arial"/>
          <w:sz w:val="22"/>
          <w:szCs w:val="22"/>
        </w:rPr>
        <w:t>[Accessed 11 Nov. 2024].</w:t>
      </w:r>
      <w:r w:rsidRPr="006115C4">
        <w:rPr>
          <w:rFonts w:ascii="Arial" w:hAnsi="Arial" w:cs="Arial"/>
          <w:sz w:val="22"/>
          <w:szCs w:val="22"/>
        </w:rPr>
        <w:t xml:space="preserve"> </w:t>
      </w:r>
    </w:p>
    <w:p w14:paraId="2AF9A4F8" w14:textId="77777777" w:rsidR="00887792" w:rsidRPr="006115C4" w:rsidRDefault="00456CA6">
      <w:pPr>
        <w:spacing w:after="10"/>
        <w:ind w:left="-5"/>
        <w:rPr>
          <w:rFonts w:ascii="Arial" w:hAnsi="Arial" w:cs="Arial"/>
          <w:sz w:val="22"/>
          <w:szCs w:val="22"/>
        </w:rPr>
      </w:pPr>
      <w:proofErr w:type="spellStart"/>
      <w:r w:rsidRPr="006115C4">
        <w:rPr>
          <w:rFonts w:ascii="Arial" w:hAnsi="Arial" w:cs="Arial"/>
          <w:sz w:val="22"/>
          <w:szCs w:val="22"/>
        </w:rPr>
        <w:t>Bowlby</w:t>
      </w:r>
      <w:proofErr w:type="spellEnd"/>
      <w:r w:rsidRPr="006115C4">
        <w:rPr>
          <w:rFonts w:ascii="Arial" w:hAnsi="Arial" w:cs="Arial"/>
          <w:sz w:val="22"/>
          <w:szCs w:val="22"/>
        </w:rPr>
        <w:t xml:space="preserve">, J. (1988). A SECURE BASE Parent-Child Attachment and Healthy Human Development A Member of the Perseus Books Group. [online] pp.1–15. Available at: </w:t>
      </w:r>
    </w:p>
    <w:p w14:paraId="463A88DF" w14:textId="77777777" w:rsidR="00887792" w:rsidRPr="006115C4" w:rsidRDefault="00456CA6">
      <w:pPr>
        <w:spacing w:after="162" w:line="276" w:lineRule="auto"/>
        <w:ind w:left="-5"/>
        <w:rPr>
          <w:rFonts w:ascii="Arial" w:hAnsi="Arial" w:cs="Arial"/>
          <w:sz w:val="22"/>
          <w:szCs w:val="22"/>
        </w:rPr>
      </w:pPr>
      <w:hyperlink r:id="rId7">
        <w:r w:rsidRPr="006115C4">
          <w:rPr>
            <w:rFonts w:ascii="Arial" w:hAnsi="Arial" w:cs="Arial"/>
            <w:color w:val="467886"/>
            <w:sz w:val="22"/>
            <w:szCs w:val="22"/>
            <w:u w:val="single" w:color="467886"/>
          </w:rPr>
          <w:t>https://www.increaseproject.eu/images/DOWNLOADS/IO2/DE/CURR_M4</w:t>
        </w:r>
      </w:hyperlink>
      <w:hyperlink r:id="rId8"/>
      <w:hyperlink r:id="rId9">
        <w:r w:rsidRPr="006115C4">
          <w:rPr>
            <w:rFonts w:ascii="Arial" w:hAnsi="Arial" w:cs="Arial"/>
            <w:color w:val="467886"/>
            <w:sz w:val="22"/>
            <w:szCs w:val="22"/>
            <w:u w:val="single" w:color="467886"/>
          </w:rPr>
          <w:t>A13_Bowlby_(EN</w:t>
        </w:r>
      </w:hyperlink>
      <w:hyperlink r:id="rId10">
        <w:r w:rsidRPr="006115C4">
          <w:rPr>
            <w:rFonts w:ascii="Arial" w:hAnsi="Arial" w:cs="Arial"/>
            <w:color w:val="467886"/>
            <w:sz w:val="22"/>
            <w:szCs w:val="22"/>
            <w:u w:val="single" w:color="467886"/>
          </w:rPr>
          <w:t>-</w:t>
        </w:r>
      </w:hyperlink>
      <w:hyperlink r:id="rId11">
        <w:r w:rsidRPr="006115C4">
          <w:rPr>
            <w:rFonts w:ascii="Arial" w:hAnsi="Arial" w:cs="Arial"/>
            <w:color w:val="467886"/>
            <w:sz w:val="22"/>
            <w:szCs w:val="22"/>
            <w:u w:val="single" w:color="467886"/>
          </w:rPr>
          <w:t>only)_20170920_DE_final.pdf</w:t>
        </w:r>
      </w:hyperlink>
      <w:hyperlink r:id="rId12">
        <w:r w:rsidRPr="006115C4">
          <w:rPr>
            <w:rFonts w:ascii="Arial" w:hAnsi="Arial" w:cs="Arial"/>
            <w:sz w:val="22"/>
            <w:szCs w:val="22"/>
          </w:rPr>
          <w:t>.</w:t>
        </w:r>
      </w:hyperlink>
      <w:r w:rsidRPr="006115C4">
        <w:rPr>
          <w:rFonts w:ascii="Arial" w:hAnsi="Arial" w:cs="Arial"/>
          <w:sz w:val="22"/>
          <w:szCs w:val="22"/>
        </w:rPr>
        <w:t xml:space="preserve"> </w:t>
      </w:r>
    </w:p>
    <w:p w14:paraId="4EA1B77D" w14:textId="77777777" w:rsidR="00887792" w:rsidRPr="006115C4" w:rsidRDefault="00456CA6">
      <w:pPr>
        <w:spacing w:after="14"/>
        <w:ind w:left="-5"/>
        <w:rPr>
          <w:rFonts w:ascii="Arial" w:hAnsi="Arial" w:cs="Arial"/>
          <w:sz w:val="22"/>
          <w:szCs w:val="22"/>
        </w:rPr>
      </w:pPr>
      <w:proofErr w:type="spellStart"/>
      <w:r w:rsidRPr="006115C4">
        <w:rPr>
          <w:rFonts w:ascii="Arial" w:hAnsi="Arial" w:cs="Arial"/>
          <w:sz w:val="22"/>
          <w:szCs w:val="22"/>
        </w:rPr>
        <w:t>Erikson</w:t>
      </w:r>
      <w:proofErr w:type="spellEnd"/>
      <w:r w:rsidRPr="006115C4">
        <w:rPr>
          <w:rFonts w:ascii="Arial" w:hAnsi="Arial" w:cs="Arial"/>
          <w:sz w:val="22"/>
          <w:szCs w:val="22"/>
        </w:rPr>
        <w:t xml:space="preserve">, E.H. and </w:t>
      </w:r>
      <w:proofErr w:type="spellStart"/>
      <w:r w:rsidRPr="006115C4">
        <w:rPr>
          <w:rFonts w:ascii="Arial" w:hAnsi="Arial" w:cs="Arial"/>
          <w:sz w:val="22"/>
          <w:szCs w:val="22"/>
        </w:rPr>
        <w:t>Erikson</w:t>
      </w:r>
      <w:proofErr w:type="spellEnd"/>
      <w:r w:rsidRPr="006115C4">
        <w:rPr>
          <w:rFonts w:ascii="Arial" w:hAnsi="Arial" w:cs="Arial"/>
          <w:sz w:val="22"/>
          <w:szCs w:val="22"/>
        </w:rPr>
        <w:t xml:space="preserve">, J.M. (1998). The Life Cycle Completed (Extended Version). </w:t>
      </w:r>
    </w:p>
    <w:p w14:paraId="2D092681" w14:textId="77777777" w:rsidR="00887792" w:rsidRPr="006115C4" w:rsidRDefault="00456CA6">
      <w:pPr>
        <w:spacing w:after="14"/>
        <w:ind w:left="-5"/>
        <w:rPr>
          <w:rFonts w:ascii="Arial" w:hAnsi="Arial" w:cs="Arial"/>
          <w:sz w:val="22"/>
          <w:szCs w:val="22"/>
        </w:rPr>
      </w:pPr>
      <w:r w:rsidRPr="006115C4">
        <w:rPr>
          <w:rFonts w:ascii="Arial" w:hAnsi="Arial" w:cs="Arial"/>
          <w:sz w:val="22"/>
          <w:szCs w:val="22"/>
        </w:rPr>
        <w:t xml:space="preserve">[online] Google Books, W. W. Norton &amp; Company, pp.1–15. Available at: </w:t>
      </w:r>
    </w:p>
    <w:p w14:paraId="5316F283" w14:textId="77777777" w:rsidR="00887792" w:rsidRPr="006115C4" w:rsidRDefault="00456CA6">
      <w:pPr>
        <w:spacing w:after="162" w:line="276" w:lineRule="auto"/>
        <w:ind w:left="-5"/>
        <w:rPr>
          <w:rFonts w:ascii="Arial" w:hAnsi="Arial" w:cs="Arial"/>
          <w:sz w:val="22"/>
          <w:szCs w:val="22"/>
        </w:rPr>
      </w:pPr>
      <w:hyperlink r:id="rId13">
        <w:r w:rsidRPr="006115C4">
          <w:rPr>
            <w:rFonts w:ascii="Arial" w:hAnsi="Arial" w:cs="Arial"/>
            <w:color w:val="467886"/>
            <w:sz w:val="22"/>
            <w:szCs w:val="22"/>
            <w:u w:val="single" w:color="467886"/>
          </w:rPr>
          <w:t xml:space="preserve">https://books.google.co.uk/books?hl=en&amp;lr=&amp;id=SKidSuluprgC&amp;oi=fnd&amp;pg=PP2&amp;dq=Eriks </w:t>
        </w:r>
      </w:hyperlink>
      <w:hyperlink r:id="rId14">
        <w:r w:rsidRPr="006115C4">
          <w:rPr>
            <w:rFonts w:ascii="Arial" w:hAnsi="Arial" w:cs="Arial"/>
            <w:color w:val="467886"/>
            <w:sz w:val="22"/>
            <w:szCs w:val="22"/>
            <w:u w:val="single" w:color="467886"/>
          </w:rPr>
          <w:t>on</w:t>
        </w:r>
      </w:hyperlink>
      <w:hyperlink r:id="rId15">
        <w:r w:rsidRPr="006115C4">
          <w:rPr>
            <w:rFonts w:ascii="Arial" w:hAnsi="Arial" w:cs="Arial"/>
            <w:sz w:val="22"/>
            <w:szCs w:val="22"/>
          </w:rPr>
          <w:t>.</w:t>
        </w:r>
      </w:hyperlink>
      <w:r w:rsidRPr="006115C4">
        <w:rPr>
          <w:rFonts w:ascii="Arial" w:hAnsi="Arial" w:cs="Arial"/>
          <w:sz w:val="22"/>
          <w:szCs w:val="22"/>
        </w:rPr>
        <w:t xml:space="preserve"> </w:t>
      </w:r>
    </w:p>
    <w:p w14:paraId="326268A7"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Humphries, R., </w:t>
      </w:r>
      <w:proofErr w:type="spellStart"/>
      <w:r w:rsidRPr="006115C4">
        <w:rPr>
          <w:rFonts w:ascii="Arial" w:hAnsi="Arial" w:cs="Arial"/>
          <w:sz w:val="22"/>
          <w:szCs w:val="22"/>
        </w:rPr>
        <w:t>Thorlby</w:t>
      </w:r>
      <w:proofErr w:type="spellEnd"/>
      <w:r w:rsidRPr="006115C4">
        <w:rPr>
          <w:rFonts w:ascii="Arial" w:hAnsi="Arial" w:cs="Arial"/>
          <w:sz w:val="22"/>
          <w:szCs w:val="22"/>
        </w:rPr>
        <w:t xml:space="preserve">, R., Holder, H., Hall, P. And Charles, A. (2016). Social care for older people Home truths. [online] Available at: </w:t>
      </w:r>
      <w:hyperlink r:id="rId16">
        <w:r w:rsidRPr="006115C4">
          <w:rPr>
            <w:rFonts w:ascii="Arial" w:hAnsi="Arial" w:cs="Arial"/>
            <w:color w:val="467886"/>
            <w:sz w:val="22"/>
            <w:szCs w:val="22"/>
            <w:u w:val="single" w:color="467886"/>
          </w:rPr>
          <w:t xml:space="preserve">https://www.britishcouncil.nl/sites/default/files/social_care_older_people_kings_fund_sep </w:t>
        </w:r>
      </w:hyperlink>
      <w:hyperlink r:id="rId17">
        <w:r w:rsidRPr="006115C4">
          <w:rPr>
            <w:rFonts w:ascii="Arial" w:hAnsi="Arial" w:cs="Arial"/>
            <w:color w:val="467886"/>
            <w:sz w:val="22"/>
            <w:szCs w:val="22"/>
            <w:u w:val="single" w:color="467886"/>
          </w:rPr>
          <w:t>_2016.pdf</w:t>
        </w:r>
      </w:hyperlink>
      <w:hyperlink r:id="rId18">
        <w:r w:rsidRPr="006115C4">
          <w:rPr>
            <w:rFonts w:ascii="Arial" w:hAnsi="Arial" w:cs="Arial"/>
            <w:sz w:val="22"/>
            <w:szCs w:val="22"/>
          </w:rPr>
          <w:t>.</w:t>
        </w:r>
      </w:hyperlink>
      <w:r w:rsidRPr="006115C4">
        <w:rPr>
          <w:rFonts w:ascii="Arial" w:hAnsi="Arial" w:cs="Arial"/>
          <w:sz w:val="22"/>
          <w:szCs w:val="22"/>
        </w:rPr>
        <w:t xml:space="preserve"> </w:t>
      </w:r>
    </w:p>
    <w:p w14:paraId="04559913" w14:textId="77777777" w:rsidR="00887792" w:rsidRPr="006115C4" w:rsidRDefault="00456CA6">
      <w:pPr>
        <w:ind w:left="-5"/>
        <w:rPr>
          <w:rFonts w:ascii="Arial" w:hAnsi="Arial" w:cs="Arial"/>
          <w:sz w:val="22"/>
          <w:szCs w:val="22"/>
        </w:rPr>
      </w:pPr>
      <w:proofErr w:type="spellStart"/>
      <w:r w:rsidRPr="006115C4">
        <w:rPr>
          <w:rFonts w:ascii="Arial" w:hAnsi="Arial" w:cs="Arial"/>
          <w:sz w:val="22"/>
          <w:szCs w:val="22"/>
        </w:rPr>
        <w:t>Madeson</w:t>
      </w:r>
      <w:proofErr w:type="spellEnd"/>
      <w:r w:rsidRPr="006115C4">
        <w:rPr>
          <w:rFonts w:ascii="Arial" w:hAnsi="Arial" w:cs="Arial"/>
          <w:sz w:val="22"/>
          <w:szCs w:val="22"/>
        </w:rPr>
        <w:t xml:space="preserve">, M. (2017). </w:t>
      </w:r>
      <w:proofErr w:type="spellStart"/>
      <w:r w:rsidRPr="006115C4">
        <w:rPr>
          <w:rFonts w:ascii="Arial" w:hAnsi="Arial" w:cs="Arial"/>
          <w:sz w:val="22"/>
          <w:szCs w:val="22"/>
        </w:rPr>
        <w:t>Seligman’s</w:t>
      </w:r>
      <w:proofErr w:type="spellEnd"/>
      <w:r w:rsidRPr="006115C4">
        <w:rPr>
          <w:rFonts w:ascii="Arial" w:hAnsi="Arial" w:cs="Arial"/>
          <w:sz w:val="22"/>
          <w:szCs w:val="22"/>
        </w:rPr>
        <w:t xml:space="preserve"> PERMA+ Model Explained: A Theory of Wellbeing. [online] PositivePsychology.com. Available at: https://positivepsychology.com/perma-model/.</w:t>
      </w:r>
      <w:r w:rsidRPr="006115C4">
        <w:rPr>
          <w:rFonts w:ascii="Arial" w:hAnsi="Arial" w:cs="Arial"/>
          <w:sz w:val="22"/>
          <w:szCs w:val="22"/>
        </w:rPr>
        <w:t xml:space="preserve"> </w:t>
      </w:r>
    </w:p>
    <w:p w14:paraId="62DE2F8A" w14:textId="77777777" w:rsidR="00887792" w:rsidRPr="006115C4" w:rsidRDefault="00456CA6">
      <w:pPr>
        <w:ind w:left="-5"/>
        <w:rPr>
          <w:rFonts w:ascii="Arial" w:hAnsi="Arial" w:cs="Arial"/>
          <w:sz w:val="22"/>
          <w:szCs w:val="22"/>
        </w:rPr>
      </w:pPr>
      <w:proofErr w:type="spellStart"/>
      <w:r w:rsidRPr="006115C4">
        <w:rPr>
          <w:rFonts w:ascii="Arial" w:hAnsi="Arial" w:cs="Arial"/>
          <w:sz w:val="22"/>
          <w:szCs w:val="22"/>
        </w:rPr>
        <w:t>Mcleod</w:t>
      </w:r>
      <w:proofErr w:type="spellEnd"/>
      <w:r w:rsidRPr="006115C4">
        <w:rPr>
          <w:rFonts w:ascii="Arial" w:hAnsi="Arial" w:cs="Arial"/>
          <w:sz w:val="22"/>
          <w:szCs w:val="22"/>
        </w:rPr>
        <w:t xml:space="preserve">, S. (2025). Attachment Theory in Psychology. [online] Simply Psychology. Available at: </w:t>
      </w:r>
      <w:hyperlink r:id="rId19">
        <w:r w:rsidRPr="006115C4">
          <w:rPr>
            <w:rFonts w:ascii="Arial" w:hAnsi="Arial" w:cs="Arial"/>
            <w:color w:val="467886"/>
            <w:sz w:val="22"/>
            <w:szCs w:val="22"/>
            <w:u w:val="single" w:color="467886"/>
          </w:rPr>
          <w:t>https://www.simplypsychology.org/attachment.html</w:t>
        </w:r>
      </w:hyperlink>
      <w:hyperlink r:id="rId20">
        <w:r w:rsidRPr="006115C4">
          <w:rPr>
            <w:rFonts w:ascii="Arial" w:hAnsi="Arial" w:cs="Arial"/>
            <w:sz w:val="22"/>
            <w:szCs w:val="22"/>
          </w:rPr>
          <w:t>.</w:t>
        </w:r>
      </w:hyperlink>
      <w:r w:rsidRPr="006115C4">
        <w:rPr>
          <w:rFonts w:ascii="Arial" w:hAnsi="Arial" w:cs="Arial"/>
          <w:sz w:val="22"/>
          <w:szCs w:val="22"/>
        </w:rPr>
        <w:t xml:space="preserve"> </w:t>
      </w:r>
    </w:p>
    <w:p w14:paraId="00D29F79" w14:textId="77777777" w:rsidR="00887792" w:rsidRPr="006115C4" w:rsidRDefault="00456CA6">
      <w:pPr>
        <w:ind w:left="-5"/>
        <w:rPr>
          <w:rFonts w:ascii="Arial" w:hAnsi="Arial" w:cs="Arial"/>
          <w:sz w:val="22"/>
          <w:szCs w:val="22"/>
        </w:rPr>
      </w:pPr>
      <w:proofErr w:type="spellStart"/>
      <w:r w:rsidRPr="006115C4">
        <w:rPr>
          <w:rFonts w:ascii="Arial" w:hAnsi="Arial" w:cs="Arial"/>
          <w:sz w:val="22"/>
          <w:szCs w:val="22"/>
        </w:rPr>
        <w:t>Orenstein</w:t>
      </w:r>
      <w:proofErr w:type="spellEnd"/>
      <w:r w:rsidRPr="006115C4">
        <w:rPr>
          <w:rFonts w:ascii="Arial" w:hAnsi="Arial" w:cs="Arial"/>
          <w:sz w:val="22"/>
          <w:szCs w:val="22"/>
        </w:rPr>
        <w:t xml:space="preserve">, G. And Lewis, L. (2022). </w:t>
      </w:r>
      <w:proofErr w:type="spellStart"/>
      <w:r w:rsidRPr="006115C4">
        <w:rPr>
          <w:rFonts w:ascii="Arial" w:hAnsi="Arial" w:cs="Arial"/>
          <w:sz w:val="22"/>
          <w:szCs w:val="22"/>
        </w:rPr>
        <w:t>Erikson’s</w:t>
      </w:r>
      <w:proofErr w:type="spellEnd"/>
      <w:r w:rsidRPr="006115C4">
        <w:rPr>
          <w:rFonts w:ascii="Arial" w:hAnsi="Arial" w:cs="Arial"/>
          <w:sz w:val="22"/>
          <w:szCs w:val="22"/>
        </w:rPr>
        <w:t xml:space="preserve"> stages of psychosocial development. [online] National Library of Medicine. Available at: https://www.ncbi.nlm.nih.gov/books/NBK556096/.</w:t>
      </w:r>
      <w:r w:rsidRPr="006115C4">
        <w:rPr>
          <w:rFonts w:ascii="Arial" w:hAnsi="Arial" w:cs="Arial"/>
          <w:sz w:val="22"/>
          <w:szCs w:val="22"/>
        </w:rPr>
        <w:t xml:space="preserve"> </w:t>
      </w:r>
    </w:p>
    <w:p w14:paraId="2B3C8C5F" w14:textId="77777777" w:rsidR="00887792" w:rsidRPr="006115C4" w:rsidRDefault="00456CA6">
      <w:pPr>
        <w:ind w:left="-5"/>
        <w:rPr>
          <w:rFonts w:ascii="Arial" w:hAnsi="Arial" w:cs="Arial"/>
          <w:sz w:val="22"/>
          <w:szCs w:val="22"/>
        </w:rPr>
      </w:pPr>
      <w:r w:rsidRPr="006115C4">
        <w:rPr>
          <w:rFonts w:ascii="Arial" w:hAnsi="Arial" w:cs="Arial"/>
          <w:sz w:val="22"/>
          <w:szCs w:val="22"/>
        </w:rPr>
        <w:t xml:space="preserve">Philippe </w:t>
      </w:r>
      <w:proofErr w:type="spellStart"/>
      <w:r w:rsidRPr="006115C4">
        <w:rPr>
          <w:rFonts w:ascii="Arial" w:hAnsi="Arial" w:cs="Arial"/>
          <w:sz w:val="22"/>
          <w:szCs w:val="22"/>
        </w:rPr>
        <w:t>Gloaguen</w:t>
      </w:r>
      <w:proofErr w:type="spellEnd"/>
      <w:r w:rsidRPr="006115C4">
        <w:rPr>
          <w:rFonts w:ascii="Arial" w:hAnsi="Arial" w:cs="Arial"/>
          <w:sz w:val="22"/>
          <w:szCs w:val="22"/>
        </w:rPr>
        <w:t xml:space="preserve"> (2018). Guide du </w:t>
      </w:r>
      <w:proofErr w:type="spellStart"/>
      <w:r w:rsidRPr="006115C4">
        <w:rPr>
          <w:rFonts w:ascii="Arial" w:hAnsi="Arial" w:cs="Arial"/>
          <w:sz w:val="22"/>
          <w:szCs w:val="22"/>
        </w:rPr>
        <w:t>Routard</w:t>
      </w:r>
      <w:proofErr w:type="spellEnd"/>
      <w:r w:rsidRPr="006115C4">
        <w:rPr>
          <w:rFonts w:ascii="Arial" w:hAnsi="Arial" w:cs="Arial"/>
          <w:sz w:val="22"/>
          <w:szCs w:val="22"/>
        </w:rPr>
        <w:t xml:space="preserve"> </w:t>
      </w:r>
      <w:proofErr w:type="spellStart"/>
      <w:r w:rsidRPr="006115C4">
        <w:rPr>
          <w:rFonts w:ascii="Arial" w:hAnsi="Arial" w:cs="Arial"/>
          <w:sz w:val="22"/>
          <w:szCs w:val="22"/>
        </w:rPr>
        <w:t>Normandie</w:t>
      </w:r>
      <w:proofErr w:type="spellEnd"/>
      <w:r w:rsidRPr="006115C4">
        <w:rPr>
          <w:rFonts w:ascii="Arial" w:hAnsi="Arial" w:cs="Arial"/>
          <w:sz w:val="22"/>
          <w:szCs w:val="22"/>
        </w:rPr>
        <w:t xml:space="preserve"> 2018/19. </w:t>
      </w:r>
      <w:proofErr w:type="spellStart"/>
      <w:r w:rsidRPr="006115C4">
        <w:rPr>
          <w:rFonts w:ascii="Arial" w:hAnsi="Arial" w:cs="Arial"/>
          <w:sz w:val="22"/>
          <w:szCs w:val="22"/>
        </w:rPr>
        <w:t>Hachette</w:t>
      </w:r>
      <w:proofErr w:type="spellEnd"/>
      <w:r w:rsidRPr="006115C4">
        <w:rPr>
          <w:rFonts w:ascii="Arial" w:hAnsi="Arial" w:cs="Arial"/>
          <w:sz w:val="22"/>
          <w:szCs w:val="22"/>
        </w:rPr>
        <w:t xml:space="preserve"> </w:t>
      </w:r>
      <w:proofErr w:type="spellStart"/>
      <w:r w:rsidRPr="006115C4">
        <w:rPr>
          <w:rFonts w:ascii="Arial" w:hAnsi="Arial" w:cs="Arial"/>
          <w:sz w:val="22"/>
          <w:szCs w:val="22"/>
        </w:rPr>
        <w:t>Tourisme</w:t>
      </w:r>
      <w:proofErr w:type="spellEnd"/>
      <w:r w:rsidRPr="006115C4">
        <w:rPr>
          <w:rFonts w:ascii="Arial" w:hAnsi="Arial" w:cs="Arial"/>
          <w:sz w:val="22"/>
          <w:szCs w:val="22"/>
        </w:rPr>
        <w:t>.</w:t>
      </w:r>
      <w:r w:rsidRPr="006115C4">
        <w:rPr>
          <w:rFonts w:ascii="Arial" w:hAnsi="Arial" w:cs="Arial"/>
          <w:sz w:val="22"/>
          <w:szCs w:val="22"/>
        </w:rPr>
        <w:t xml:space="preserve"> </w:t>
      </w:r>
    </w:p>
    <w:p w14:paraId="4CE1E0D1" w14:textId="77777777" w:rsidR="00887792" w:rsidRPr="006115C4" w:rsidRDefault="00456CA6">
      <w:pPr>
        <w:spacing w:after="14"/>
        <w:ind w:left="-5"/>
        <w:rPr>
          <w:rFonts w:ascii="Arial" w:hAnsi="Arial" w:cs="Arial"/>
          <w:sz w:val="22"/>
          <w:szCs w:val="22"/>
        </w:rPr>
      </w:pPr>
      <w:proofErr w:type="spellStart"/>
      <w:r w:rsidRPr="006115C4">
        <w:rPr>
          <w:rFonts w:ascii="Arial" w:hAnsi="Arial" w:cs="Arial"/>
          <w:sz w:val="22"/>
          <w:szCs w:val="22"/>
        </w:rPr>
        <w:t>Selligman</w:t>
      </w:r>
      <w:proofErr w:type="spellEnd"/>
      <w:r w:rsidRPr="006115C4">
        <w:rPr>
          <w:rFonts w:ascii="Arial" w:hAnsi="Arial" w:cs="Arial"/>
          <w:sz w:val="22"/>
          <w:szCs w:val="22"/>
        </w:rPr>
        <w:t xml:space="preserve">, M.E.P. (2024). Flourish. [online] Google Books. Available at: </w:t>
      </w:r>
    </w:p>
    <w:p w14:paraId="107AA222" w14:textId="77777777" w:rsidR="00887792" w:rsidRPr="006115C4" w:rsidRDefault="00456CA6">
      <w:pPr>
        <w:ind w:left="-5"/>
        <w:rPr>
          <w:rFonts w:ascii="Arial" w:hAnsi="Arial" w:cs="Arial"/>
          <w:sz w:val="22"/>
          <w:szCs w:val="22"/>
        </w:rPr>
      </w:pPr>
      <w:r w:rsidRPr="006115C4">
        <w:rPr>
          <w:rFonts w:ascii="Arial" w:hAnsi="Arial" w:cs="Arial"/>
          <w:sz w:val="22"/>
          <w:szCs w:val="22"/>
        </w:rPr>
        <w:t>https://books.google.co.uk/books?hl=en&amp;lr=&amp;id=ng7RJWudoQC&amp;oi=fnd&amp;pg=PA5&amp;dq=Seligman.</w:t>
      </w:r>
      <w:r w:rsidRPr="006115C4">
        <w:rPr>
          <w:rFonts w:ascii="Arial" w:hAnsi="Arial" w:cs="Arial"/>
          <w:sz w:val="22"/>
          <w:szCs w:val="22"/>
        </w:rPr>
        <w:t xml:space="preserve"> </w:t>
      </w:r>
    </w:p>
    <w:p w14:paraId="18C41B66" w14:textId="3B076079" w:rsidR="004911A3" w:rsidRPr="006115C4" w:rsidRDefault="002A1243" w:rsidP="002A1243">
      <w:pPr>
        <w:ind w:left="0" w:firstLine="0"/>
        <w:rPr>
          <w:rFonts w:ascii="Arial" w:hAnsi="Arial" w:cs="Arial"/>
          <w:sz w:val="22"/>
          <w:szCs w:val="22"/>
        </w:rPr>
      </w:pPr>
      <w:r w:rsidRPr="006115C4">
        <w:rPr>
          <w:rFonts w:ascii="Arial" w:hAnsi="Arial" w:cs="Arial"/>
          <w:sz w:val="22"/>
          <w:szCs w:val="22"/>
        </w:rPr>
        <w:t>Task b</w:t>
      </w:r>
    </w:p>
    <w:p w14:paraId="55D38CBD" w14:textId="77777777" w:rsidR="00F33C59" w:rsidRPr="00D61C54" w:rsidRDefault="00F33C59">
      <w:pPr>
        <w:pStyle w:val="p1"/>
        <w:rPr>
          <w:sz w:val="22"/>
          <w:szCs w:val="22"/>
        </w:rPr>
      </w:pPr>
      <w:r w:rsidRPr="00D61C54">
        <w:rPr>
          <w:rStyle w:val="s1"/>
          <w:sz w:val="22"/>
          <w:szCs w:val="22"/>
        </w:rPr>
        <w:t xml:space="preserve">Enhancing the psychological well-being of elderly individuals residing in care homes is a significant focus for health and social care professionals. A highly effective approach to achieve this is through positive psychology, particularly the PERMA model proposed by Martin </w:t>
      </w:r>
      <w:proofErr w:type="spellStart"/>
      <w:r w:rsidRPr="00D61C54">
        <w:rPr>
          <w:rStyle w:val="s1"/>
          <w:sz w:val="22"/>
          <w:szCs w:val="22"/>
        </w:rPr>
        <w:t>Seligman</w:t>
      </w:r>
      <w:proofErr w:type="spellEnd"/>
      <w:r w:rsidRPr="00D61C54">
        <w:rPr>
          <w:rStyle w:val="s1"/>
          <w:sz w:val="22"/>
          <w:szCs w:val="22"/>
        </w:rPr>
        <w:t xml:space="preserve">. This model highlights five essential components of positive psychology: positive emotions, engagement, relationships, meaning, and accomplishment. Implementing this framework in residential settings can greatly benefit the lives of older adults. The PERMA model consists of five aspects of wellbeing: positive emotions, engagement, relationships, meaning, and accomplishment. These aspects interact to create an overall sense of wellbeing and happiness. The significance of the PERMA theory in relation to older adults in a care home setting is that it </w:t>
      </w:r>
      <w:proofErr w:type="spellStart"/>
      <w:r w:rsidRPr="00D61C54">
        <w:rPr>
          <w:rStyle w:val="s1"/>
          <w:sz w:val="22"/>
          <w:szCs w:val="22"/>
        </w:rPr>
        <w:t>emphasizes</w:t>
      </w:r>
      <w:proofErr w:type="spellEnd"/>
      <w:r w:rsidRPr="00D61C54">
        <w:rPr>
          <w:rStyle w:val="s1"/>
          <w:sz w:val="22"/>
          <w:szCs w:val="22"/>
        </w:rPr>
        <w:t xml:space="preserve"> wellbeing and quality of life, as opposed to illness or decline. This is an important aspect of a holistic approach to caring for residents. Using the PERMA model in a care home setting can have a positive impact on the psychological wellbeing of the residents. This can be achieved by creating positive emotions through activities that bring joy and happiness to the residents examples could be making them listen to music or art. This will encourage engagement by participating in activities that are important to daily life and are within the residents' ability to participate. Maintaining relationships are also very crucial in a care home setting as loneliness</w:t>
      </w:r>
      <w:r w:rsidRPr="00D61C54">
        <w:rPr>
          <w:rStyle w:val="apple-converted-space"/>
          <w:rFonts w:ascii="UICTFontTextStyleBody" w:hAnsi="UICTFontTextStyleBody"/>
          <w:sz w:val="22"/>
          <w:szCs w:val="22"/>
        </w:rPr>
        <w:t xml:space="preserve">  </w:t>
      </w:r>
      <w:r w:rsidRPr="00D61C54">
        <w:rPr>
          <w:rStyle w:val="s1"/>
          <w:sz w:val="22"/>
          <w:szCs w:val="22"/>
        </w:rPr>
        <w:t>are common among the elderly and will lead to them to feel quite isolated and miserable, as this is quite common this is when the care home decides to introduce a new weekly group activity called “Memory Cafe”. In this example, the residents are able to share their experiences, listen to music to remind them of their youth, and interact with one another. This is promoting relationships and positive emotions through the enjoyment of their experiences. For example, there is a resident who is quiet and doesn’t like to talk, but after attending the Memory Cafe, they are able to talk and interact with others. This allows the resident to gain a sense of meaning and accomplishment. For instance, the resident may be willing to engage in more group activities socialise with others more or even help set the table. This is particularly important for the elderly, who may feel a loss of independence, helping them regain the independence will make them feel accomplished and feel like they have control in their daily life. Therefore, the PERMA model enhances not only the emotional well-being of residents but also their sense of dignity and self-esteem.</w:t>
      </w:r>
    </w:p>
    <w:p w14:paraId="2FCB1C82" w14:textId="77777777" w:rsidR="00F33C59" w:rsidRPr="00D61C54" w:rsidRDefault="00F33C59">
      <w:pPr>
        <w:pStyle w:val="p1"/>
        <w:rPr>
          <w:sz w:val="22"/>
          <w:szCs w:val="22"/>
        </w:rPr>
      </w:pPr>
      <w:r w:rsidRPr="00D61C54">
        <w:rPr>
          <w:rStyle w:val="s1"/>
          <w:sz w:val="22"/>
          <w:szCs w:val="22"/>
        </w:rPr>
        <w:t xml:space="preserve">Nonetheless, challenges can occur when applying the theory in a residential environment. one example of a challenge could be that residents may face difficulties such as hearing impairments, speech difficulties or even language difficulties that could lead the residents to feel quite frustrations, misunderstanding or a lack of understanding from the staff if they are not able to understand. To effectively tackle this issue, professionals should adopt a </w:t>
      </w:r>
      <w:proofErr w:type="spellStart"/>
      <w:r w:rsidRPr="00D61C54">
        <w:rPr>
          <w:rStyle w:val="s1"/>
          <w:sz w:val="22"/>
          <w:szCs w:val="22"/>
        </w:rPr>
        <w:t>person-centered</w:t>
      </w:r>
      <w:proofErr w:type="spellEnd"/>
      <w:r w:rsidRPr="00D61C54">
        <w:rPr>
          <w:rStyle w:val="s1"/>
          <w:sz w:val="22"/>
          <w:szCs w:val="22"/>
        </w:rPr>
        <w:t xml:space="preserve"> approach, which involves creating activities tailored to the interests and abilities of the residents. one crucial approach would be training staff to make sure they are trained in sign language, having staff from different backgrounds so they can communicate with the resident and also making sure all staff remain patient, building close relationships with the resident will make them feel listened to and comfortable this is important as it will improve the residents well-being and reduce frustration. Involving family members and volunteers may be helpful in ensuring a high standard of care. This helps in reducing pressure on care workers. By making small but significant adjustments, professionals may successfully apply the PERMA model in a practical manner. In conclusion, the PERMA model by Martin </w:t>
      </w:r>
      <w:proofErr w:type="spellStart"/>
      <w:r w:rsidRPr="00D61C54">
        <w:rPr>
          <w:rStyle w:val="s1"/>
          <w:sz w:val="22"/>
          <w:szCs w:val="22"/>
        </w:rPr>
        <w:t>Seligman</w:t>
      </w:r>
      <w:proofErr w:type="spellEnd"/>
      <w:r w:rsidRPr="00D61C54">
        <w:rPr>
          <w:rStyle w:val="s1"/>
          <w:sz w:val="22"/>
          <w:szCs w:val="22"/>
        </w:rPr>
        <w:t xml:space="preserve"> is an important theory in enhancing the psychological wellbeing of the elderly in residential homes. It promotes a strengths-based and holistic approach to caring for the elderly. Although there are challenges in applying the theory, it can be worked around through person-centred approaches. The theory is very important and effective in enhancing the wellbeing and quality of life in care homes.</w:t>
      </w:r>
    </w:p>
    <w:p w14:paraId="1E1165A5" w14:textId="77777777" w:rsidR="00F33C59" w:rsidRPr="00D61C54" w:rsidRDefault="00F33C59">
      <w:pPr>
        <w:pStyle w:val="p2"/>
        <w:rPr>
          <w:sz w:val="22"/>
          <w:szCs w:val="22"/>
        </w:rPr>
      </w:pPr>
    </w:p>
    <w:p w14:paraId="1C752A2F" w14:textId="77777777" w:rsidR="00F33C59" w:rsidRPr="00D61C54" w:rsidRDefault="00F33C59">
      <w:pPr>
        <w:pStyle w:val="p1"/>
        <w:rPr>
          <w:sz w:val="22"/>
          <w:szCs w:val="22"/>
        </w:rPr>
      </w:pPr>
      <w:r w:rsidRPr="00D61C54">
        <w:rPr>
          <w:rStyle w:val="s1"/>
          <w:sz w:val="22"/>
          <w:szCs w:val="22"/>
        </w:rPr>
        <w:t xml:space="preserve">Martin E. P. </w:t>
      </w:r>
      <w:proofErr w:type="spellStart"/>
      <w:r w:rsidRPr="00D61C54">
        <w:rPr>
          <w:rStyle w:val="s1"/>
          <w:sz w:val="22"/>
          <w:szCs w:val="22"/>
        </w:rPr>
        <w:t>Seligman</w:t>
      </w:r>
      <w:proofErr w:type="spellEnd"/>
      <w:r w:rsidRPr="00D61C54">
        <w:rPr>
          <w:rStyle w:val="s1"/>
          <w:sz w:val="22"/>
          <w:szCs w:val="22"/>
        </w:rPr>
        <w:t xml:space="preserve"> (2011) Flourish: A Visionary New Understanding of Happiness and Well-being.</w:t>
      </w:r>
    </w:p>
    <w:p w14:paraId="55E00C3D" w14:textId="77777777" w:rsidR="00F33C59" w:rsidRPr="00D61C54" w:rsidRDefault="00F33C59">
      <w:pPr>
        <w:pStyle w:val="p1"/>
        <w:rPr>
          <w:sz w:val="22"/>
          <w:szCs w:val="22"/>
        </w:rPr>
      </w:pPr>
      <w:r w:rsidRPr="00D61C54">
        <w:rPr>
          <w:rStyle w:val="s1"/>
          <w:sz w:val="22"/>
          <w:szCs w:val="22"/>
        </w:rPr>
        <w:t>New York: Free Press.</w:t>
      </w:r>
    </w:p>
    <w:p w14:paraId="0F425EB9" w14:textId="77777777" w:rsidR="00F33C59" w:rsidRPr="00D61C54" w:rsidRDefault="00F33C59">
      <w:pPr>
        <w:pStyle w:val="p1"/>
        <w:rPr>
          <w:sz w:val="22"/>
          <w:szCs w:val="22"/>
        </w:rPr>
      </w:pPr>
      <w:r w:rsidRPr="00D61C54">
        <w:rPr>
          <w:rStyle w:val="s1"/>
          <w:sz w:val="22"/>
          <w:szCs w:val="22"/>
        </w:rPr>
        <w:t>NICE (2018) Older people: independence and mental wellbeing. London: NICE.</w:t>
      </w:r>
    </w:p>
    <w:p w14:paraId="00389B87" w14:textId="77777777" w:rsidR="00F33C59" w:rsidRPr="00D61C54" w:rsidRDefault="00F33C59">
      <w:pPr>
        <w:pStyle w:val="p1"/>
        <w:rPr>
          <w:sz w:val="22"/>
          <w:szCs w:val="22"/>
        </w:rPr>
      </w:pPr>
      <w:r w:rsidRPr="00D61C54">
        <w:rPr>
          <w:rStyle w:val="s1"/>
          <w:sz w:val="22"/>
          <w:szCs w:val="22"/>
        </w:rPr>
        <w:t xml:space="preserve">World Health </w:t>
      </w:r>
      <w:proofErr w:type="spellStart"/>
      <w:r w:rsidRPr="00D61C54">
        <w:rPr>
          <w:rStyle w:val="s1"/>
          <w:sz w:val="22"/>
          <w:szCs w:val="22"/>
        </w:rPr>
        <w:t>Organization</w:t>
      </w:r>
      <w:proofErr w:type="spellEnd"/>
      <w:r w:rsidRPr="00D61C54">
        <w:rPr>
          <w:rStyle w:val="s1"/>
          <w:sz w:val="22"/>
          <w:szCs w:val="22"/>
        </w:rPr>
        <w:t xml:space="preserve"> (2015) World report on ageing and health. Geneva: WHO.</w:t>
      </w:r>
    </w:p>
    <w:p w14:paraId="69A9A904" w14:textId="77777777" w:rsidR="002A1243" w:rsidRPr="00E4755A" w:rsidRDefault="002A1243" w:rsidP="002A1243">
      <w:pPr>
        <w:ind w:left="0" w:firstLine="0"/>
        <w:rPr>
          <w:sz w:val="22"/>
          <w:szCs w:val="22"/>
        </w:rPr>
      </w:pPr>
    </w:p>
    <w:p w14:paraId="7690BA5F" w14:textId="77777777" w:rsidR="00F33C59" w:rsidRPr="00E4755A" w:rsidRDefault="00F33C59" w:rsidP="002A1243">
      <w:pPr>
        <w:ind w:left="0" w:firstLine="0"/>
        <w:rPr>
          <w:sz w:val="22"/>
          <w:szCs w:val="22"/>
        </w:rPr>
      </w:pPr>
    </w:p>
    <w:p w14:paraId="4BAAB94F" w14:textId="77777777" w:rsidR="00887792" w:rsidRPr="00E4755A" w:rsidRDefault="00456CA6">
      <w:pPr>
        <w:spacing w:after="184" w:line="259" w:lineRule="auto"/>
        <w:ind w:left="0" w:firstLine="0"/>
        <w:rPr>
          <w:sz w:val="22"/>
          <w:szCs w:val="22"/>
        </w:rPr>
      </w:pPr>
      <w:r w:rsidRPr="00E4755A">
        <w:rPr>
          <w:rFonts w:cs="Aptos"/>
          <w:sz w:val="22"/>
          <w:szCs w:val="22"/>
        </w:rPr>
        <w:t xml:space="preserve"> </w:t>
      </w:r>
    </w:p>
    <w:p w14:paraId="6F93E60F" w14:textId="77777777" w:rsidR="00887792" w:rsidRPr="00E4755A" w:rsidRDefault="00456CA6">
      <w:pPr>
        <w:spacing w:after="0" w:line="259" w:lineRule="auto"/>
        <w:ind w:left="0" w:firstLine="0"/>
        <w:rPr>
          <w:sz w:val="22"/>
          <w:szCs w:val="22"/>
        </w:rPr>
      </w:pPr>
      <w:r w:rsidRPr="00E4755A">
        <w:rPr>
          <w:rFonts w:cs="Aptos"/>
          <w:sz w:val="22"/>
          <w:szCs w:val="22"/>
        </w:rPr>
        <w:t xml:space="preserve"> </w:t>
      </w:r>
    </w:p>
    <w:sectPr w:rsidR="00887792" w:rsidRPr="00E4755A">
      <w:pgSz w:w="12240" w:h="15840"/>
      <w:pgMar w:top="1440" w:right="1444" w:bottom="1763"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792"/>
    <w:rsid w:val="00086ACE"/>
    <w:rsid w:val="00116DAA"/>
    <w:rsid w:val="002A1243"/>
    <w:rsid w:val="003A0E56"/>
    <w:rsid w:val="00456CA6"/>
    <w:rsid w:val="004911A3"/>
    <w:rsid w:val="006115C4"/>
    <w:rsid w:val="00700EAA"/>
    <w:rsid w:val="00754F31"/>
    <w:rsid w:val="00887792"/>
    <w:rsid w:val="00A25E71"/>
    <w:rsid w:val="00B527BE"/>
    <w:rsid w:val="00D61C54"/>
    <w:rsid w:val="00E4755A"/>
    <w:rsid w:val="00F33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5987D6"/>
  <w15:docId w15:val="{525B4A4C-C36B-AD47-9E92-673E1390AA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9" w:line="269" w:lineRule="auto"/>
      <w:ind w:left="10" w:hanging="10"/>
    </w:pPr>
    <w:rPr>
      <w:rFonts w:ascii="Aptos" w:eastAsia="Aptos" w:hAnsi="Aptos" w:cs="Times New Roman"/>
      <w:color w:val="000000"/>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F33C59"/>
    <w:pPr>
      <w:spacing w:after="0" w:line="240" w:lineRule="auto"/>
      <w:ind w:left="0" w:firstLine="0"/>
    </w:pPr>
    <w:rPr>
      <w:rFonts w:ascii=".AppleSystemUIFont" w:eastAsiaTheme="minorEastAsia" w:hAnsi=".AppleSystemUIFont"/>
      <w:color w:val="auto"/>
      <w:kern w:val="0"/>
      <w:sz w:val="29"/>
      <w:szCs w:val="29"/>
      <w:lang w:val="en-GB" w:eastAsia="en-GB"/>
      <w14:ligatures w14:val="none"/>
    </w:rPr>
  </w:style>
  <w:style w:type="paragraph" w:customStyle="1" w:styleId="p2">
    <w:name w:val="p2"/>
    <w:basedOn w:val="Normal"/>
    <w:rsid w:val="00F33C59"/>
    <w:pPr>
      <w:spacing w:after="0" w:line="240" w:lineRule="auto"/>
      <w:ind w:left="0" w:firstLine="0"/>
    </w:pPr>
    <w:rPr>
      <w:rFonts w:ascii=".AppleSystemUIFont" w:eastAsiaTheme="minorEastAsia" w:hAnsi=".AppleSystemUIFont"/>
      <w:color w:val="auto"/>
      <w:kern w:val="0"/>
      <w:sz w:val="29"/>
      <w:szCs w:val="29"/>
      <w:lang w:val="en-GB" w:eastAsia="en-GB"/>
      <w14:ligatures w14:val="none"/>
    </w:rPr>
  </w:style>
  <w:style w:type="character" w:customStyle="1" w:styleId="s1">
    <w:name w:val="s1"/>
    <w:basedOn w:val="DefaultParagraphFont"/>
    <w:rsid w:val="00F33C59"/>
    <w:rPr>
      <w:rFonts w:ascii="UICTFontTextStyleBody" w:hAnsi="UICTFontTextStyleBody" w:hint="default"/>
      <w:b w:val="0"/>
      <w:bCs w:val="0"/>
      <w:i w:val="0"/>
      <w:iCs w:val="0"/>
      <w:sz w:val="29"/>
      <w:szCs w:val="29"/>
    </w:rPr>
  </w:style>
  <w:style w:type="character" w:customStyle="1" w:styleId="apple-converted-space">
    <w:name w:val="apple-converted-space"/>
    <w:basedOn w:val="DefaultParagraphFont"/>
    <w:rsid w:val="00F33C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increaseproject.eu/images/DOWNLOADS/IO2/DE/CURR_M4-A13_Bowlby_(EN-only)_20170920_DE_final.pdf" TargetMode="External"/><Relationship Id="rId13" Type="http://schemas.openxmlformats.org/officeDocument/2006/relationships/hyperlink" Target="https://books.google.co.uk/books?hl=en&amp;lr=&amp;id=SKidSuluprgC&amp;oi=fnd&amp;pg=PP2&amp;dq=Erikson" TargetMode="External"/><Relationship Id="rId18" Type="http://schemas.openxmlformats.org/officeDocument/2006/relationships/hyperlink" Target="https://www.britishcouncil.nl/sites/default/files/social_care_older_people_kings_fund_sep_2016.pdf"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increaseproject.eu/images/DOWNLOADS/IO2/DE/CURR_M4-A13_Bowlby_(EN-only)_20170920_DE_final.pdf" TargetMode="External"/><Relationship Id="rId12" Type="http://schemas.openxmlformats.org/officeDocument/2006/relationships/hyperlink" Target="https://www.increaseproject.eu/images/DOWNLOADS/IO2/DE/CURR_M4-A13_Bowlby_(EN-only)_20170920_DE_final.pdf" TargetMode="External"/><Relationship Id="rId17" Type="http://schemas.openxmlformats.org/officeDocument/2006/relationships/hyperlink" Target="https://www.britishcouncil.nl/sites/default/files/social_care_older_people_kings_fund_sep_2016.pdf" TargetMode="External"/><Relationship Id="rId2" Type="http://schemas.openxmlformats.org/officeDocument/2006/relationships/settings" Target="settings.xml"/><Relationship Id="rId16" Type="http://schemas.openxmlformats.org/officeDocument/2006/relationships/hyperlink" Target="https://www.britishcouncil.nl/sites/default/files/social_care_older_people_kings_fund_sep_2016.pdf" TargetMode="External"/><Relationship Id="rId20" Type="http://schemas.openxmlformats.org/officeDocument/2006/relationships/hyperlink" Target="https://www.simplypsychology.org/attachment.html" TargetMode="External"/><Relationship Id="rId1" Type="http://schemas.openxmlformats.org/officeDocument/2006/relationships/styles" Target="styles.xml"/><Relationship Id="rId6" Type="http://schemas.openxmlformats.org/officeDocument/2006/relationships/hyperlink" Target="https://books.google.co.uk/books?hl=en&amp;lr=&amp;id=0oEJaiK30wUC&amp;oi=fnd&amp;pg=PA1&amp;dq=Baltes" TargetMode="External"/><Relationship Id="rId11" Type="http://schemas.openxmlformats.org/officeDocument/2006/relationships/hyperlink" Target="https://www.increaseproject.eu/images/DOWNLOADS/IO2/DE/CURR_M4-A13_Bowlby_(EN-only)_20170920_DE_final.pdf" TargetMode="External"/><Relationship Id="rId5" Type="http://schemas.openxmlformats.org/officeDocument/2006/relationships/hyperlink" Target="https://books.google.co.uk/books?hl=en&amp;lr=&amp;id=0oEJaiK30wUC&amp;oi=fnd&amp;pg=PA1&amp;dq=Baltes" TargetMode="External"/><Relationship Id="rId15" Type="http://schemas.openxmlformats.org/officeDocument/2006/relationships/hyperlink" Target="https://books.google.co.uk/books?hl=en&amp;lr=&amp;id=SKidSuluprgC&amp;oi=fnd&amp;pg=PP2&amp;dq=Erikson" TargetMode="External"/><Relationship Id="rId10" Type="http://schemas.openxmlformats.org/officeDocument/2006/relationships/hyperlink" Target="https://www.increaseproject.eu/images/DOWNLOADS/IO2/DE/CURR_M4-A13_Bowlby_(EN-only)_20170920_DE_final.pdf" TargetMode="External"/><Relationship Id="rId19" Type="http://schemas.openxmlformats.org/officeDocument/2006/relationships/hyperlink" Target="https://www.simplypsychology.org/attachment.html" TargetMode="External"/><Relationship Id="rId4" Type="http://schemas.openxmlformats.org/officeDocument/2006/relationships/hyperlink" Target="https://books.google.co.uk/books?hl=en&amp;lr=&amp;id=0oEJaiK30wUC&amp;oi=fnd&amp;pg=PA1&amp;dq=Baltes" TargetMode="External"/><Relationship Id="rId9" Type="http://schemas.openxmlformats.org/officeDocument/2006/relationships/hyperlink" Target="https://www.increaseproject.eu/images/DOWNLOADS/IO2/DE/CURR_M4-A13_Bowlby_(EN-only)_20170920_DE_final.pdf" TargetMode="External"/><Relationship Id="rId14" Type="http://schemas.openxmlformats.org/officeDocument/2006/relationships/hyperlink" Target="https://books.google.co.uk/books?hl=en&amp;lr=&amp;id=SKidSuluprgC&amp;oi=fnd&amp;pg=PP2&amp;dq=Erikso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2357</Words>
  <Characters>13436</Characters>
  <Application>Microsoft Office Word</Application>
  <DocSecurity>0</DocSecurity>
  <Lines>111</Lines>
  <Paragraphs>31</Paragraphs>
  <ScaleCrop>false</ScaleCrop>
  <Company/>
  <LinksUpToDate>false</LinksUpToDate>
  <CharactersWithSpaces>15762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ikra akhtar</dc:creator>
  <cp:keywords/>
  <cp:lastModifiedBy>alwaza ali</cp:lastModifiedBy>
  <cp:revision>2</cp:revision>
  <dcterms:created xsi:type="dcterms:W3CDTF">2026-03-24T02:50:00Z</dcterms:created>
  <dcterms:modified xsi:type="dcterms:W3CDTF">2026-03-24T02:50:00Z</dcterms:modified>
</cp:coreProperties>
</file>