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5B2F1D"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D5B2F7A" wp14:editId="2D5B2F7B">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D5B2F8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D5B2F8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D5B2F7A"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D5B2F8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D5B2F8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2D5B2F7C" wp14:editId="2D5B2F7D">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D5B2F8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D5B2F8B"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D5B2F7C"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D5B2F8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D5B2F8B"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D5B2F1E"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D5B2F7E" wp14:editId="2D5B2F7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D5B2F8C" w14:textId="77777777" w:rsidR="00530E16" w:rsidRDefault="004468F8">
                            <w:pPr>
                              <w:spacing w:after="0" w:line="240" w:lineRule="auto"/>
                              <w:textDirection w:val="btLr"/>
                            </w:pPr>
                            <w:r>
                              <w:rPr>
                                <w:rFonts w:ascii="Play" w:eastAsia="Play" w:hAnsi="Play" w:cs="Play"/>
                                <w:color w:val="262626"/>
                                <w:sz w:val="72"/>
                              </w:rPr>
                              <w:t>Individual Report</w:t>
                            </w:r>
                          </w:p>
                          <w:p w14:paraId="2D5B2F8D" w14:textId="77777777" w:rsidR="00530E16" w:rsidRDefault="004468F8">
                            <w:pPr>
                              <w:spacing w:before="120" w:line="277" w:lineRule="auto"/>
                              <w:textDirection w:val="btLr"/>
                            </w:pPr>
                            <w:r>
                              <w:rPr>
                                <w:color w:val="404040"/>
                                <w:sz w:val="36"/>
                              </w:rPr>
                              <w:t>Module Name: Digital Skills and Research Methods</w:t>
                            </w:r>
                          </w:p>
                          <w:p w14:paraId="2D5B2F8E" w14:textId="77777777" w:rsidR="00530E16" w:rsidRDefault="004468F8">
                            <w:pPr>
                              <w:spacing w:before="120" w:line="277" w:lineRule="auto"/>
                              <w:textDirection w:val="btLr"/>
                            </w:pPr>
                            <w:r>
                              <w:rPr>
                                <w:color w:val="404040"/>
                                <w:sz w:val="36"/>
                              </w:rPr>
                              <w:t>Module Code: LCHS 4007</w:t>
                            </w:r>
                          </w:p>
                          <w:p w14:paraId="2D5B2F8F" w14:textId="29EB0B79" w:rsidR="00530E16" w:rsidRDefault="004468F8">
                            <w:pPr>
                              <w:spacing w:before="120" w:line="277" w:lineRule="auto"/>
                              <w:textDirection w:val="btLr"/>
                            </w:pPr>
                            <w:r>
                              <w:rPr>
                                <w:color w:val="404040"/>
                                <w:sz w:val="36"/>
                              </w:rPr>
                              <w:t xml:space="preserve">Student name: </w:t>
                            </w:r>
                            <w:r w:rsidR="00050C6C">
                              <w:rPr>
                                <w:color w:val="404040"/>
                                <w:sz w:val="36"/>
                              </w:rPr>
                              <w:t>Kayleigh</w:t>
                            </w:r>
                            <w:r w:rsidR="00117965">
                              <w:rPr>
                                <w:color w:val="404040"/>
                                <w:sz w:val="36"/>
                              </w:rPr>
                              <w:t xml:space="preserve"> </w:t>
                            </w:r>
                            <w:r w:rsidR="00050C6C">
                              <w:rPr>
                                <w:color w:val="404040"/>
                                <w:sz w:val="36"/>
                              </w:rPr>
                              <w:t>Hickling</w:t>
                            </w:r>
                          </w:p>
                          <w:p w14:paraId="2D5B2F90" w14:textId="155B39D4" w:rsidR="00530E16" w:rsidRDefault="004468F8">
                            <w:pPr>
                              <w:spacing w:before="120" w:line="277" w:lineRule="auto"/>
                              <w:textDirection w:val="btLr"/>
                            </w:pPr>
                            <w:r>
                              <w:rPr>
                                <w:color w:val="404040"/>
                                <w:sz w:val="36"/>
                              </w:rPr>
                              <w:t>Student ID:</w:t>
                            </w:r>
                            <w:r w:rsidR="00117965">
                              <w:rPr>
                                <w:color w:val="404040"/>
                                <w:sz w:val="36"/>
                              </w:rPr>
                              <w:t>2524181</w:t>
                            </w:r>
                          </w:p>
                          <w:p w14:paraId="2D5B2F91" w14:textId="11D8D60D" w:rsidR="00530E16" w:rsidRDefault="004468F8">
                            <w:pPr>
                              <w:spacing w:before="120" w:line="277" w:lineRule="auto"/>
                              <w:textDirection w:val="btLr"/>
                            </w:pPr>
                            <w:r>
                              <w:rPr>
                                <w:color w:val="404040"/>
                                <w:sz w:val="36"/>
                              </w:rPr>
                              <w:t xml:space="preserve">Lecturer’s Name: </w:t>
                            </w:r>
                            <w:r w:rsidR="00723D51">
                              <w:rPr>
                                <w:color w:val="404040"/>
                                <w:sz w:val="36"/>
                              </w:rPr>
                              <w:t>Md Sadeque Imam Shaikh</w:t>
                            </w:r>
                          </w:p>
                        </w:txbxContent>
                      </wps:txbx>
                      <wps:bodyPr spcFirstLastPara="1" wrap="square" lIns="0" tIns="0" rIns="0" bIns="0" anchor="t" anchorCtr="0">
                        <a:noAutofit/>
                      </wps:bodyPr>
                    </wps:wsp>
                  </a:graphicData>
                </a:graphic>
              </wp:anchor>
            </w:drawing>
          </mc:Choice>
          <mc:Fallback>
            <w:pict>
              <v:rect w14:anchorId="2D5B2F7E"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D5B2F8C" w14:textId="77777777" w:rsidR="00530E16" w:rsidRDefault="004468F8">
                      <w:pPr>
                        <w:spacing w:after="0" w:line="240" w:lineRule="auto"/>
                        <w:textDirection w:val="btLr"/>
                      </w:pPr>
                      <w:r>
                        <w:rPr>
                          <w:rFonts w:ascii="Play" w:eastAsia="Play" w:hAnsi="Play" w:cs="Play"/>
                          <w:color w:val="262626"/>
                          <w:sz w:val="72"/>
                        </w:rPr>
                        <w:t>Individual Report</w:t>
                      </w:r>
                    </w:p>
                    <w:p w14:paraId="2D5B2F8D" w14:textId="77777777" w:rsidR="00530E16" w:rsidRDefault="004468F8">
                      <w:pPr>
                        <w:spacing w:before="120" w:line="277" w:lineRule="auto"/>
                        <w:textDirection w:val="btLr"/>
                      </w:pPr>
                      <w:r>
                        <w:rPr>
                          <w:color w:val="404040"/>
                          <w:sz w:val="36"/>
                        </w:rPr>
                        <w:t>Module Name: Digital Skills and Research Methods</w:t>
                      </w:r>
                    </w:p>
                    <w:p w14:paraId="2D5B2F8E" w14:textId="77777777" w:rsidR="00530E16" w:rsidRDefault="004468F8">
                      <w:pPr>
                        <w:spacing w:before="120" w:line="277" w:lineRule="auto"/>
                        <w:textDirection w:val="btLr"/>
                      </w:pPr>
                      <w:r>
                        <w:rPr>
                          <w:color w:val="404040"/>
                          <w:sz w:val="36"/>
                        </w:rPr>
                        <w:t>Module Code: LCHS 4007</w:t>
                      </w:r>
                    </w:p>
                    <w:p w14:paraId="2D5B2F8F" w14:textId="29EB0B79" w:rsidR="00530E16" w:rsidRDefault="004468F8">
                      <w:pPr>
                        <w:spacing w:before="120" w:line="277" w:lineRule="auto"/>
                        <w:textDirection w:val="btLr"/>
                      </w:pPr>
                      <w:r>
                        <w:rPr>
                          <w:color w:val="404040"/>
                          <w:sz w:val="36"/>
                        </w:rPr>
                        <w:t xml:space="preserve">Student name: </w:t>
                      </w:r>
                      <w:r w:rsidR="00050C6C">
                        <w:rPr>
                          <w:color w:val="404040"/>
                          <w:sz w:val="36"/>
                        </w:rPr>
                        <w:t>Kayleigh</w:t>
                      </w:r>
                      <w:r w:rsidR="00117965">
                        <w:rPr>
                          <w:color w:val="404040"/>
                          <w:sz w:val="36"/>
                        </w:rPr>
                        <w:t xml:space="preserve"> </w:t>
                      </w:r>
                      <w:r w:rsidR="00050C6C">
                        <w:rPr>
                          <w:color w:val="404040"/>
                          <w:sz w:val="36"/>
                        </w:rPr>
                        <w:t>Hickling</w:t>
                      </w:r>
                    </w:p>
                    <w:p w14:paraId="2D5B2F90" w14:textId="155B39D4" w:rsidR="00530E16" w:rsidRDefault="004468F8">
                      <w:pPr>
                        <w:spacing w:before="120" w:line="277" w:lineRule="auto"/>
                        <w:textDirection w:val="btLr"/>
                      </w:pPr>
                      <w:r>
                        <w:rPr>
                          <w:color w:val="404040"/>
                          <w:sz w:val="36"/>
                        </w:rPr>
                        <w:t>Student ID:</w:t>
                      </w:r>
                      <w:r w:rsidR="00117965">
                        <w:rPr>
                          <w:color w:val="404040"/>
                          <w:sz w:val="36"/>
                        </w:rPr>
                        <w:t>2524181</w:t>
                      </w:r>
                    </w:p>
                    <w:p w14:paraId="2D5B2F91" w14:textId="11D8D60D" w:rsidR="00530E16" w:rsidRDefault="004468F8">
                      <w:pPr>
                        <w:spacing w:before="120" w:line="277" w:lineRule="auto"/>
                        <w:textDirection w:val="btLr"/>
                      </w:pPr>
                      <w:r>
                        <w:rPr>
                          <w:color w:val="404040"/>
                          <w:sz w:val="36"/>
                        </w:rPr>
                        <w:t xml:space="preserve">Lecturer’s Name: </w:t>
                      </w:r>
                      <w:r w:rsidR="00723D51">
                        <w:rPr>
                          <w:color w:val="404040"/>
                          <w:sz w:val="36"/>
                        </w:rPr>
                        <w:t>Md Sadeque Imam Shaikh</w:t>
                      </w:r>
                    </w:p>
                  </w:txbxContent>
                </v:textbox>
                <w10:wrap anchorx="page" anchory="page"/>
              </v:rect>
            </w:pict>
          </mc:Fallback>
        </mc:AlternateContent>
      </w:r>
      <w:r>
        <w:br w:type="page"/>
      </w:r>
    </w:p>
    <w:p w14:paraId="2D5B2F1F" w14:textId="77777777" w:rsidR="00530E16" w:rsidRDefault="00530E16">
      <w:pPr>
        <w:rPr>
          <w:rFonts w:ascii="Arial" w:eastAsia="Arial" w:hAnsi="Arial" w:cs="Arial"/>
        </w:rPr>
      </w:pPr>
    </w:p>
    <w:p w14:paraId="2D5B2F20"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1369727458"/>
        <w:docPartObj>
          <w:docPartGallery w:val="Table of Contents"/>
          <w:docPartUnique/>
        </w:docPartObj>
      </w:sdtPr>
      <w:sdtEndPr>
        <w:rPr>
          <w:rFonts w:ascii="Aptos" w:eastAsia="Aptos" w:hAnsi="Aptos" w:cs="Aptos"/>
          <w:b/>
          <w:bCs/>
          <w:color w:val="auto"/>
          <w:sz w:val="24"/>
          <w:szCs w:val="24"/>
        </w:rPr>
      </w:sdtEndPr>
      <w:sdtContent>
        <w:p w14:paraId="56E95776" w14:textId="241A87A5" w:rsidR="005158BA" w:rsidRDefault="005158BA">
          <w:pPr>
            <w:pStyle w:val="TOCHeading"/>
          </w:pPr>
          <w:r>
            <w:t>Contents</w:t>
          </w:r>
        </w:p>
        <w:p w14:paraId="12DB9E30" w14:textId="03FFE064" w:rsidR="005158BA" w:rsidRDefault="005158BA">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27419168" w:history="1">
            <w:r w:rsidRPr="004544E2">
              <w:rPr>
                <w:rStyle w:val="Hyperlink"/>
                <w:rFonts w:eastAsia="Arial"/>
                <w:noProof/>
              </w:rPr>
              <w:t>Introduction</w:t>
            </w:r>
            <w:r>
              <w:rPr>
                <w:noProof/>
                <w:webHidden/>
              </w:rPr>
              <w:tab/>
            </w:r>
            <w:r>
              <w:rPr>
                <w:noProof/>
                <w:webHidden/>
              </w:rPr>
              <w:fldChar w:fldCharType="begin"/>
            </w:r>
            <w:r>
              <w:rPr>
                <w:noProof/>
                <w:webHidden/>
              </w:rPr>
              <w:instrText xml:space="preserve"> PAGEREF _Toc227419168 \h </w:instrText>
            </w:r>
            <w:r>
              <w:rPr>
                <w:noProof/>
                <w:webHidden/>
              </w:rPr>
            </w:r>
            <w:r>
              <w:rPr>
                <w:noProof/>
                <w:webHidden/>
              </w:rPr>
              <w:fldChar w:fldCharType="separate"/>
            </w:r>
            <w:r>
              <w:rPr>
                <w:noProof/>
                <w:webHidden/>
              </w:rPr>
              <w:t>2</w:t>
            </w:r>
            <w:r>
              <w:rPr>
                <w:noProof/>
                <w:webHidden/>
              </w:rPr>
              <w:fldChar w:fldCharType="end"/>
            </w:r>
          </w:hyperlink>
        </w:p>
        <w:p w14:paraId="0E504F30" w14:textId="3B810EC2" w:rsidR="005158BA" w:rsidRDefault="005158BA">
          <w:pPr>
            <w:pStyle w:val="TOC1"/>
            <w:tabs>
              <w:tab w:val="right" w:leader="dot" w:pos="9016"/>
            </w:tabs>
            <w:rPr>
              <w:rFonts w:asciiTheme="minorHAnsi" w:eastAsiaTheme="minorEastAsia" w:hAnsiTheme="minorHAnsi" w:cstheme="minorBidi"/>
              <w:noProof/>
              <w:kern w:val="2"/>
              <w14:ligatures w14:val="standardContextual"/>
            </w:rPr>
          </w:pPr>
          <w:hyperlink w:anchor="_Toc227419169" w:history="1">
            <w:r w:rsidRPr="004544E2">
              <w:rPr>
                <w:rStyle w:val="Hyperlink"/>
                <w:rFonts w:eastAsia="Arial"/>
                <w:noProof/>
              </w:rPr>
              <w:t>Task 1 – Selection of a Research Topic on staff burn out.</w:t>
            </w:r>
            <w:r>
              <w:rPr>
                <w:noProof/>
                <w:webHidden/>
              </w:rPr>
              <w:tab/>
            </w:r>
            <w:r>
              <w:rPr>
                <w:noProof/>
                <w:webHidden/>
              </w:rPr>
              <w:fldChar w:fldCharType="begin"/>
            </w:r>
            <w:r>
              <w:rPr>
                <w:noProof/>
                <w:webHidden/>
              </w:rPr>
              <w:instrText xml:space="preserve"> PAGEREF _Toc227419169 \h </w:instrText>
            </w:r>
            <w:r>
              <w:rPr>
                <w:noProof/>
                <w:webHidden/>
              </w:rPr>
            </w:r>
            <w:r>
              <w:rPr>
                <w:noProof/>
                <w:webHidden/>
              </w:rPr>
              <w:fldChar w:fldCharType="separate"/>
            </w:r>
            <w:r>
              <w:rPr>
                <w:noProof/>
                <w:webHidden/>
              </w:rPr>
              <w:t>2</w:t>
            </w:r>
            <w:r>
              <w:rPr>
                <w:noProof/>
                <w:webHidden/>
              </w:rPr>
              <w:fldChar w:fldCharType="end"/>
            </w:r>
          </w:hyperlink>
        </w:p>
        <w:p w14:paraId="39FA9D4F" w14:textId="25F138FC"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70" w:history="1">
            <w:r w:rsidRPr="004544E2">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_Toc227419170 \h </w:instrText>
            </w:r>
            <w:r>
              <w:rPr>
                <w:noProof/>
                <w:webHidden/>
              </w:rPr>
            </w:r>
            <w:r>
              <w:rPr>
                <w:noProof/>
                <w:webHidden/>
              </w:rPr>
              <w:fldChar w:fldCharType="separate"/>
            </w:r>
            <w:r>
              <w:rPr>
                <w:noProof/>
                <w:webHidden/>
              </w:rPr>
              <w:t>2</w:t>
            </w:r>
            <w:r>
              <w:rPr>
                <w:noProof/>
                <w:webHidden/>
              </w:rPr>
              <w:fldChar w:fldCharType="end"/>
            </w:r>
          </w:hyperlink>
        </w:p>
        <w:p w14:paraId="5E71B45E" w14:textId="265921DB"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71" w:history="1">
            <w:r w:rsidRPr="004544E2">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_Toc227419171 \h </w:instrText>
            </w:r>
            <w:r>
              <w:rPr>
                <w:noProof/>
                <w:webHidden/>
              </w:rPr>
            </w:r>
            <w:r>
              <w:rPr>
                <w:noProof/>
                <w:webHidden/>
              </w:rPr>
              <w:fldChar w:fldCharType="separate"/>
            </w:r>
            <w:r>
              <w:rPr>
                <w:noProof/>
                <w:webHidden/>
              </w:rPr>
              <w:t>2</w:t>
            </w:r>
            <w:r>
              <w:rPr>
                <w:noProof/>
                <w:webHidden/>
              </w:rPr>
              <w:fldChar w:fldCharType="end"/>
            </w:r>
          </w:hyperlink>
        </w:p>
        <w:p w14:paraId="4B215DBA" w14:textId="4A0E46FE" w:rsidR="005158BA" w:rsidRDefault="005158BA">
          <w:pPr>
            <w:pStyle w:val="TOC1"/>
            <w:tabs>
              <w:tab w:val="right" w:leader="dot" w:pos="9016"/>
            </w:tabs>
            <w:rPr>
              <w:rFonts w:asciiTheme="minorHAnsi" w:eastAsiaTheme="minorEastAsia" w:hAnsiTheme="minorHAnsi" w:cstheme="minorBidi"/>
              <w:noProof/>
              <w:kern w:val="2"/>
              <w14:ligatures w14:val="standardContextual"/>
            </w:rPr>
          </w:pPr>
          <w:hyperlink w:anchor="_Toc227419172" w:history="1">
            <w:r w:rsidRPr="004544E2">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_Toc227419172 \h </w:instrText>
            </w:r>
            <w:r>
              <w:rPr>
                <w:noProof/>
                <w:webHidden/>
              </w:rPr>
            </w:r>
            <w:r>
              <w:rPr>
                <w:noProof/>
                <w:webHidden/>
              </w:rPr>
              <w:fldChar w:fldCharType="separate"/>
            </w:r>
            <w:r>
              <w:rPr>
                <w:noProof/>
                <w:webHidden/>
              </w:rPr>
              <w:t>2</w:t>
            </w:r>
            <w:r>
              <w:rPr>
                <w:noProof/>
                <w:webHidden/>
              </w:rPr>
              <w:fldChar w:fldCharType="end"/>
            </w:r>
          </w:hyperlink>
        </w:p>
        <w:p w14:paraId="5A1591C5" w14:textId="773FDEE6"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73" w:history="1">
            <w:r w:rsidRPr="004544E2">
              <w:rPr>
                <w:rStyle w:val="Hyperlink"/>
                <w:rFonts w:eastAsia="Arial"/>
                <w:noProof/>
              </w:rPr>
              <w:t>2.1 Source 1</w:t>
            </w:r>
            <w:r>
              <w:rPr>
                <w:noProof/>
                <w:webHidden/>
              </w:rPr>
              <w:tab/>
            </w:r>
            <w:r>
              <w:rPr>
                <w:noProof/>
                <w:webHidden/>
              </w:rPr>
              <w:fldChar w:fldCharType="begin"/>
            </w:r>
            <w:r>
              <w:rPr>
                <w:noProof/>
                <w:webHidden/>
              </w:rPr>
              <w:instrText xml:space="preserve"> PAGEREF _Toc227419173 \h </w:instrText>
            </w:r>
            <w:r>
              <w:rPr>
                <w:noProof/>
                <w:webHidden/>
              </w:rPr>
            </w:r>
            <w:r>
              <w:rPr>
                <w:noProof/>
                <w:webHidden/>
              </w:rPr>
              <w:fldChar w:fldCharType="separate"/>
            </w:r>
            <w:r>
              <w:rPr>
                <w:noProof/>
                <w:webHidden/>
              </w:rPr>
              <w:t>2</w:t>
            </w:r>
            <w:r>
              <w:rPr>
                <w:noProof/>
                <w:webHidden/>
              </w:rPr>
              <w:fldChar w:fldCharType="end"/>
            </w:r>
          </w:hyperlink>
        </w:p>
        <w:p w14:paraId="08860D4F" w14:textId="6F2C23AB"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74" w:history="1">
            <w:r w:rsidRPr="004544E2">
              <w:rPr>
                <w:rStyle w:val="Hyperlink"/>
                <w:rFonts w:eastAsia="Arial"/>
                <w:noProof/>
              </w:rPr>
              <w:t>2.2 Source 2</w:t>
            </w:r>
            <w:r>
              <w:rPr>
                <w:noProof/>
                <w:webHidden/>
              </w:rPr>
              <w:tab/>
            </w:r>
            <w:r>
              <w:rPr>
                <w:noProof/>
                <w:webHidden/>
              </w:rPr>
              <w:fldChar w:fldCharType="begin"/>
            </w:r>
            <w:r>
              <w:rPr>
                <w:noProof/>
                <w:webHidden/>
              </w:rPr>
              <w:instrText xml:space="preserve"> PAGEREF _Toc227419174 \h </w:instrText>
            </w:r>
            <w:r>
              <w:rPr>
                <w:noProof/>
                <w:webHidden/>
              </w:rPr>
            </w:r>
            <w:r>
              <w:rPr>
                <w:noProof/>
                <w:webHidden/>
              </w:rPr>
              <w:fldChar w:fldCharType="separate"/>
            </w:r>
            <w:r>
              <w:rPr>
                <w:noProof/>
                <w:webHidden/>
              </w:rPr>
              <w:t>2</w:t>
            </w:r>
            <w:r>
              <w:rPr>
                <w:noProof/>
                <w:webHidden/>
              </w:rPr>
              <w:fldChar w:fldCharType="end"/>
            </w:r>
          </w:hyperlink>
        </w:p>
        <w:p w14:paraId="19B941E7" w14:textId="3001013E"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75" w:history="1">
            <w:r w:rsidRPr="004544E2">
              <w:rPr>
                <w:rStyle w:val="Hyperlink"/>
                <w:rFonts w:eastAsia="Arial"/>
                <w:noProof/>
              </w:rPr>
              <w:t>2.3 Source 3</w:t>
            </w:r>
            <w:r>
              <w:rPr>
                <w:noProof/>
                <w:webHidden/>
              </w:rPr>
              <w:tab/>
            </w:r>
            <w:r>
              <w:rPr>
                <w:noProof/>
                <w:webHidden/>
              </w:rPr>
              <w:fldChar w:fldCharType="begin"/>
            </w:r>
            <w:r>
              <w:rPr>
                <w:noProof/>
                <w:webHidden/>
              </w:rPr>
              <w:instrText xml:space="preserve"> PAGEREF _Toc227419175 \h </w:instrText>
            </w:r>
            <w:r>
              <w:rPr>
                <w:noProof/>
                <w:webHidden/>
              </w:rPr>
            </w:r>
            <w:r>
              <w:rPr>
                <w:noProof/>
                <w:webHidden/>
              </w:rPr>
              <w:fldChar w:fldCharType="separate"/>
            </w:r>
            <w:r>
              <w:rPr>
                <w:noProof/>
                <w:webHidden/>
              </w:rPr>
              <w:t>3</w:t>
            </w:r>
            <w:r>
              <w:rPr>
                <w:noProof/>
                <w:webHidden/>
              </w:rPr>
              <w:fldChar w:fldCharType="end"/>
            </w:r>
          </w:hyperlink>
        </w:p>
        <w:p w14:paraId="73220937" w14:textId="686C454F"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76" w:history="1">
            <w:r w:rsidRPr="004544E2">
              <w:rPr>
                <w:rStyle w:val="Hyperlink"/>
                <w:rFonts w:eastAsia="Arial"/>
                <w:noProof/>
              </w:rPr>
              <w:t>2.4 Gaps in Current Research</w:t>
            </w:r>
            <w:r>
              <w:rPr>
                <w:noProof/>
                <w:webHidden/>
              </w:rPr>
              <w:tab/>
            </w:r>
            <w:r>
              <w:rPr>
                <w:noProof/>
                <w:webHidden/>
              </w:rPr>
              <w:fldChar w:fldCharType="begin"/>
            </w:r>
            <w:r>
              <w:rPr>
                <w:noProof/>
                <w:webHidden/>
              </w:rPr>
              <w:instrText xml:space="preserve"> PAGEREF _Toc227419176 \h </w:instrText>
            </w:r>
            <w:r>
              <w:rPr>
                <w:noProof/>
                <w:webHidden/>
              </w:rPr>
            </w:r>
            <w:r>
              <w:rPr>
                <w:noProof/>
                <w:webHidden/>
              </w:rPr>
              <w:fldChar w:fldCharType="separate"/>
            </w:r>
            <w:r>
              <w:rPr>
                <w:noProof/>
                <w:webHidden/>
              </w:rPr>
              <w:t>3</w:t>
            </w:r>
            <w:r>
              <w:rPr>
                <w:noProof/>
                <w:webHidden/>
              </w:rPr>
              <w:fldChar w:fldCharType="end"/>
            </w:r>
          </w:hyperlink>
        </w:p>
        <w:p w14:paraId="7BC87C10" w14:textId="0817CFAC" w:rsidR="005158BA" w:rsidRDefault="005158BA">
          <w:pPr>
            <w:pStyle w:val="TOC1"/>
            <w:tabs>
              <w:tab w:val="right" w:leader="dot" w:pos="9016"/>
            </w:tabs>
            <w:rPr>
              <w:rFonts w:asciiTheme="minorHAnsi" w:eastAsiaTheme="minorEastAsia" w:hAnsiTheme="minorHAnsi" w:cstheme="minorBidi"/>
              <w:noProof/>
              <w:kern w:val="2"/>
              <w14:ligatures w14:val="standardContextual"/>
            </w:rPr>
          </w:pPr>
          <w:hyperlink w:anchor="_Toc227419177" w:history="1">
            <w:r w:rsidRPr="004544E2">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_Toc227419177 \h </w:instrText>
            </w:r>
            <w:r>
              <w:rPr>
                <w:noProof/>
                <w:webHidden/>
              </w:rPr>
            </w:r>
            <w:r>
              <w:rPr>
                <w:noProof/>
                <w:webHidden/>
              </w:rPr>
              <w:fldChar w:fldCharType="separate"/>
            </w:r>
            <w:r>
              <w:rPr>
                <w:noProof/>
                <w:webHidden/>
              </w:rPr>
              <w:t>3</w:t>
            </w:r>
            <w:r>
              <w:rPr>
                <w:noProof/>
                <w:webHidden/>
              </w:rPr>
              <w:fldChar w:fldCharType="end"/>
            </w:r>
          </w:hyperlink>
        </w:p>
        <w:p w14:paraId="554C6008" w14:textId="10832A10"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78" w:history="1">
            <w:r w:rsidRPr="004544E2">
              <w:rPr>
                <w:rStyle w:val="Hyperlink"/>
                <w:rFonts w:eastAsia="Arial"/>
                <w:noProof/>
              </w:rPr>
              <w:t>3.1 Definitions and Examples</w:t>
            </w:r>
            <w:r>
              <w:rPr>
                <w:noProof/>
                <w:webHidden/>
              </w:rPr>
              <w:tab/>
            </w:r>
            <w:r>
              <w:rPr>
                <w:noProof/>
                <w:webHidden/>
              </w:rPr>
              <w:fldChar w:fldCharType="begin"/>
            </w:r>
            <w:r>
              <w:rPr>
                <w:noProof/>
                <w:webHidden/>
              </w:rPr>
              <w:instrText xml:space="preserve"> PAGEREF _Toc227419178 \h </w:instrText>
            </w:r>
            <w:r>
              <w:rPr>
                <w:noProof/>
                <w:webHidden/>
              </w:rPr>
            </w:r>
            <w:r>
              <w:rPr>
                <w:noProof/>
                <w:webHidden/>
              </w:rPr>
              <w:fldChar w:fldCharType="separate"/>
            </w:r>
            <w:r>
              <w:rPr>
                <w:noProof/>
                <w:webHidden/>
              </w:rPr>
              <w:t>3</w:t>
            </w:r>
            <w:r>
              <w:rPr>
                <w:noProof/>
                <w:webHidden/>
              </w:rPr>
              <w:fldChar w:fldCharType="end"/>
            </w:r>
          </w:hyperlink>
        </w:p>
        <w:p w14:paraId="6E0CF43C" w14:textId="53B4B01C"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79" w:history="1">
            <w:r w:rsidRPr="004544E2">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_Toc227419179 \h </w:instrText>
            </w:r>
            <w:r>
              <w:rPr>
                <w:noProof/>
                <w:webHidden/>
              </w:rPr>
            </w:r>
            <w:r>
              <w:rPr>
                <w:noProof/>
                <w:webHidden/>
              </w:rPr>
              <w:fldChar w:fldCharType="separate"/>
            </w:r>
            <w:r>
              <w:rPr>
                <w:noProof/>
                <w:webHidden/>
              </w:rPr>
              <w:t>4</w:t>
            </w:r>
            <w:r>
              <w:rPr>
                <w:noProof/>
                <w:webHidden/>
              </w:rPr>
              <w:fldChar w:fldCharType="end"/>
            </w:r>
          </w:hyperlink>
        </w:p>
        <w:p w14:paraId="0202A021" w14:textId="681F61E3" w:rsidR="005158BA" w:rsidRDefault="005158BA">
          <w:pPr>
            <w:pStyle w:val="TOC1"/>
            <w:tabs>
              <w:tab w:val="right" w:leader="dot" w:pos="9016"/>
            </w:tabs>
            <w:rPr>
              <w:rFonts w:asciiTheme="minorHAnsi" w:eastAsiaTheme="minorEastAsia" w:hAnsiTheme="minorHAnsi" w:cstheme="minorBidi"/>
              <w:noProof/>
              <w:kern w:val="2"/>
              <w14:ligatures w14:val="standardContextual"/>
            </w:rPr>
          </w:pPr>
          <w:hyperlink w:anchor="_Toc227419180" w:history="1">
            <w:r w:rsidRPr="004544E2">
              <w:rPr>
                <w:rStyle w:val="Hyperlink"/>
                <w:rFonts w:eastAsia="Arial"/>
                <w:noProof/>
              </w:rPr>
              <w:t>Task 4 – Data Collection</w:t>
            </w:r>
            <w:r>
              <w:rPr>
                <w:noProof/>
                <w:webHidden/>
              </w:rPr>
              <w:tab/>
            </w:r>
            <w:r>
              <w:rPr>
                <w:noProof/>
                <w:webHidden/>
              </w:rPr>
              <w:fldChar w:fldCharType="begin"/>
            </w:r>
            <w:r>
              <w:rPr>
                <w:noProof/>
                <w:webHidden/>
              </w:rPr>
              <w:instrText xml:space="preserve"> PAGEREF _Toc227419180 \h </w:instrText>
            </w:r>
            <w:r>
              <w:rPr>
                <w:noProof/>
                <w:webHidden/>
              </w:rPr>
            </w:r>
            <w:r>
              <w:rPr>
                <w:noProof/>
                <w:webHidden/>
              </w:rPr>
              <w:fldChar w:fldCharType="separate"/>
            </w:r>
            <w:r>
              <w:rPr>
                <w:noProof/>
                <w:webHidden/>
              </w:rPr>
              <w:t>4</w:t>
            </w:r>
            <w:r>
              <w:rPr>
                <w:noProof/>
                <w:webHidden/>
              </w:rPr>
              <w:fldChar w:fldCharType="end"/>
            </w:r>
          </w:hyperlink>
        </w:p>
        <w:p w14:paraId="39C5CF0E" w14:textId="3DF986FA"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81" w:history="1">
            <w:r w:rsidRPr="004544E2">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_Toc227419181 \h </w:instrText>
            </w:r>
            <w:r>
              <w:rPr>
                <w:noProof/>
                <w:webHidden/>
              </w:rPr>
            </w:r>
            <w:r>
              <w:rPr>
                <w:noProof/>
                <w:webHidden/>
              </w:rPr>
              <w:fldChar w:fldCharType="separate"/>
            </w:r>
            <w:r>
              <w:rPr>
                <w:noProof/>
                <w:webHidden/>
              </w:rPr>
              <w:t>4</w:t>
            </w:r>
            <w:r>
              <w:rPr>
                <w:noProof/>
                <w:webHidden/>
              </w:rPr>
              <w:fldChar w:fldCharType="end"/>
            </w:r>
          </w:hyperlink>
        </w:p>
        <w:p w14:paraId="74A52759" w14:textId="4F958606"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82" w:history="1">
            <w:r w:rsidRPr="004544E2">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_Toc227419182 \h </w:instrText>
            </w:r>
            <w:r>
              <w:rPr>
                <w:noProof/>
                <w:webHidden/>
              </w:rPr>
            </w:r>
            <w:r>
              <w:rPr>
                <w:noProof/>
                <w:webHidden/>
              </w:rPr>
              <w:fldChar w:fldCharType="separate"/>
            </w:r>
            <w:r>
              <w:rPr>
                <w:noProof/>
                <w:webHidden/>
              </w:rPr>
              <w:t>4</w:t>
            </w:r>
            <w:r>
              <w:rPr>
                <w:noProof/>
                <w:webHidden/>
              </w:rPr>
              <w:fldChar w:fldCharType="end"/>
            </w:r>
          </w:hyperlink>
        </w:p>
        <w:p w14:paraId="77FEA12C" w14:textId="29DD04D1" w:rsidR="005158BA" w:rsidRDefault="005158BA">
          <w:pPr>
            <w:pStyle w:val="TOC2"/>
            <w:tabs>
              <w:tab w:val="right" w:leader="dot" w:pos="9016"/>
            </w:tabs>
            <w:rPr>
              <w:rFonts w:asciiTheme="minorHAnsi" w:eastAsiaTheme="minorEastAsia" w:hAnsiTheme="minorHAnsi" w:cstheme="minorBidi"/>
              <w:noProof/>
              <w:kern w:val="2"/>
              <w14:ligatures w14:val="standardContextual"/>
            </w:rPr>
          </w:pPr>
          <w:hyperlink w:anchor="_Toc227419184" w:history="1">
            <w:r w:rsidRPr="004544E2">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_Toc227419184 \h </w:instrText>
            </w:r>
            <w:r>
              <w:rPr>
                <w:noProof/>
                <w:webHidden/>
              </w:rPr>
            </w:r>
            <w:r>
              <w:rPr>
                <w:noProof/>
                <w:webHidden/>
              </w:rPr>
              <w:fldChar w:fldCharType="separate"/>
            </w:r>
            <w:r>
              <w:rPr>
                <w:noProof/>
                <w:webHidden/>
              </w:rPr>
              <w:t>4</w:t>
            </w:r>
            <w:r>
              <w:rPr>
                <w:noProof/>
                <w:webHidden/>
              </w:rPr>
              <w:fldChar w:fldCharType="end"/>
            </w:r>
          </w:hyperlink>
        </w:p>
        <w:p w14:paraId="7E7A1196" w14:textId="09D59046" w:rsidR="005158BA" w:rsidRDefault="005158BA">
          <w:pPr>
            <w:pStyle w:val="TOC1"/>
            <w:tabs>
              <w:tab w:val="right" w:leader="dot" w:pos="9016"/>
            </w:tabs>
            <w:rPr>
              <w:rFonts w:asciiTheme="minorHAnsi" w:eastAsiaTheme="minorEastAsia" w:hAnsiTheme="minorHAnsi" w:cstheme="minorBidi"/>
              <w:noProof/>
              <w:kern w:val="2"/>
              <w14:ligatures w14:val="standardContextual"/>
            </w:rPr>
          </w:pPr>
          <w:hyperlink w:anchor="_Toc227419185" w:history="1">
            <w:r w:rsidRPr="004544E2">
              <w:rPr>
                <w:rStyle w:val="Hyperlink"/>
                <w:rFonts w:eastAsia="Arial"/>
                <w:noProof/>
              </w:rPr>
              <w:t>Conclusion</w:t>
            </w:r>
            <w:r>
              <w:rPr>
                <w:noProof/>
                <w:webHidden/>
              </w:rPr>
              <w:tab/>
            </w:r>
            <w:r>
              <w:rPr>
                <w:noProof/>
                <w:webHidden/>
              </w:rPr>
              <w:fldChar w:fldCharType="begin"/>
            </w:r>
            <w:r>
              <w:rPr>
                <w:noProof/>
                <w:webHidden/>
              </w:rPr>
              <w:instrText xml:space="preserve"> PAGEREF _Toc227419185 \h </w:instrText>
            </w:r>
            <w:r>
              <w:rPr>
                <w:noProof/>
                <w:webHidden/>
              </w:rPr>
            </w:r>
            <w:r>
              <w:rPr>
                <w:noProof/>
                <w:webHidden/>
              </w:rPr>
              <w:fldChar w:fldCharType="separate"/>
            </w:r>
            <w:r>
              <w:rPr>
                <w:noProof/>
                <w:webHidden/>
              </w:rPr>
              <w:t>5</w:t>
            </w:r>
            <w:r>
              <w:rPr>
                <w:noProof/>
                <w:webHidden/>
              </w:rPr>
              <w:fldChar w:fldCharType="end"/>
            </w:r>
          </w:hyperlink>
        </w:p>
        <w:p w14:paraId="35A76591" w14:textId="1738F1A0" w:rsidR="005158BA" w:rsidRDefault="005158BA">
          <w:pPr>
            <w:pStyle w:val="TOC1"/>
            <w:tabs>
              <w:tab w:val="right" w:leader="dot" w:pos="9016"/>
            </w:tabs>
            <w:rPr>
              <w:rFonts w:asciiTheme="minorHAnsi" w:eastAsiaTheme="minorEastAsia" w:hAnsiTheme="minorHAnsi" w:cstheme="minorBidi"/>
              <w:noProof/>
              <w:kern w:val="2"/>
              <w14:ligatures w14:val="standardContextual"/>
            </w:rPr>
          </w:pPr>
          <w:hyperlink w:anchor="_Toc227419186" w:history="1"/>
          <w:hyperlink w:anchor="_Toc227419188" w:history="1">
            <w:r w:rsidRPr="004544E2">
              <w:rPr>
                <w:rStyle w:val="Hyperlink"/>
                <w:rFonts w:eastAsia="Arial"/>
                <w:noProof/>
              </w:rPr>
              <w:t>Reference List</w:t>
            </w:r>
            <w:r>
              <w:rPr>
                <w:noProof/>
                <w:webHidden/>
              </w:rPr>
              <w:tab/>
            </w:r>
            <w:r>
              <w:rPr>
                <w:noProof/>
                <w:webHidden/>
              </w:rPr>
              <w:fldChar w:fldCharType="begin"/>
            </w:r>
            <w:r>
              <w:rPr>
                <w:noProof/>
                <w:webHidden/>
              </w:rPr>
              <w:instrText xml:space="preserve"> PAGEREF _Toc227419188 \h </w:instrText>
            </w:r>
            <w:r>
              <w:rPr>
                <w:noProof/>
                <w:webHidden/>
              </w:rPr>
            </w:r>
            <w:r>
              <w:rPr>
                <w:noProof/>
                <w:webHidden/>
              </w:rPr>
              <w:fldChar w:fldCharType="separate"/>
            </w:r>
            <w:r>
              <w:rPr>
                <w:noProof/>
                <w:webHidden/>
              </w:rPr>
              <w:t>5</w:t>
            </w:r>
            <w:r>
              <w:rPr>
                <w:noProof/>
                <w:webHidden/>
              </w:rPr>
              <w:fldChar w:fldCharType="end"/>
            </w:r>
          </w:hyperlink>
        </w:p>
        <w:p w14:paraId="50CD2BA6" w14:textId="71F04344" w:rsidR="005158BA" w:rsidRDefault="005158BA">
          <w:r>
            <w:rPr>
              <w:b/>
              <w:bCs/>
            </w:rPr>
            <w:fldChar w:fldCharType="end"/>
          </w:r>
        </w:p>
      </w:sdtContent>
    </w:sdt>
    <w:p w14:paraId="2D5B2F34" w14:textId="77777777" w:rsidR="00530E16" w:rsidRDefault="00530E16">
      <w:pPr>
        <w:rPr>
          <w:rFonts w:ascii="Arial" w:eastAsia="Arial" w:hAnsi="Arial" w:cs="Arial"/>
        </w:rPr>
      </w:pPr>
    </w:p>
    <w:p w14:paraId="2D5B2F35" w14:textId="77777777" w:rsidR="00530E16" w:rsidRDefault="00530E16">
      <w:pPr>
        <w:rPr>
          <w:rFonts w:ascii="Arial" w:eastAsia="Arial" w:hAnsi="Arial" w:cs="Arial"/>
        </w:rPr>
      </w:pPr>
    </w:p>
    <w:p w14:paraId="2D5B2F36" w14:textId="77777777" w:rsidR="00530E16" w:rsidRDefault="00530E16">
      <w:pPr>
        <w:rPr>
          <w:rFonts w:ascii="Arial" w:eastAsia="Arial" w:hAnsi="Arial" w:cs="Arial"/>
        </w:rPr>
      </w:pPr>
    </w:p>
    <w:p w14:paraId="2D5B2F37" w14:textId="77777777" w:rsidR="00530E16" w:rsidRDefault="00530E16">
      <w:pPr>
        <w:rPr>
          <w:rFonts w:ascii="Arial" w:eastAsia="Arial" w:hAnsi="Arial" w:cs="Arial"/>
        </w:rPr>
      </w:pPr>
    </w:p>
    <w:p w14:paraId="2D5B2F38" w14:textId="77777777" w:rsidR="00530E16" w:rsidRDefault="00530E16">
      <w:pPr>
        <w:rPr>
          <w:rFonts w:ascii="Arial" w:eastAsia="Arial" w:hAnsi="Arial" w:cs="Arial"/>
        </w:rPr>
      </w:pPr>
    </w:p>
    <w:p w14:paraId="2D5B2F39" w14:textId="77777777" w:rsidR="00530E16" w:rsidRDefault="00530E16">
      <w:pPr>
        <w:rPr>
          <w:rFonts w:ascii="Arial" w:eastAsia="Arial" w:hAnsi="Arial" w:cs="Arial"/>
        </w:rPr>
      </w:pPr>
    </w:p>
    <w:p w14:paraId="2D5B2F3A" w14:textId="77777777" w:rsidR="00530E16" w:rsidRDefault="00530E16">
      <w:pPr>
        <w:rPr>
          <w:rFonts w:ascii="Arial" w:eastAsia="Arial" w:hAnsi="Arial" w:cs="Arial"/>
        </w:rPr>
      </w:pPr>
    </w:p>
    <w:p w14:paraId="2D5B2F3B" w14:textId="77777777" w:rsidR="00530E16" w:rsidRDefault="00530E16">
      <w:pPr>
        <w:rPr>
          <w:rFonts w:ascii="Arial" w:eastAsia="Arial" w:hAnsi="Arial" w:cs="Arial"/>
        </w:rPr>
      </w:pPr>
    </w:p>
    <w:p w14:paraId="2D5B2F3C" w14:textId="77777777" w:rsidR="00530E16" w:rsidRDefault="00530E16">
      <w:pPr>
        <w:rPr>
          <w:rFonts w:ascii="Arial" w:eastAsia="Arial" w:hAnsi="Arial" w:cs="Arial"/>
        </w:rPr>
      </w:pPr>
    </w:p>
    <w:p w14:paraId="2D5B2F3D"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D5B2F3E" w14:textId="77777777" w:rsidR="00530E16" w:rsidRDefault="00530E16">
      <w:pPr>
        <w:rPr>
          <w:rFonts w:ascii="Arial" w:eastAsia="Arial" w:hAnsi="Arial" w:cs="Arial"/>
        </w:rPr>
      </w:pPr>
    </w:p>
    <w:p w14:paraId="2D5B2F3F" w14:textId="77777777" w:rsidR="00575E73" w:rsidRPr="00575E73" w:rsidRDefault="00575E73" w:rsidP="00575E73">
      <w:pPr>
        <w:pStyle w:val="Heading1"/>
        <w:rPr>
          <w:rFonts w:eastAsia="Arial"/>
        </w:rPr>
      </w:pPr>
      <w:bookmarkStart w:id="0" w:name="_Toc227419168"/>
      <w:r w:rsidRPr="00575E73">
        <w:rPr>
          <w:rFonts w:eastAsia="Arial"/>
        </w:rPr>
        <w:t>Introduction</w:t>
      </w:r>
      <w:bookmarkEnd w:id="0"/>
      <w:r w:rsidRPr="00575E73">
        <w:rPr>
          <w:rFonts w:eastAsia="Arial"/>
        </w:rPr>
        <w:t xml:space="preserve">  </w:t>
      </w:r>
    </w:p>
    <w:p w14:paraId="647F08BD" w14:textId="77777777" w:rsidR="004B4F33" w:rsidRPr="004B4F33" w:rsidRDefault="004B4F33" w:rsidP="004B4F33">
      <w:pPr>
        <w:rPr>
          <w:rFonts w:ascii="Arial" w:eastAsia="Arial" w:hAnsi="Arial" w:cs="Arial"/>
          <w:sz w:val="22"/>
          <w:szCs w:val="22"/>
        </w:rPr>
      </w:pPr>
      <w:r w:rsidRPr="004B4F33">
        <w:rPr>
          <w:rFonts w:ascii="Arial" w:eastAsia="Arial" w:hAnsi="Arial" w:cs="Arial"/>
          <w:sz w:val="22"/>
          <w:szCs w:val="22"/>
        </w:rPr>
        <w:t>Burnout is a growing concern within the NHS, driven by rising service demand, staff shortages, and sustained high workloads. These pressures contribute to emotional exhaustion, reduced effectiveness, and detachment among healthcare professionals, affecting both staff wellbeing and the quality of patient care.</w:t>
      </w:r>
    </w:p>
    <w:p w14:paraId="787F2F8C" w14:textId="77777777" w:rsidR="004B4F33" w:rsidRPr="004B4F33" w:rsidRDefault="004B4F33" w:rsidP="004B4F33">
      <w:pPr>
        <w:rPr>
          <w:rFonts w:ascii="Arial" w:eastAsia="Arial" w:hAnsi="Arial" w:cs="Arial"/>
          <w:sz w:val="22"/>
          <w:szCs w:val="22"/>
        </w:rPr>
      </w:pPr>
      <w:r w:rsidRPr="004B4F33">
        <w:rPr>
          <w:rFonts w:ascii="Arial" w:eastAsia="Arial" w:hAnsi="Arial" w:cs="Arial"/>
          <w:sz w:val="22"/>
          <w:szCs w:val="22"/>
        </w:rPr>
        <w:t>This report explores the extent and causes of burnout in the NHS, its impact on individuals and services, and the effectiveness of current strategies to address it. By outlining key pressures, consequences, and evidence</w:t>
      </w:r>
      <w:r w:rsidRPr="004B4F33">
        <w:rPr>
          <w:rFonts w:ascii="Arial" w:eastAsia="Arial" w:hAnsi="Arial" w:cs="Arial"/>
          <w:sz w:val="22"/>
          <w:szCs w:val="22"/>
        </w:rPr>
        <w:noBreakHyphen/>
        <w:t>based interventions, the report highlights why tackling burnout is essential for maintaining a resilient healthcare system.</w:t>
      </w:r>
    </w:p>
    <w:p w14:paraId="2D5B2F42" w14:textId="77777777" w:rsidR="00575E73" w:rsidRPr="00575E73" w:rsidRDefault="00575E73" w:rsidP="00575E73">
      <w:pPr>
        <w:rPr>
          <w:rFonts w:ascii="Arial" w:eastAsia="Arial" w:hAnsi="Arial" w:cs="Arial"/>
          <w:sz w:val="22"/>
          <w:szCs w:val="22"/>
        </w:rPr>
      </w:pPr>
    </w:p>
    <w:p w14:paraId="2D5B2F43" w14:textId="39CBA48A" w:rsidR="00575E73" w:rsidRPr="00575E73" w:rsidRDefault="00575E73" w:rsidP="00575E73">
      <w:pPr>
        <w:pStyle w:val="Heading1"/>
        <w:rPr>
          <w:rFonts w:eastAsia="Arial"/>
        </w:rPr>
      </w:pPr>
      <w:bookmarkStart w:id="1" w:name="_Toc227419169"/>
      <w:r w:rsidRPr="00575E73">
        <w:rPr>
          <w:rFonts w:eastAsia="Arial"/>
        </w:rPr>
        <w:t xml:space="preserve">Task 1 – Selection of a Research Topic </w:t>
      </w:r>
      <w:r w:rsidR="008A0880">
        <w:rPr>
          <w:rFonts w:eastAsia="Arial"/>
        </w:rPr>
        <w:t>on staff burn out.</w:t>
      </w:r>
      <w:bookmarkEnd w:id="1"/>
    </w:p>
    <w:p w14:paraId="2D5B2F44" w14:textId="77777777" w:rsidR="00575E73" w:rsidRPr="00575E73" w:rsidRDefault="00575E73" w:rsidP="00575E73">
      <w:pPr>
        <w:pStyle w:val="Heading2"/>
        <w:rPr>
          <w:rFonts w:eastAsia="Arial"/>
        </w:rPr>
      </w:pPr>
      <w:bookmarkStart w:id="2" w:name="_Toc227419170"/>
      <w:r w:rsidRPr="00575E73">
        <w:rPr>
          <w:rFonts w:eastAsia="Arial"/>
        </w:rPr>
        <w:t>1.1 The Issue and Why It Matters</w:t>
      </w:r>
      <w:bookmarkEnd w:id="2"/>
    </w:p>
    <w:p w14:paraId="2D5B2F47" w14:textId="53BC5D15" w:rsidR="00575E73" w:rsidRPr="00575E73" w:rsidRDefault="005677F6" w:rsidP="00575E73">
      <w:pPr>
        <w:rPr>
          <w:rFonts w:ascii="Arial" w:eastAsia="Arial" w:hAnsi="Arial" w:cs="Arial"/>
          <w:sz w:val="22"/>
          <w:szCs w:val="22"/>
        </w:rPr>
      </w:pPr>
      <w:r w:rsidRPr="005677F6">
        <w:rPr>
          <w:rFonts w:ascii="Arial" w:eastAsia="Arial" w:hAnsi="Arial" w:cs="Arial"/>
          <w:sz w:val="22"/>
          <w:szCs w:val="22"/>
        </w:rPr>
        <w:t>Burnout affects a wide range of NHS staff, including nurses, doctors, healthcare assistants, allied health professionals and support teams, especially those working in high</w:t>
      </w:r>
      <w:r w:rsidRPr="005677F6">
        <w:rPr>
          <w:rFonts w:ascii="Arial" w:eastAsia="Arial" w:hAnsi="Arial" w:cs="Arial"/>
          <w:sz w:val="22"/>
          <w:szCs w:val="22"/>
        </w:rPr>
        <w:noBreakHyphen/>
        <w:t>pressure areas with long hours and staff shortages. It is important because burnout leads to exhaustion, reduced job performance, sickness absence and higher turnover, which increases pressure on remaining staff. It also affects patient safety, slows care delivery and raises organisational costs, making it essential for the NHS to address burnout to maintain a safe and sustainable workforce.</w:t>
      </w:r>
    </w:p>
    <w:p w14:paraId="2D5B2F48" w14:textId="77777777" w:rsidR="00575E73" w:rsidRDefault="00575E73" w:rsidP="00575E73">
      <w:pPr>
        <w:pStyle w:val="Heading2"/>
        <w:rPr>
          <w:rFonts w:eastAsia="Arial"/>
        </w:rPr>
      </w:pPr>
      <w:bookmarkStart w:id="3" w:name="_Toc227419171"/>
      <w:r w:rsidRPr="00575E73">
        <w:rPr>
          <w:rFonts w:eastAsia="Arial"/>
        </w:rPr>
        <w:t>1.2 Personal Reflection – Why I Chose This Topic</w:t>
      </w:r>
      <w:bookmarkEnd w:id="3"/>
    </w:p>
    <w:p w14:paraId="0B6A32E4" w14:textId="064225D3" w:rsidR="00E54004" w:rsidRPr="00E54004" w:rsidRDefault="00E54004" w:rsidP="00E54004">
      <w:r w:rsidRPr="00E54004">
        <w:t>Experiencing and observing burnout in the NHS has strengthened my motivation to become a SEND counsellor by showing how vital emotional support is for both staff and the children they care for. Seeing how pressure and high workloads affect wellbeing has reinforced the need for early intervention, safe spaces and consistent therapeutic support. In my current SEND role, I also see how children’s emotional needs can be overlooked when services are stretched, which motivates me to support their mental health more directly. Understanding burnout has deepened my commitment to reducing stress, building resilience and ensuring vulnerable pupils feel heard and supported.</w:t>
      </w:r>
    </w:p>
    <w:p w14:paraId="2D5B2F4C" w14:textId="28F757E7" w:rsidR="00575E73" w:rsidRPr="00575E73" w:rsidRDefault="00575E73" w:rsidP="00575E73">
      <w:pPr>
        <w:pStyle w:val="Heading1"/>
        <w:rPr>
          <w:rFonts w:eastAsia="Arial"/>
        </w:rPr>
      </w:pPr>
      <w:bookmarkStart w:id="4" w:name="_Toc227419172"/>
      <w:r w:rsidRPr="00575E73">
        <w:rPr>
          <w:rFonts w:eastAsia="Arial"/>
        </w:rPr>
        <w:lastRenderedPageBreak/>
        <w:t>Task 2 – Evaluating Information Sources</w:t>
      </w:r>
      <w:bookmarkEnd w:id="4"/>
      <w:r w:rsidRPr="00575E73">
        <w:rPr>
          <w:rFonts w:eastAsia="Arial"/>
        </w:rPr>
        <w:t xml:space="preserve">  </w:t>
      </w:r>
    </w:p>
    <w:p w14:paraId="2D5B2F4D" w14:textId="77777777" w:rsidR="00575E73" w:rsidRPr="00575E73" w:rsidRDefault="00575E73" w:rsidP="00575E73">
      <w:pPr>
        <w:pStyle w:val="Heading2"/>
        <w:rPr>
          <w:rFonts w:eastAsia="Arial"/>
        </w:rPr>
      </w:pPr>
      <w:bookmarkStart w:id="5" w:name="_Toc227419173"/>
      <w:r w:rsidRPr="00575E73">
        <w:rPr>
          <w:rFonts w:eastAsia="Arial"/>
        </w:rPr>
        <w:t>2.1 Source 1</w:t>
      </w:r>
      <w:bookmarkEnd w:id="5"/>
    </w:p>
    <w:p w14:paraId="0E5E2E56" w14:textId="77777777" w:rsidR="002840D9" w:rsidRDefault="00977558" w:rsidP="002840D9">
      <w:pPr>
        <w:rPr>
          <w:rFonts w:ascii="Arial" w:eastAsia="Arial" w:hAnsi="Arial" w:cs="Arial"/>
          <w:sz w:val="22"/>
          <w:szCs w:val="22"/>
        </w:rPr>
      </w:pPr>
      <w:r w:rsidRPr="00977558">
        <w:rPr>
          <w:rFonts w:ascii="Arial" w:eastAsia="Arial" w:hAnsi="Arial" w:cs="Arial"/>
          <w:sz w:val="22"/>
          <w:szCs w:val="22"/>
        </w:rPr>
        <w:t xml:space="preserve">NHS Employers (2025) </w:t>
      </w:r>
      <w:r w:rsidRPr="00977558">
        <w:rPr>
          <w:rFonts w:ascii="Arial" w:eastAsia="Arial" w:hAnsi="Arial" w:cs="Arial"/>
          <w:i/>
          <w:iCs/>
          <w:sz w:val="22"/>
          <w:szCs w:val="22"/>
        </w:rPr>
        <w:t>Beating burnout in the NHS</w:t>
      </w:r>
      <w:r w:rsidRPr="00977558">
        <w:rPr>
          <w:rFonts w:ascii="Arial" w:eastAsia="Arial" w:hAnsi="Arial" w:cs="Arial"/>
          <w:sz w:val="22"/>
          <w:szCs w:val="22"/>
        </w:rPr>
        <w:t xml:space="preserve">. Available at: </w:t>
      </w:r>
      <w:hyperlink r:id="rId10" w:tgtFrame="_blank" w:tooltip="www.nhsemployers.org" w:history="1">
        <w:r w:rsidRPr="00977558">
          <w:rPr>
            <w:rStyle w:val="Hyperlink"/>
            <w:rFonts w:ascii="Arial" w:eastAsia="Arial" w:hAnsi="Arial" w:cs="Arial"/>
            <w:sz w:val="22"/>
            <w:szCs w:val="22"/>
          </w:rPr>
          <w:t>https://www.nhsemployers.org</w:t>
        </w:r>
      </w:hyperlink>
      <w:r w:rsidRPr="00977558">
        <w:rPr>
          <w:rFonts w:ascii="Arial" w:eastAsia="Arial" w:hAnsi="Arial" w:cs="Arial"/>
          <w:sz w:val="22"/>
          <w:szCs w:val="22"/>
        </w:rPr>
        <w:t xml:space="preserve"> (Accessed: 17 April 2026).</w:t>
      </w:r>
    </w:p>
    <w:p w14:paraId="17471913" w14:textId="2C9FED45" w:rsidR="002840D9" w:rsidRPr="002840D9" w:rsidRDefault="002840D9" w:rsidP="002840D9">
      <w:pPr>
        <w:rPr>
          <w:rFonts w:ascii="Arial" w:eastAsia="Arial" w:hAnsi="Arial" w:cs="Arial"/>
          <w:sz w:val="22"/>
          <w:szCs w:val="22"/>
        </w:rPr>
      </w:pPr>
      <w:r w:rsidRPr="002840D9">
        <w:rPr>
          <w:rFonts w:ascii="Arial" w:eastAsia="Arial" w:hAnsi="Arial" w:cs="Arial"/>
          <w:sz w:val="22"/>
          <w:szCs w:val="22"/>
        </w:rPr>
        <w:t>This guidance document outlines what burnout is, why it is rising in the NHS, and which staff groups are most affected. Using NHS Staff Survey 2023 data, it reports high burnout levels among ambulance staff (49.3%) and increasing rates among medical and dental staff. It identifies key causes—staff shortages, heavy workloads and pressure to maintain care standards—and recommends early intervention, compassionate leadership and stronger organisational support.</w:t>
      </w:r>
    </w:p>
    <w:p w14:paraId="1D999DC9" w14:textId="77777777" w:rsidR="002840D9" w:rsidRPr="002840D9" w:rsidRDefault="002840D9" w:rsidP="002840D9">
      <w:pPr>
        <w:rPr>
          <w:rFonts w:ascii="Arial" w:eastAsia="Arial" w:hAnsi="Arial" w:cs="Arial"/>
          <w:sz w:val="22"/>
          <w:szCs w:val="22"/>
        </w:rPr>
      </w:pPr>
      <w:r w:rsidRPr="002840D9">
        <w:rPr>
          <w:rFonts w:ascii="Arial" w:eastAsia="Arial" w:hAnsi="Arial" w:cs="Arial"/>
          <w:sz w:val="22"/>
          <w:szCs w:val="22"/>
        </w:rPr>
        <w:t>The source is highly credible as it is published by NHS Employers and draws on robust national evidence. It shows burnout affects wellbeing and patient safety, and its emphasis on emotional support aligns with SEND counselling principles.</w:t>
      </w:r>
    </w:p>
    <w:p w14:paraId="1A218E8F" w14:textId="461B8CCF" w:rsidR="00891AD7" w:rsidRPr="00891AD7" w:rsidRDefault="00CF4804" w:rsidP="00891AD7">
      <w:pPr>
        <w:rPr>
          <w:rFonts w:ascii="Arial" w:eastAsia="Arial" w:hAnsi="Arial" w:cs="Arial"/>
          <w:sz w:val="22"/>
          <w:szCs w:val="22"/>
        </w:rPr>
      </w:pPr>
      <w:r>
        <w:rPr>
          <w:rFonts w:ascii="Arial" w:eastAsia="Arial" w:hAnsi="Arial" w:cs="Arial"/>
          <w:sz w:val="22"/>
          <w:szCs w:val="22"/>
        </w:rPr>
        <w:t>.</w:t>
      </w:r>
    </w:p>
    <w:p w14:paraId="5A6AF653" w14:textId="77777777" w:rsidR="00976408" w:rsidRPr="00575E73" w:rsidRDefault="00976408" w:rsidP="00575E73">
      <w:pPr>
        <w:rPr>
          <w:rFonts w:ascii="Arial" w:eastAsia="Arial" w:hAnsi="Arial" w:cs="Arial"/>
          <w:sz w:val="22"/>
          <w:szCs w:val="22"/>
        </w:rPr>
      </w:pPr>
    </w:p>
    <w:p w14:paraId="2D5B2F50" w14:textId="77777777" w:rsidR="00575E73" w:rsidRPr="00575E73" w:rsidRDefault="00575E73" w:rsidP="00575E73">
      <w:pPr>
        <w:rPr>
          <w:rFonts w:ascii="Arial" w:eastAsia="Arial" w:hAnsi="Arial" w:cs="Arial"/>
          <w:sz w:val="22"/>
          <w:szCs w:val="22"/>
        </w:rPr>
      </w:pPr>
    </w:p>
    <w:p w14:paraId="2D5B2F51" w14:textId="77777777" w:rsidR="00575E73" w:rsidRPr="00575E73" w:rsidRDefault="00575E73" w:rsidP="00575E73">
      <w:pPr>
        <w:pStyle w:val="Heading2"/>
        <w:rPr>
          <w:rFonts w:eastAsia="Arial"/>
        </w:rPr>
      </w:pPr>
      <w:bookmarkStart w:id="6" w:name="_Toc227419174"/>
      <w:r w:rsidRPr="00575E73">
        <w:rPr>
          <w:rFonts w:eastAsia="Arial"/>
        </w:rPr>
        <w:t>2.2 Source 2</w:t>
      </w:r>
      <w:bookmarkEnd w:id="6"/>
    </w:p>
    <w:p w14:paraId="1880B8EF" w14:textId="56EB2A1E" w:rsidR="00197A4D" w:rsidRDefault="00197A4D" w:rsidP="00575E73">
      <w:pPr>
        <w:rPr>
          <w:rFonts w:ascii="Arial" w:eastAsia="Arial" w:hAnsi="Arial" w:cs="Arial"/>
          <w:sz w:val="22"/>
          <w:szCs w:val="22"/>
        </w:rPr>
      </w:pPr>
      <w:r w:rsidRPr="00197A4D">
        <w:rPr>
          <w:rFonts w:ascii="Arial" w:eastAsia="Arial" w:hAnsi="Arial" w:cs="Arial"/>
          <w:sz w:val="22"/>
          <w:szCs w:val="22"/>
        </w:rPr>
        <w:t xml:space="preserve">West, C.P., Dyrbye, L.N. and Shanafelt, T.D. (2018) ‘Physician burnout: contributors, consequences and solutions’, </w:t>
      </w:r>
      <w:r w:rsidRPr="00197A4D">
        <w:rPr>
          <w:rFonts w:ascii="Arial" w:eastAsia="Arial" w:hAnsi="Arial" w:cs="Arial"/>
          <w:i/>
          <w:iCs/>
          <w:sz w:val="22"/>
          <w:szCs w:val="22"/>
        </w:rPr>
        <w:t>The Lancet</w:t>
      </w:r>
      <w:r w:rsidRPr="00197A4D">
        <w:rPr>
          <w:rFonts w:ascii="Arial" w:eastAsia="Arial" w:hAnsi="Arial" w:cs="Arial"/>
          <w:sz w:val="22"/>
          <w:szCs w:val="22"/>
        </w:rPr>
        <w:t>, 391(10127), pp. 171–181.</w:t>
      </w:r>
    </w:p>
    <w:p w14:paraId="01984DFA" w14:textId="2464D645" w:rsidR="008C2E24" w:rsidRDefault="008C2E24" w:rsidP="00575E73">
      <w:pPr>
        <w:rPr>
          <w:rFonts w:ascii="Arial" w:eastAsia="Arial" w:hAnsi="Arial" w:cs="Arial"/>
          <w:sz w:val="22"/>
          <w:szCs w:val="22"/>
        </w:rPr>
      </w:pPr>
      <w:r w:rsidRPr="008C2E24">
        <w:rPr>
          <w:rFonts w:ascii="Arial" w:eastAsia="Arial" w:hAnsi="Arial" w:cs="Arial"/>
          <w:sz w:val="22"/>
          <w:szCs w:val="22"/>
        </w:rPr>
        <w:t>West, Dyrbye and Shanafelt (2018) examine burnout as a psychological syndrome driven by chronic workplace stress, characterised by emotional exhaustion, depersonalisation and reduced professional effectiveness. They identify contributors such as workload, lack of control and emotional demands, and outline consequences including poorer care quality, increased errors and higher turnover. The article is highly useful due to its strong empirical base, validated psychological frameworks and international perspective, offering a clear explanation of mechanisms behind clinician burnout. However, it focuses mainly on medical staff, leaving gaps around non</w:t>
      </w:r>
      <w:r w:rsidRPr="008C2E24">
        <w:rPr>
          <w:rFonts w:ascii="Arial" w:eastAsia="Arial" w:hAnsi="Arial" w:cs="Arial"/>
          <w:sz w:val="22"/>
          <w:szCs w:val="22"/>
        </w:rPr>
        <w:noBreakHyphen/>
        <w:t>clinical roles, education settings, and how burnout affects support staff or specialist environments such as SEND.</w:t>
      </w:r>
    </w:p>
    <w:p w14:paraId="0621A820" w14:textId="521A0DD7" w:rsidR="003F4FA3" w:rsidRPr="003F4FA3" w:rsidRDefault="00432D05" w:rsidP="003F4FA3">
      <w:pPr>
        <w:pStyle w:val="Heading2"/>
        <w:rPr>
          <w:rFonts w:eastAsia="Arial"/>
        </w:rPr>
      </w:pPr>
      <w:bookmarkStart w:id="7" w:name="_Toc227419175"/>
      <w:r w:rsidRPr="00575E73">
        <w:rPr>
          <w:rFonts w:eastAsia="Arial"/>
        </w:rPr>
        <w:t>2.3 Source</w:t>
      </w:r>
      <w:r w:rsidR="00575E73" w:rsidRPr="00575E73">
        <w:rPr>
          <w:rFonts w:eastAsia="Arial"/>
        </w:rPr>
        <w:t xml:space="preserve"> 3</w:t>
      </w:r>
      <w:bookmarkEnd w:id="7"/>
      <w:r w:rsidR="003F4FA3" w:rsidRPr="003F4FA3">
        <w:rPr>
          <w:rFonts w:ascii="Times New Roman" w:eastAsia="Times New Roman" w:hAnsi="Symbol" w:cs="Times New Roman"/>
          <w:sz w:val="24"/>
          <w:szCs w:val="24"/>
        </w:rPr>
        <w:t xml:space="preserve"> </w:t>
      </w:r>
    </w:p>
    <w:p w14:paraId="2D5B2F58" w14:textId="36643F8E" w:rsidR="00575E73" w:rsidRDefault="00BC044C" w:rsidP="00575E73">
      <w:pPr>
        <w:rPr>
          <w:rFonts w:ascii="Arial" w:eastAsia="Arial" w:hAnsi="Arial" w:cs="Arial"/>
          <w:sz w:val="22"/>
          <w:szCs w:val="22"/>
        </w:rPr>
      </w:pPr>
      <w:r w:rsidRPr="00BC044C">
        <w:rPr>
          <w:rFonts w:ascii="Arial" w:eastAsia="Arial" w:hAnsi="Arial" w:cs="Arial"/>
          <w:sz w:val="22"/>
          <w:szCs w:val="22"/>
        </w:rPr>
        <w:t xml:space="preserve">Care Quality Commission (2023) </w:t>
      </w:r>
      <w:r w:rsidRPr="00BC044C">
        <w:rPr>
          <w:rFonts w:ascii="Arial" w:eastAsia="Arial" w:hAnsi="Arial" w:cs="Arial"/>
          <w:i/>
          <w:iCs/>
          <w:sz w:val="22"/>
          <w:szCs w:val="22"/>
        </w:rPr>
        <w:t>The state of health care and adult social care in England 2022/23</w:t>
      </w:r>
      <w:r w:rsidRPr="00BC044C">
        <w:rPr>
          <w:rFonts w:ascii="Arial" w:eastAsia="Arial" w:hAnsi="Arial" w:cs="Arial"/>
          <w:sz w:val="22"/>
          <w:szCs w:val="22"/>
        </w:rPr>
        <w:t>. London: CQC.</w:t>
      </w:r>
    </w:p>
    <w:p w14:paraId="78A1A559" w14:textId="77777777" w:rsidR="00177E5C" w:rsidRPr="00177E5C" w:rsidRDefault="00177E5C" w:rsidP="00177E5C">
      <w:pPr>
        <w:rPr>
          <w:rFonts w:ascii="Arial" w:eastAsia="Arial" w:hAnsi="Arial" w:cs="Arial"/>
          <w:sz w:val="22"/>
          <w:szCs w:val="22"/>
        </w:rPr>
      </w:pPr>
      <w:r w:rsidRPr="00177E5C">
        <w:rPr>
          <w:rFonts w:ascii="Arial" w:eastAsia="Arial" w:hAnsi="Arial" w:cs="Arial"/>
          <w:sz w:val="22"/>
          <w:szCs w:val="22"/>
        </w:rPr>
        <w:t>The CQC’s annual report reviews the performance of NHS and social care services in England, highlighting staff burnout and workforce shortages as major risks to patient safety and care quality. It reports growing pressure on frontline teams, rising sickness absence and emotional strain on staff morale. Overstretched services struggle to maintain safe staffing levels, leading to delays, reduced care quality and poorer patient experiences.</w:t>
      </w:r>
    </w:p>
    <w:p w14:paraId="6C513806" w14:textId="77777777" w:rsidR="00177E5C" w:rsidRPr="00177E5C" w:rsidRDefault="00177E5C" w:rsidP="00177E5C">
      <w:pPr>
        <w:rPr>
          <w:rFonts w:ascii="Arial" w:eastAsia="Arial" w:hAnsi="Arial" w:cs="Arial"/>
          <w:sz w:val="22"/>
          <w:szCs w:val="22"/>
        </w:rPr>
      </w:pPr>
      <w:r w:rsidRPr="00177E5C">
        <w:rPr>
          <w:rFonts w:ascii="Arial" w:eastAsia="Arial" w:hAnsi="Arial" w:cs="Arial"/>
          <w:sz w:val="22"/>
          <w:szCs w:val="22"/>
        </w:rPr>
        <w:t>As the national regulator, the CQC provides a highly credible, system</w:t>
      </w:r>
      <w:r w:rsidRPr="00177E5C">
        <w:rPr>
          <w:rFonts w:ascii="Arial" w:eastAsia="Arial" w:hAnsi="Arial" w:cs="Arial"/>
          <w:sz w:val="22"/>
          <w:szCs w:val="22"/>
        </w:rPr>
        <w:noBreakHyphen/>
        <w:t xml:space="preserve">wide evidence base drawn from inspections, regulatory data and workforce findings. The report shows burnout is </w:t>
      </w:r>
      <w:r w:rsidRPr="00177E5C">
        <w:rPr>
          <w:rFonts w:ascii="Arial" w:eastAsia="Arial" w:hAnsi="Arial" w:cs="Arial"/>
          <w:sz w:val="22"/>
          <w:szCs w:val="22"/>
        </w:rPr>
        <w:lastRenderedPageBreak/>
        <w:t>both a wellbeing and patient</w:t>
      </w:r>
      <w:r w:rsidRPr="00177E5C">
        <w:rPr>
          <w:rFonts w:ascii="Arial" w:eastAsia="Arial" w:hAnsi="Arial" w:cs="Arial"/>
          <w:sz w:val="22"/>
          <w:szCs w:val="22"/>
        </w:rPr>
        <w:noBreakHyphen/>
        <w:t>safety issue and emphasises early emotional support, aligning with SEND counselling principles</w:t>
      </w:r>
    </w:p>
    <w:p w14:paraId="3F8ADCEA" w14:textId="61670729" w:rsidR="00794DEF" w:rsidRPr="00794DEF" w:rsidRDefault="00794DEF" w:rsidP="00794DEF">
      <w:pPr>
        <w:rPr>
          <w:rFonts w:ascii="Arial" w:eastAsia="Arial" w:hAnsi="Arial" w:cs="Arial"/>
          <w:sz w:val="22"/>
          <w:szCs w:val="22"/>
        </w:rPr>
      </w:pPr>
    </w:p>
    <w:p w14:paraId="07826C37" w14:textId="77777777" w:rsidR="000571DD" w:rsidRPr="00575E73" w:rsidRDefault="000571DD" w:rsidP="00575E73">
      <w:pPr>
        <w:rPr>
          <w:rFonts w:ascii="Arial" w:eastAsia="Arial" w:hAnsi="Arial" w:cs="Arial"/>
          <w:sz w:val="22"/>
          <w:szCs w:val="22"/>
        </w:rPr>
      </w:pPr>
    </w:p>
    <w:p w14:paraId="2D5B2F59" w14:textId="77777777" w:rsidR="00575E73" w:rsidRPr="00575E73" w:rsidRDefault="00432D05" w:rsidP="00432D05">
      <w:pPr>
        <w:pStyle w:val="Heading2"/>
        <w:rPr>
          <w:rFonts w:eastAsia="Arial"/>
        </w:rPr>
      </w:pPr>
      <w:bookmarkStart w:id="8" w:name="_Toc227419176"/>
      <w:r>
        <w:rPr>
          <w:rFonts w:eastAsia="Arial"/>
        </w:rPr>
        <w:t xml:space="preserve">2.4 </w:t>
      </w:r>
      <w:r w:rsidR="00575E73" w:rsidRPr="00575E73">
        <w:rPr>
          <w:rFonts w:eastAsia="Arial"/>
        </w:rPr>
        <w:t>Gaps in Current Research</w:t>
      </w:r>
      <w:bookmarkEnd w:id="8"/>
    </w:p>
    <w:p w14:paraId="5E2B3FEF" w14:textId="77777777" w:rsidR="002B33E6" w:rsidRPr="002B33E6" w:rsidRDefault="002B33E6" w:rsidP="002B33E6">
      <w:pPr>
        <w:rPr>
          <w:rFonts w:ascii="Arial" w:eastAsia="Arial" w:hAnsi="Arial" w:cs="Arial"/>
          <w:sz w:val="22"/>
          <w:szCs w:val="22"/>
        </w:rPr>
      </w:pPr>
      <w:r w:rsidRPr="002B33E6">
        <w:rPr>
          <w:rFonts w:ascii="Arial" w:eastAsia="Arial" w:hAnsi="Arial" w:cs="Arial"/>
          <w:sz w:val="22"/>
          <w:szCs w:val="22"/>
        </w:rPr>
        <w:t>Current research on burnout in Health and Social Care is mostly focused on hospital settings, leaving gaps in understanding how burnout affects staff in specialist education environments. Evidence is limited on emotional strain in SEND schools, burnout among pastoral and therapeutic staff, and how neurodiverse pupils’ needs contribute to stress. These gaps are highly relevant to the role of a SEND counsellor.</w:t>
      </w:r>
    </w:p>
    <w:p w14:paraId="3C40AC16" w14:textId="77777777" w:rsidR="002B33E6" w:rsidRPr="002B33E6" w:rsidRDefault="002B33E6" w:rsidP="002B33E6">
      <w:pPr>
        <w:rPr>
          <w:rFonts w:ascii="Arial" w:eastAsia="Arial" w:hAnsi="Arial" w:cs="Arial"/>
          <w:sz w:val="22"/>
          <w:szCs w:val="22"/>
        </w:rPr>
      </w:pPr>
      <w:r w:rsidRPr="002B33E6">
        <w:rPr>
          <w:rFonts w:ascii="Arial" w:eastAsia="Arial" w:hAnsi="Arial" w:cs="Arial"/>
          <w:sz w:val="22"/>
          <w:szCs w:val="22"/>
        </w:rPr>
        <w:t xml:space="preserve">There is also </w:t>
      </w:r>
      <w:proofErr w:type="gramStart"/>
      <w:r w:rsidRPr="002B33E6">
        <w:rPr>
          <w:rFonts w:ascii="Arial" w:eastAsia="Arial" w:hAnsi="Arial" w:cs="Arial"/>
          <w:sz w:val="22"/>
          <w:szCs w:val="22"/>
        </w:rPr>
        <w:t>little long</w:t>
      </w:r>
      <w:proofErr w:type="gramEnd"/>
      <w:r w:rsidRPr="002B33E6">
        <w:rPr>
          <w:rFonts w:ascii="Arial" w:eastAsia="Arial" w:hAnsi="Arial" w:cs="Arial"/>
          <w:sz w:val="22"/>
          <w:szCs w:val="22"/>
        </w:rPr>
        <w:noBreakHyphen/>
        <w:t>term evidence on how burnout affects outcomes for service users. Although studies link burnout to reduced safety and care quality, longitudinal data on recovery, safeguarding risks and outcomes for vulnerable groups remains limited, highlighting the need for further research.</w:t>
      </w:r>
    </w:p>
    <w:p w14:paraId="2D5B2F5C" w14:textId="77777777" w:rsidR="00575E73" w:rsidRPr="00575E73" w:rsidRDefault="00575E73" w:rsidP="00575E73">
      <w:pPr>
        <w:rPr>
          <w:rFonts w:ascii="Arial" w:eastAsia="Arial" w:hAnsi="Arial" w:cs="Arial"/>
          <w:sz w:val="22"/>
          <w:szCs w:val="22"/>
        </w:rPr>
      </w:pPr>
    </w:p>
    <w:p w14:paraId="2D5B2F5D" w14:textId="77777777" w:rsidR="00575E73" w:rsidRPr="00575E73" w:rsidRDefault="00575E73" w:rsidP="00432D05">
      <w:pPr>
        <w:pStyle w:val="Heading1"/>
        <w:rPr>
          <w:rFonts w:eastAsia="Arial"/>
        </w:rPr>
      </w:pPr>
      <w:bookmarkStart w:id="9" w:name="_Toc227419177"/>
      <w:r w:rsidRPr="00575E73">
        <w:rPr>
          <w:rFonts w:eastAsia="Arial"/>
        </w:rPr>
        <w:t>Task 3 – Research Methodologies</w:t>
      </w:r>
      <w:bookmarkEnd w:id="9"/>
      <w:r w:rsidRPr="00575E73">
        <w:rPr>
          <w:rFonts w:eastAsia="Arial"/>
        </w:rPr>
        <w:t xml:space="preserve">  </w:t>
      </w:r>
    </w:p>
    <w:p w14:paraId="2D5B2F5E" w14:textId="77777777" w:rsidR="00575E73" w:rsidRPr="00575E73" w:rsidRDefault="00432D05" w:rsidP="00432D05">
      <w:pPr>
        <w:pStyle w:val="Heading2"/>
        <w:rPr>
          <w:rFonts w:eastAsia="Arial"/>
        </w:rPr>
      </w:pPr>
      <w:bookmarkStart w:id="10" w:name="_Toc227419178"/>
      <w:r>
        <w:rPr>
          <w:rFonts w:eastAsia="Arial"/>
        </w:rPr>
        <w:t xml:space="preserve">3.1 </w:t>
      </w:r>
      <w:r w:rsidR="00575E73" w:rsidRPr="00575E73">
        <w:rPr>
          <w:rFonts w:eastAsia="Arial"/>
        </w:rPr>
        <w:t>Definitions and Examples</w:t>
      </w:r>
      <w:bookmarkEnd w:id="10"/>
    </w:p>
    <w:p w14:paraId="2D5B2F61" w14:textId="1A593AB1" w:rsidR="00575E73" w:rsidRPr="00575E73" w:rsidRDefault="00813EB3" w:rsidP="00575E73">
      <w:pPr>
        <w:rPr>
          <w:rFonts w:ascii="Arial" w:eastAsia="Arial" w:hAnsi="Arial" w:cs="Arial"/>
          <w:sz w:val="22"/>
          <w:szCs w:val="22"/>
        </w:rPr>
      </w:pPr>
      <w:r w:rsidRPr="00813EB3">
        <w:rPr>
          <w:rFonts w:ascii="Arial" w:eastAsia="Arial" w:hAnsi="Arial" w:cs="Arial"/>
          <w:sz w:val="22"/>
          <w:szCs w:val="22"/>
        </w:rPr>
        <w:t>Quantitative research collects numerical data and uses statistical analysis to identify patterns or trends, for example measuring how many NHS staff report burnout using a standardised questionnaire. Qualitative research explores experiences and meanings through interviews, observations or open</w:t>
      </w:r>
      <w:r w:rsidRPr="00813EB3">
        <w:rPr>
          <w:rFonts w:ascii="Arial" w:eastAsia="Arial" w:hAnsi="Arial" w:cs="Arial"/>
          <w:sz w:val="22"/>
          <w:szCs w:val="22"/>
        </w:rPr>
        <w:noBreakHyphen/>
        <w:t>ended questions, such as asking nurses how burnout affects their emotional wellbeing and patient care. Mixed</w:t>
      </w:r>
      <w:r w:rsidRPr="00813EB3">
        <w:rPr>
          <w:rFonts w:ascii="Arial" w:eastAsia="Arial" w:hAnsi="Arial" w:cs="Arial"/>
          <w:sz w:val="22"/>
          <w:szCs w:val="22"/>
        </w:rPr>
        <w:noBreakHyphen/>
        <w:t>methods research combines both approaches, for example using a burnout survey followed by focus groups to understand not only how many staff are affected, but also why and what support they need.</w:t>
      </w:r>
    </w:p>
    <w:p w14:paraId="26EE13F2" w14:textId="05879813" w:rsidR="004A44F0" w:rsidRDefault="00432D05" w:rsidP="00CF4804">
      <w:pPr>
        <w:pStyle w:val="Heading2"/>
        <w:rPr>
          <w:rFonts w:eastAsia="Arial"/>
        </w:rPr>
      </w:pPr>
      <w:bookmarkStart w:id="11" w:name="_Toc227419179"/>
      <w:r>
        <w:rPr>
          <w:rFonts w:eastAsia="Arial"/>
        </w:rPr>
        <w:t xml:space="preserve">3.2 </w:t>
      </w:r>
      <w:r w:rsidR="00575E73" w:rsidRPr="00575E73">
        <w:rPr>
          <w:rFonts w:eastAsia="Arial"/>
        </w:rPr>
        <w:t>Chosen Methodology and Justification</w:t>
      </w:r>
      <w:bookmarkEnd w:id="11"/>
    </w:p>
    <w:p w14:paraId="199F0A42" w14:textId="0EAE133B" w:rsidR="00CF4804" w:rsidRPr="00CF4804" w:rsidRDefault="00CF4804" w:rsidP="00CF4804">
      <w:r w:rsidRPr="00CF4804">
        <w:t>A mixed</w:t>
      </w:r>
      <w:r w:rsidRPr="00CF4804">
        <w:noBreakHyphen/>
        <w:t>methods approach is most suitable for studying burnout in the NHS because burnout is both measurable and deeply personal. Quantitative methods, such as validated burnout surveys, show how widespread burnout is and highlight patterns linked to workload or role, but they cannot capture emotional impact or lived experience. Qualitative methods, including interviews or focus groups, explore how burnout affects wellbeing, relationships and safe care. Combining both provides a fuller understanding of the scale and human experience of burnout, which is especially valuable in Health and Social Care and aligns with SEND counselling by showing why staff feel overwhelmed and what support they need.</w:t>
      </w:r>
    </w:p>
    <w:p w14:paraId="2D5B2F66" w14:textId="497B1AB5" w:rsidR="00575E73" w:rsidRPr="00575E73" w:rsidRDefault="00575E73" w:rsidP="00432D05">
      <w:pPr>
        <w:pStyle w:val="Heading1"/>
        <w:rPr>
          <w:rFonts w:eastAsia="Arial"/>
        </w:rPr>
      </w:pPr>
      <w:bookmarkStart w:id="12" w:name="_Toc227419180"/>
      <w:r w:rsidRPr="00575E73">
        <w:rPr>
          <w:rFonts w:eastAsia="Arial"/>
        </w:rPr>
        <w:lastRenderedPageBreak/>
        <w:t>Task 4 – Data Collection</w:t>
      </w:r>
      <w:bookmarkEnd w:id="12"/>
      <w:r w:rsidRPr="00575E73">
        <w:rPr>
          <w:rFonts w:eastAsia="Arial"/>
        </w:rPr>
        <w:t xml:space="preserve">  </w:t>
      </w:r>
    </w:p>
    <w:p w14:paraId="2D5B2F67" w14:textId="77777777" w:rsidR="00575E73" w:rsidRPr="00575E73" w:rsidRDefault="00432D05" w:rsidP="00432D05">
      <w:pPr>
        <w:pStyle w:val="Heading2"/>
        <w:rPr>
          <w:rFonts w:eastAsia="Arial"/>
        </w:rPr>
      </w:pPr>
      <w:bookmarkStart w:id="13" w:name="_Toc227419181"/>
      <w:r>
        <w:rPr>
          <w:rFonts w:eastAsia="Arial"/>
        </w:rPr>
        <w:t xml:space="preserve">4.1 </w:t>
      </w:r>
      <w:r w:rsidR="00575E73" w:rsidRPr="00575E73">
        <w:rPr>
          <w:rFonts w:eastAsia="Arial"/>
        </w:rPr>
        <w:t>Primary vs Secondary Data</w:t>
      </w:r>
      <w:bookmarkEnd w:id="13"/>
    </w:p>
    <w:p w14:paraId="201E71F1" w14:textId="77777777" w:rsidR="005158BA" w:rsidRDefault="005158BA" w:rsidP="00F20BCD">
      <w:pPr>
        <w:rPr>
          <w:rFonts w:ascii="Arial" w:eastAsia="Arial" w:hAnsi="Arial" w:cs="Arial"/>
          <w:sz w:val="22"/>
          <w:szCs w:val="22"/>
        </w:rPr>
      </w:pPr>
    </w:p>
    <w:p w14:paraId="7E7197B0" w14:textId="2020A9CA" w:rsidR="00F20BCD" w:rsidRPr="00F20BCD" w:rsidRDefault="00F20BCD" w:rsidP="00F20BCD">
      <w:pPr>
        <w:rPr>
          <w:rFonts w:ascii="Arial" w:eastAsia="Arial" w:hAnsi="Arial" w:cs="Arial"/>
          <w:sz w:val="22"/>
          <w:szCs w:val="22"/>
        </w:rPr>
      </w:pPr>
      <w:r w:rsidRPr="00025C0C">
        <w:rPr>
          <w:rFonts w:ascii="Arial" w:eastAsia="Arial" w:hAnsi="Arial" w:cs="Arial"/>
          <w:sz w:val="22"/>
          <w:szCs w:val="22"/>
        </w:rPr>
        <w:t>Primary data</w:t>
      </w:r>
      <w:r w:rsidRPr="00F20BCD">
        <w:rPr>
          <w:rFonts w:ascii="Arial" w:eastAsia="Arial" w:hAnsi="Arial" w:cs="Arial"/>
          <w:sz w:val="22"/>
          <w:szCs w:val="22"/>
        </w:rPr>
        <w:t xml:space="preserve"> is information that </w:t>
      </w:r>
      <w:r w:rsidRPr="00F20BCD">
        <w:rPr>
          <w:rFonts w:ascii="Arial" w:eastAsia="Arial" w:hAnsi="Arial" w:cs="Arial"/>
          <w:i/>
          <w:iCs/>
          <w:sz w:val="22"/>
          <w:szCs w:val="22"/>
        </w:rPr>
        <w:t>you collect yourself</w:t>
      </w:r>
      <w:r w:rsidRPr="00F20BCD">
        <w:rPr>
          <w:rFonts w:ascii="Arial" w:eastAsia="Arial" w:hAnsi="Arial" w:cs="Arial"/>
          <w:sz w:val="22"/>
          <w:szCs w:val="22"/>
        </w:rPr>
        <w:t xml:space="preserve"> for your own study. It is gathered directly from participants using methods such as surveys, interviews, observations or questionnaires. Because it is collected first</w:t>
      </w:r>
      <w:r w:rsidRPr="00F20BCD">
        <w:rPr>
          <w:rFonts w:ascii="Arial" w:eastAsia="Arial" w:hAnsi="Arial" w:cs="Arial"/>
          <w:sz w:val="22"/>
          <w:szCs w:val="22"/>
        </w:rPr>
        <w:noBreakHyphen/>
        <w:t xml:space="preserve">hand, it is specific to your research question. </w:t>
      </w:r>
      <w:r w:rsidRPr="00F20BCD">
        <w:rPr>
          <w:rFonts w:ascii="Arial" w:eastAsia="Arial" w:hAnsi="Arial" w:cs="Arial"/>
          <w:i/>
          <w:iCs/>
          <w:sz w:val="22"/>
          <w:szCs w:val="22"/>
        </w:rPr>
        <w:t>Example:</w:t>
      </w:r>
      <w:r w:rsidRPr="00F20BCD">
        <w:rPr>
          <w:rFonts w:ascii="Arial" w:eastAsia="Arial" w:hAnsi="Arial" w:cs="Arial"/>
          <w:sz w:val="22"/>
          <w:szCs w:val="22"/>
        </w:rPr>
        <w:t xml:space="preserve"> Conducting interviews with NHS staff to explore their experiences of burnout.</w:t>
      </w:r>
    </w:p>
    <w:p w14:paraId="66D52D93" w14:textId="77777777" w:rsidR="00F20BCD" w:rsidRPr="00F20BCD" w:rsidRDefault="00F20BCD" w:rsidP="00F20BCD">
      <w:pPr>
        <w:rPr>
          <w:rFonts w:ascii="Arial" w:eastAsia="Arial" w:hAnsi="Arial" w:cs="Arial"/>
          <w:sz w:val="22"/>
          <w:szCs w:val="22"/>
        </w:rPr>
      </w:pPr>
      <w:r w:rsidRPr="00025C0C">
        <w:rPr>
          <w:rFonts w:ascii="Arial" w:eastAsia="Arial" w:hAnsi="Arial" w:cs="Arial"/>
          <w:sz w:val="22"/>
          <w:szCs w:val="22"/>
        </w:rPr>
        <w:t>Secondary data</w:t>
      </w:r>
      <w:r w:rsidRPr="00F20BCD">
        <w:rPr>
          <w:rFonts w:ascii="Arial" w:eastAsia="Arial" w:hAnsi="Arial" w:cs="Arial"/>
          <w:sz w:val="22"/>
          <w:szCs w:val="22"/>
        </w:rPr>
        <w:t xml:space="preserve"> is information that </w:t>
      </w:r>
      <w:r w:rsidRPr="00F20BCD">
        <w:rPr>
          <w:rFonts w:ascii="Arial" w:eastAsia="Arial" w:hAnsi="Arial" w:cs="Arial"/>
          <w:i/>
          <w:iCs/>
          <w:sz w:val="22"/>
          <w:szCs w:val="22"/>
        </w:rPr>
        <w:t>already exists</w:t>
      </w:r>
      <w:r w:rsidRPr="00F20BCD">
        <w:rPr>
          <w:rFonts w:ascii="Arial" w:eastAsia="Arial" w:hAnsi="Arial" w:cs="Arial"/>
          <w:sz w:val="22"/>
          <w:szCs w:val="22"/>
        </w:rPr>
        <w:t xml:space="preserve"> and has been collected by someone else for a different purpose. This includes government reports, academic articles, NHS statistics, policy documents and published research. </w:t>
      </w:r>
      <w:r w:rsidRPr="00F20BCD">
        <w:rPr>
          <w:rFonts w:ascii="Arial" w:eastAsia="Arial" w:hAnsi="Arial" w:cs="Arial"/>
          <w:i/>
          <w:iCs/>
          <w:sz w:val="22"/>
          <w:szCs w:val="22"/>
        </w:rPr>
        <w:t>Example:</w:t>
      </w:r>
      <w:r w:rsidRPr="00F20BCD">
        <w:rPr>
          <w:rFonts w:ascii="Arial" w:eastAsia="Arial" w:hAnsi="Arial" w:cs="Arial"/>
          <w:sz w:val="22"/>
          <w:szCs w:val="22"/>
        </w:rPr>
        <w:t xml:space="preserve"> Using NHS Staff Survey results or CQC reports to understand national burnout trends.</w:t>
      </w:r>
    </w:p>
    <w:p w14:paraId="2D5B2F6A" w14:textId="77777777" w:rsidR="00575E73" w:rsidRPr="00575E73" w:rsidRDefault="00575E73" w:rsidP="00575E73">
      <w:pPr>
        <w:rPr>
          <w:rFonts w:ascii="Arial" w:eastAsia="Arial" w:hAnsi="Arial" w:cs="Arial"/>
          <w:sz w:val="22"/>
          <w:szCs w:val="22"/>
        </w:rPr>
      </w:pPr>
    </w:p>
    <w:p w14:paraId="2D5B2F6B" w14:textId="77777777" w:rsidR="00575E73" w:rsidRPr="00575E73" w:rsidRDefault="00432D05" w:rsidP="00432D05">
      <w:pPr>
        <w:pStyle w:val="Heading2"/>
        <w:rPr>
          <w:rFonts w:eastAsia="Arial"/>
        </w:rPr>
      </w:pPr>
      <w:bookmarkStart w:id="14" w:name="_Toc227419182"/>
      <w:r>
        <w:rPr>
          <w:rFonts w:eastAsia="Arial"/>
        </w:rPr>
        <w:t xml:space="preserve">4.2 </w:t>
      </w:r>
      <w:r w:rsidR="00575E73" w:rsidRPr="00575E73">
        <w:rPr>
          <w:rFonts w:eastAsia="Arial"/>
        </w:rPr>
        <w:t>Chosen Data Type and Justification</w:t>
      </w:r>
      <w:bookmarkEnd w:id="14"/>
    </w:p>
    <w:p w14:paraId="3DD2854E" w14:textId="77777777" w:rsidR="005158BA" w:rsidRDefault="005158BA" w:rsidP="00432D05">
      <w:pPr>
        <w:pStyle w:val="Heading2"/>
        <w:rPr>
          <w:rFonts w:ascii="Arial" w:eastAsia="Arial" w:hAnsi="Arial" w:cs="Arial"/>
          <w:color w:val="auto"/>
          <w:sz w:val="22"/>
          <w:szCs w:val="22"/>
        </w:rPr>
      </w:pPr>
      <w:bookmarkStart w:id="15" w:name="_Toc227418838"/>
    </w:p>
    <w:p w14:paraId="79BF7B06" w14:textId="4B05EFEF" w:rsidR="00BF3B6D" w:rsidRPr="006348E3" w:rsidRDefault="00BF3B6D" w:rsidP="00432D05">
      <w:pPr>
        <w:pStyle w:val="Heading2"/>
        <w:rPr>
          <w:rFonts w:ascii="Arial" w:eastAsia="Arial" w:hAnsi="Arial" w:cs="Arial"/>
          <w:color w:val="auto"/>
          <w:sz w:val="22"/>
          <w:szCs w:val="22"/>
        </w:rPr>
      </w:pPr>
      <w:bookmarkStart w:id="16" w:name="_Toc227419183"/>
      <w:r w:rsidRPr="006348E3">
        <w:rPr>
          <w:rFonts w:ascii="Arial" w:eastAsia="Arial" w:hAnsi="Arial" w:cs="Arial"/>
          <w:color w:val="auto"/>
          <w:sz w:val="22"/>
          <w:szCs w:val="22"/>
        </w:rPr>
        <w:t>For this study, I would use both primary and secondary data because this supports a mixed</w:t>
      </w:r>
      <w:r w:rsidRPr="006348E3">
        <w:rPr>
          <w:rFonts w:ascii="Arial" w:eastAsia="Arial" w:hAnsi="Arial" w:cs="Arial"/>
          <w:color w:val="auto"/>
          <w:sz w:val="22"/>
          <w:szCs w:val="22"/>
        </w:rPr>
        <w:noBreakHyphen/>
        <w:t>methods approach and gives a fuller understanding of burnout in the NHS. Primary data, such as staff surveys or interviews, would provide first</w:t>
      </w:r>
      <w:r w:rsidRPr="006348E3">
        <w:rPr>
          <w:rFonts w:ascii="Arial" w:eastAsia="Arial" w:hAnsi="Arial" w:cs="Arial"/>
          <w:color w:val="auto"/>
          <w:sz w:val="22"/>
          <w:szCs w:val="22"/>
        </w:rPr>
        <w:noBreakHyphen/>
        <w:t>hand insight into experiences and the emotional impact of burnout. Secondary data, including NHS Staff Survey results and CQC reports, would offer reliable national evidence on wider trends and workforce pressures. Using both shows not only how common burnout is, but also why it occurs and how it affects staff and patient care.</w:t>
      </w:r>
      <w:bookmarkEnd w:id="15"/>
      <w:bookmarkEnd w:id="16"/>
    </w:p>
    <w:p w14:paraId="2D5B2F6F" w14:textId="0319397F" w:rsidR="00575E73" w:rsidRPr="00575E73" w:rsidRDefault="00432D05" w:rsidP="00432D05">
      <w:pPr>
        <w:pStyle w:val="Heading2"/>
        <w:rPr>
          <w:rFonts w:eastAsia="Arial"/>
        </w:rPr>
      </w:pPr>
      <w:bookmarkStart w:id="17" w:name="_Toc227419184"/>
      <w:r>
        <w:rPr>
          <w:rFonts w:eastAsia="Arial"/>
        </w:rPr>
        <w:t xml:space="preserve">4.3 </w:t>
      </w:r>
      <w:r w:rsidR="00575E73" w:rsidRPr="00575E73">
        <w:rPr>
          <w:rFonts w:eastAsia="Arial"/>
        </w:rPr>
        <w:t>Advantages and Challenges</w:t>
      </w:r>
      <w:bookmarkEnd w:id="17"/>
    </w:p>
    <w:p w14:paraId="4AC3EA33" w14:textId="77777777" w:rsidR="005158BA" w:rsidRDefault="005158BA" w:rsidP="00575E73">
      <w:pPr>
        <w:rPr>
          <w:rFonts w:ascii="Arial" w:eastAsia="Arial" w:hAnsi="Arial" w:cs="Arial"/>
          <w:sz w:val="22"/>
          <w:szCs w:val="22"/>
        </w:rPr>
      </w:pPr>
    </w:p>
    <w:p w14:paraId="2D5B2F72" w14:textId="5050E73D" w:rsidR="00575E73" w:rsidRPr="00575E73" w:rsidRDefault="002D34BB" w:rsidP="00575E73">
      <w:pPr>
        <w:rPr>
          <w:rFonts w:ascii="Arial" w:eastAsia="Arial" w:hAnsi="Arial" w:cs="Arial"/>
          <w:sz w:val="22"/>
          <w:szCs w:val="22"/>
        </w:rPr>
      </w:pPr>
      <w:r w:rsidRPr="002D34BB">
        <w:rPr>
          <w:rFonts w:ascii="Arial" w:eastAsia="Arial" w:hAnsi="Arial" w:cs="Arial"/>
          <w:sz w:val="22"/>
          <w:szCs w:val="22"/>
        </w:rPr>
        <w:t>Using both primary and secondary data offers clear advantages when researching burnout in the NHS. Primary data, such as staff interviews or surveys, provides first</w:t>
      </w:r>
      <w:r w:rsidRPr="002D34BB">
        <w:rPr>
          <w:rFonts w:ascii="Arial" w:eastAsia="Arial" w:hAnsi="Arial" w:cs="Arial"/>
          <w:sz w:val="22"/>
          <w:szCs w:val="22"/>
        </w:rPr>
        <w:noBreakHyphen/>
        <w:t>hand insight into the emotional impact of burnout, while secondary data, including NHS Staff Survey results, offers large</w:t>
      </w:r>
      <w:r w:rsidRPr="002D34BB">
        <w:rPr>
          <w:rFonts w:ascii="Arial" w:eastAsia="Arial" w:hAnsi="Arial" w:cs="Arial"/>
          <w:sz w:val="22"/>
          <w:szCs w:val="22"/>
        </w:rPr>
        <w:noBreakHyphen/>
        <w:t xml:space="preserve">scale, reliable evidence on national trends. However, primary data can be difficult to collect due to staff time pressures or reluctance to discuss stress openly, and secondary data may not focus on specific staff groups or capture personal experiences. Combining both types of data balances these strengths and limitations, giving a more complete understanding of </w:t>
      </w:r>
      <w:r w:rsidR="00F82105" w:rsidRPr="002D34BB">
        <w:rPr>
          <w:rFonts w:ascii="Arial" w:eastAsia="Arial" w:hAnsi="Arial" w:cs="Arial"/>
          <w:sz w:val="22"/>
          <w:szCs w:val="22"/>
        </w:rPr>
        <w:t>burnout.</w:t>
      </w:r>
    </w:p>
    <w:p w14:paraId="5556D048" w14:textId="77777777" w:rsidR="00084E8C" w:rsidRDefault="00575E73" w:rsidP="009A6916">
      <w:pPr>
        <w:pStyle w:val="Heading1"/>
        <w:rPr>
          <w:rFonts w:eastAsia="Arial"/>
        </w:rPr>
      </w:pPr>
      <w:bookmarkStart w:id="18" w:name="_Toc227419185"/>
      <w:r w:rsidRPr="00575E73">
        <w:rPr>
          <w:rFonts w:eastAsia="Arial"/>
        </w:rPr>
        <w:lastRenderedPageBreak/>
        <w:t>Conclusion</w:t>
      </w:r>
      <w:bookmarkEnd w:id="18"/>
    </w:p>
    <w:p w14:paraId="3AB44F3E" w14:textId="77777777" w:rsidR="00084E8C" w:rsidRPr="00084E8C" w:rsidRDefault="00084E8C" w:rsidP="00084E8C">
      <w:pPr>
        <w:pStyle w:val="Heading1"/>
        <w:rPr>
          <w:rFonts w:ascii="Arial" w:eastAsia="Arial" w:hAnsi="Arial" w:cs="Arial"/>
          <w:color w:val="auto"/>
          <w:sz w:val="22"/>
          <w:szCs w:val="22"/>
        </w:rPr>
      </w:pPr>
      <w:bookmarkStart w:id="19" w:name="_Toc227419186"/>
      <w:r w:rsidRPr="00084E8C">
        <w:rPr>
          <w:rFonts w:ascii="Arial" w:eastAsia="Arial" w:hAnsi="Arial" w:cs="Arial"/>
          <w:color w:val="auto"/>
          <w:sz w:val="22"/>
          <w:szCs w:val="22"/>
        </w:rPr>
        <w:t>The CQC’s annual report highlights staff burnout and workforce shortages as major risks to patient safety and care quality. It reports growing pressure on frontline teams, rising sickness absence and emotional strain on morale. Overstretched services struggle to maintain safe staffing levels, leading to delays, reduced care quality and poorer experiences.</w:t>
      </w:r>
      <w:bookmarkEnd w:id="19"/>
    </w:p>
    <w:p w14:paraId="3250D6E0" w14:textId="77777777" w:rsidR="00084E8C" w:rsidRPr="00084E8C" w:rsidRDefault="00084E8C" w:rsidP="00084E8C">
      <w:pPr>
        <w:pStyle w:val="Heading1"/>
        <w:rPr>
          <w:rFonts w:ascii="Arial" w:eastAsia="Arial" w:hAnsi="Arial" w:cs="Arial"/>
          <w:color w:val="auto"/>
          <w:sz w:val="22"/>
          <w:szCs w:val="22"/>
        </w:rPr>
      </w:pPr>
      <w:bookmarkStart w:id="20" w:name="_Toc227419187"/>
      <w:r w:rsidRPr="00084E8C">
        <w:rPr>
          <w:rFonts w:ascii="Arial" w:eastAsia="Arial" w:hAnsi="Arial" w:cs="Arial"/>
          <w:color w:val="auto"/>
          <w:sz w:val="22"/>
          <w:szCs w:val="22"/>
        </w:rPr>
        <w:t>As the national regulator, the CQC provides a credible, system</w:t>
      </w:r>
      <w:r w:rsidRPr="00084E8C">
        <w:rPr>
          <w:rFonts w:ascii="Arial" w:eastAsia="Arial" w:hAnsi="Arial" w:cs="Arial"/>
          <w:color w:val="auto"/>
          <w:sz w:val="22"/>
          <w:szCs w:val="22"/>
        </w:rPr>
        <w:noBreakHyphen/>
        <w:t>wide evidence base drawn from inspections, regulatory data and workforce findings. The report shows burnout is both a wellbeing and patient</w:t>
      </w:r>
      <w:r w:rsidRPr="00084E8C">
        <w:rPr>
          <w:rFonts w:ascii="Arial" w:eastAsia="Arial" w:hAnsi="Arial" w:cs="Arial"/>
          <w:color w:val="auto"/>
          <w:sz w:val="22"/>
          <w:szCs w:val="22"/>
        </w:rPr>
        <w:noBreakHyphen/>
        <w:t>safety issue and stresses the need for early emotional support, aligning with SEND counselling principles</w:t>
      </w:r>
      <w:bookmarkEnd w:id="20"/>
    </w:p>
    <w:p w14:paraId="2D5B2F75" w14:textId="3FD7D017" w:rsidR="00575E73" w:rsidRDefault="00575E73" w:rsidP="009A6916">
      <w:pPr>
        <w:pStyle w:val="Heading1"/>
        <w:rPr>
          <w:rFonts w:ascii="Arial" w:eastAsia="Arial" w:hAnsi="Arial" w:cs="Arial"/>
          <w:color w:val="auto"/>
          <w:sz w:val="22"/>
          <w:szCs w:val="22"/>
        </w:rPr>
      </w:pPr>
      <w:r w:rsidRPr="00575E73">
        <w:rPr>
          <w:rFonts w:eastAsia="Arial"/>
        </w:rPr>
        <w:t xml:space="preserve">  </w:t>
      </w:r>
    </w:p>
    <w:p w14:paraId="2D5B2F77" w14:textId="77777777" w:rsidR="00575E73" w:rsidRPr="00575E73" w:rsidRDefault="00575E73" w:rsidP="00432D05">
      <w:pPr>
        <w:pStyle w:val="Heading1"/>
        <w:rPr>
          <w:rFonts w:eastAsia="Arial"/>
        </w:rPr>
      </w:pPr>
      <w:bookmarkStart w:id="21" w:name="_Toc227419188"/>
      <w:r w:rsidRPr="00575E73">
        <w:rPr>
          <w:rFonts w:eastAsia="Arial"/>
        </w:rPr>
        <w:t>Reference List</w:t>
      </w:r>
      <w:bookmarkEnd w:id="21"/>
    </w:p>
    <w:p w14:paraId="68121C1F" w14:textId="77777777" w:rsidR="005158BA" w:rsidRDefault="005158BA" w:rsidP="00C7331E">
      <w:pPr>
        <w:rPr>
          <w:rFonts w:ascii="Arial" w:eastAsia="Arial" w:hAnsi="Arial" w:cs="Arial"/>
          <w:sz w:val="22"/>
          <w:szCs w:val="22"/>
        </w:rPr>
      </w:pPr>
    </w:p>
    <w:p w14:paraId="0637C859" w14:textId="58FC749A" w:rsidR="00C7331E" w:rsidRPr="00C7331E" w:rsidRDefault="00C7331E" w:rsidP="00C7331E">
      <w:pPr>
        <w:rPr>
          <w:rFonts w:ascii="Arial" w:eastAsia="Arial" w:hAnsi="Arial" w:cs="Arial"/>
          <w:sz w:val="22"/>
          <w:szCs w:val="22"/>
        </w:rPr>
      </w:pPr>
      <w:r w:rsidRPr="00C7331E">
        <w:rPr>
          <w:rFonts w:ascii="Arial" w:eastAsia="Arial" w:hAnsi="Arial" w:cs="Arial"/>
          <w:sz w:val="22"/>
          <w:szCs w:val="22"/>
        </w:rPr>
        <w:t xml:space="preserve">Care Quality Commission (2023) </w:t>
      </w:r>
      <w:r w:rsidRPr="00C7331E">
        <w:rPr>
          <w:rFonts w:ascii="Arial" w:eastAsia="Arial" w:hAnsi="Arial" w:cs="Arial"/>
          <w:i/>
          <w:iCs/>
          <w:sz w:val="22"/>
          <w:szCs w:val="22"/>
        </w:rPr>
        <w:t>The state of health care and adult social care in England 2022/23</w:t>
      </w:r>
      <w:r w:rsidRPr="00C7331E">
        <w:rPr>
          <w:rFonts w:ascii="Arial" w:eastAsia="Arial" w:hAnsi="Arial" w:cs="Arial"/>
          <w:sz w:val="22"/>
          <w:szCs w:val="22"/>
        </w:rPr>
        <w:t>. London: CQC.</w:t>
      </w:r>
    </w:p>
    <w:p w14:paraId="250DC345" w14:textId="77777777" w:rsidR="00C7331E" w:rsidRPr="00C7331E" w:rsidRDefault="00C7331E" w:rsidP="00C7331E">
      <w:pPr>
        <w:rPr>
          <w:rFonts w:ascii="Arial" w:eastAsia="Arial" w:hAnsi="Arial" w:cs="Arial"/>
          <w:sz w:val="22"/>
          <w:szCs w:val="22"/>
        </w:rPr>
      </w:pPr>
      <w:r w:rsidRPr="00C7331E">
        <w:rPr>
          <w:rFonts w:ascii="Arial" w:eastAsia="Arial" w:hAnsi="Arial" w:cs="Arial"/>
          <w:sz w:val="22"/>
          <w:szCs w:val="22"/>
        </w:rPr>
        <w:t xml:space="preserve">NHS Employers (2025) </w:t>
      </w:r>
      <w:r w:rsidRPr="00C7331E">
        <w:rPr>
          <w:rFonts w:ascii="Arial" w:eastAsia="Arial" w:hAnsi="Arial" w:cs="Arial"/>
          <w:i/>
          <w:iCs/>
          <w:sz w:val="22"/>
          <w:szCs w:val="22"/>
        </w:rPr>
        <w:t>Beating burnout in the NHS</w:t>
      </w:r>
      <w:r w:rsidRPr="00C7331E">
        <w:rPr>
          <w:rFonts w:ascii="Arial" w:eastAsia="Arial" w:hAnsi="Arial" w:cs="Arial"/>
          <w:sz w:val="22"/>
          <w:szCs w:val="22"/>
        </w:rPr>
        <w:t xml:space="preserve">. Available at: </w:t>
      </w:r>
      <w:hyperlink r:id="rId11" w:tgtFrame="_blank" w:tooltip="www.nhsemployers.org" w:history="1">
        <w:r w:rsidRPr="00C7331E">
          <w:rPr>
            <w:rStyle w:val="Hyperlink"/>
            <w:rFonts w:ascii="Arial" w:eastAsia="Arial" w:hAnsi="Arial" w:cs="Arial"/>
            <w:sz w:val="22"/>
            <w:szCs w:val="22"/>
          </w:rPr>
          <w:t>https://www.nhsemployers.org</w:t>
        </w:r>
      </w:hyperlink>
      <w:r w:rsidRPr="00C7331E">
        <w:rPr>
          <w:rFonts w:ascii="Arial" w:eastAsia="Arial" w:hAnsi="Arial" w:cs="Arial"/>
          <w:sz w:val="22"/>
          <w:szCs w:val="22"/>
        </w:rPr>
        <w:t xml:space="preserve"> (Accessed: 17 April 2026).</w:t>
      </w:r>
    </w:p>
    <w:p w14:paraId="1C08E5BE" w14:textId="77777777" w:rsidR="00C7331E" w:rsidRPr="00C7331E" w:rsidRDefault="00C7331E" w:rsidP="00C7331E">
      <w:pPr>
        <w:rPr>
          <w:rFonts w:ascii="Arial" w:eastAsia="Arial" w:hAnsi="Arial" w:cs="Arial"/>
          <w:sz w:val="22"/>
          <w:szCs w:val="22"/>
        </w:rPr>
      </w:pPr>
      <w:r w:rsidRPr="00C7331E">
        <w:rPr>
          <w:rFonts w:ascii="Arial" w:eastAsia="Arial" w:hAnsi="Arial" w:cs="Arial"/>
          <w:sz w:val="22"/>
          <w:szCs w:val="22"/>
        </w:rPr>
        <w:t xml:space="preserve">West, C.P., Dyrbye, L.N. and Shanafelt, T.D. (2018) ‘Physician burnout: contributors, consequences and solutions’, </w:t>
      </w:r>
      <w:r w:rsidRPr="00C7331E">
        <w:rPr>
          <w:rFonts w:ascii="Arial" w:eastAsia="Arial" w:hAnsi="Arial" w:cs="Arial"/>
          <w:i/>
          <w:iCs/>
          <w:sz w:val="22"/>
          <w:szCs w:val="22"/>
        </w:rPr>
        <w:t>The Lancet</w:t>
      </w:r>
      <w:r w:rsidRPr="00C7331E">
        <w:rPr>
          <w:rFonts w:ascii="Arial" w:eastAsia="Arial" w:hAnsi="Arial" w:cs="Arial"/>
          <w:sz w:val="22"/>
          <w:szCs w:val="22"/>
        </w:rPr>
        <w:t>, 391(10127), pp. 171–181.</w:t>
      </w:r>
    </w:p>
    <w:p w14:paraId="2D5B2F79" w14:textId="1C012384" w:rsidR="00530E16" w:rsidRPr="00575E73" w:rsidRDefault="00530E16" w:rsidP="00575E73">
      <w:pPr>
        <w:rPr>
          <w:rFonts w:ascii="Arial" w:eastAsia="Arial" w:hAnsi="Arial" w:cs="Arial"/>
          <w:sz w:val="22"/>
          <w:szCs w:val="22"/>
        </w:rPr>
      </w:pPr>
    </w:p>
    <w:sectPr w:rsidR="00530E16" w:rsidRPr="00575E73"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E5D06" w14:textId="77777777" w:rsidR="00375FB0" w:rsidRDefault="00375FB0" w:rsidP="002A1842">
      <w:pPr>
        <w:spacing w:after="0" w:line="240" w:lineRule="auto"/>
      </w:pPr>
      <w:r>
        <w:separator/>
      </w:r>
    </w:p>
  </w:endnote>
  <w:endnote w:type="continuationSeparator" w:id="0">
    <w:p w14:paraId="2B8C7172" w14:textId="77777777" w:rsidR="00375FB0" w:rsidRDefault="00375FB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D5B2F84"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2D5B2F85"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D5B2F86"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2D5B2F87"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F7469" w14:textId="77777777" w:rsidR="00375FB0" w:rsidRDefault="00375FB0" w:rsidP="002A1842">
      <w:pPr>
        <w:spacing w:after="0" w:line="240" w:lineRule="auto"/>
      </w:pPr>
      <w:r>
        <w:separator/>
      </w:r>
    </w:p>
  </w:footnote>
  <w:footnote w:type="continuationSeparator" w:id="0">
    <w:p w14:paraId="51239D8F" w14:textId="77777777" w:rsidR="00375FB0" w:rsidRDefault="00375FB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0CE2D6D"/>
    <w:multiLevelType w:val="multilevel"/>
    <w:tmpl w:val="F0129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06BC1"/>
    <w:multiLevelType w:val="multilevel"/>
    <w:tmpl w:val="2B34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65715538">
    <w:abstractNumId w:val="7"/>
  </w:num>
  <w:num w:numId="2" w16cid:durableId="437141031">
    <w:abstractNumId w:val="5"/>
  </w:num>
  <w:num w:numId="3" w16cid:durableId="101731259">
    <w:abstractNumId w:val="4"/>
  </w:num>
  <w:num w:numId="4" w16cid:durableId="1871645703">
    <w:abstractNumId w:val="2"/>
  </w:num>
  <w:num w:numId="5" w16cid:durableId="1897158541">
    <w:abstractNumId w:val="6"/>
  </w:num>
  <w:num w:numId="6" w16cid:durableId="860182">
    <w:abstractNumId w:val="0"/>
  </w:num>
  <w:num w:numId="7" w16cid:durableId="1390960566">
    <w:abstractNumId w:val="9"/>
  </w:num>
  <w:num w:numId="8" w16cid:durableId="531115086">
    <w:abstractNumId w:val="8"/>
  </w:num>
  <w:num w:numId="9" w16cid:durableId="951787296">
    <w:abstractNumId w:val="1"/>
  </w:num>
  <w:num w:numId="10" w16cid:durableId="16587227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25C0C"/>
    <w:rsid w:val="00035309"/>
    <w:rsid w:val="000445CB"/>
    <w:rsid w:val="00050C6C"/>
    <w:rsid w:val="000571DD"/>
    <w:rsid w:val="000623A3"/>
    <w:rsid w:val="00084E8C"/>
    <w:rsid w:val="000D508B"/>
    <w:rsid w:val="00117965"/>
    <w:rsid w:val="00167232"/>
    <w:rsid w:val="00172AD1"/>
    <w:rsid w:val="00177E5C"/>
    <w:rsid w:val="001813E7"/>
    <w:rsid w:val="00185EA7"/>
    <w:rsid w:val="00197A4D"/>
    <w:rsid w:val="001E0AF6"/>
    <w:rsid w:val="002601F2"/>
    <w:rsid w:val="002840D9"/>
    <w:rsid w:val="00285868"/>
    <w:rsid w:val="002A1842"/>
    <w:rsid w:val="002B33E6"/>
    <w:rsid w:val="002D34BB"/>
    <w:rsid w:val="002D706E"/>
    <w:rsid w:val="00345C47"/>
    <w:rsid w:val="00347ED7"/>
    <w:rsid w:val="00375FB0"/>
    <w:rsid w:val="0038031E"/>
    <w:rsid w:val="003B393F"/>
    <w:rsid w:val="003E279F"/>
    <w:rsid w:val="003F4FA3"/>
    <w:rsid w:val="004109FB"/>
    <w:rsid w:val="00430DCA"/>
    <w:rsid w:val="00432D05"/>
    <w:rsid w:val="00436A91"/>
    <w:rsid w:val="0043761E"/>
    <w:rsid w:val="004468F8"/>
    <w:rsid w:val="00471B64"/>
    <w:rsid w:val="004A44F0"/>
    <w:rsid w:val="004B4F33"/>
    <w:rsid w:val="004D23C4"/>
    <w:rsid w:val="004D3321"/>
    <w:rsid w:val="0051573C"/>
    <w:rsid w:val="005158BA"/>
    <w:rsid w:val="00530E16"/>
    <w:rsid w:val="0053421F"/>
    <w:rsid w:val="005677F6"/>
    <w:rsid w:val="00575E73"/>
    <w:rsid w:val="00611967"/>
    <w:rsid w:val="00615552"/>
    <w:rsid w:val="006348E3"/>
    <w:rsid w:val="00637B73"/>
    <w:rsid w:val="00681880"/>
    <w:rsid w:val="006A1D15"/>
    <w:rsid w:val="006B50EC"/>
    <w:rsid w:val="006E6B1B"/>
    <w:rsid w:val="00722EFE"/>
    <w:rsid w:val="00723D51"/>
    <w:rsid w:val="007637E9"/>
    <w:rsid w:val="00783843"/>
    <w:rsid w:val="00794DEF"/>
    <w:rsid w:val="00813EB3"/>
    <w:rsid w:val="00846D03"/>
    <w:rsid w:val="0086147B"/>
    <w:rsid w:val="00891AD7"/>
    <w:rsid w:val="008A0880"/>
    <w:rsid w:val="008C2E24"/>
    <w:rsid w:val="008E7834"/>
    <w:rsid w:val="00901200"/>
    <w:rsid w:val="00967FCE"/>
    <w:rsid w:val="00976408"/>
    <w:rsid w:val="00977558"/>
    <w:rsid w:val="009A6916"/>
    <w:rsid w:val="009E5528"/>
    <w:rsid w:val="009F527F"/>
    <w:rsid w:val="009F60D1"/>
    <w:rsid w:val="00A744D3"/>
    <w:rsid w:val="00A75B15"/>
    <w:rsid w:val="00AA0F0D"/>
    <w:rsid w:val="00AE06EA"/>
    <w:rsid w:val="00AF1DFE"/>
    <w:rsid w:val="00B65ED6"/>
    <w:rsid w:val="00BA0043"/>
    <w:rsid w:val="00BC044C"/>
    <w:rsid w:val="00BF3B6D"/>
    <w:rsid w:val="00BF7297"/>
    <w:rsid w:val="00C11E9B"/>
    <w:rsid w:val="00C333CE"/>
    <w:rsid w:val="00C50A07"/>
    <w:rsid w:val="00C7331E"/>
    <w:rsid w:val="00CA52F8"/>
    <w:rsid w:val="00CF4804"/>
    <w:rsid w:val="00CF650B"/>
    <w:rsid w:val="00D2715A"/>
    <w:rsid w:val="00D34480"/>
    <w:rsid w:val="00D44529"/>
    <w:rsid w:val="00D62A9C"/>
    <w:rsid w:val="00D95003"/>
    <w:rsid w:val="00DA69EB"/>
    <w:rsid w:val="00DB181C"/>
    <w:rsid w:val="00DB3ED8"/>
    <w:rsid w:val="00DF1067"/>
    <w:rsid w:val="00E31443"/>
    <w:rsid w:val="00E36B1C"/>
    <w:rsid w:val="00E54004"/>
    <w:rsid w:val="00EA04EC"/>
    <w:rsid w:val="00EB72A1"/>
    <w:rsid w:val="00F20BCD"/>
    <w:rsid w:val="00F3588A"/>
    <w:rsid w:val="00F618F2"/>
    <w:rsid w:val="00F82105"/>
    <w:rsid w:val="00FD6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B2F1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977558"/>
    <w:rPr>
      <w:color w:val="605E5C"/>
      <w:shd w:val="clear" w:color="auto" w:fill="E1DFDD"/>
    </w:rPr>
  </w:style>
  <w:style w:type="paragraph" w:styleId="NormalWeb">
    <w:name w:val="Normal (Web)"/>
    <w:basedOn w:val="Normal"/>
    <w:uiPriority w:val="99"/>
    <w:semiHidden/>
    <w:unhideWhenUsed/>
    <w:rsid w:val="003F4FA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employers.org/?utm_source=copilot.com" TargetMode="External"/><Relationship Id="rId5" Type="http://schemas.openxmlformats.org/officeDocument/2006/relationships/settings" Target="settings.xml"/><Relationship Id="rId10" Type="http://schemas.openxmlformats.org/officeDocument/2006/relationships/hyperlink" Target="https://www.nhsemployers.org/?utm_source=copilot.com"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1794</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Izzie-louise Hickling</cp:lastModifiedBy>
  <cp:revision>2</cp:revision>
  <dcterms:created xsi:type="dcterms:W3CDTF">2026-04-18T14:40:00Z</dcterms:created>
  <dcterms:modified xsi:type="dcterms:W3CDTF">2026-04-18T14:40:00Z</dcterms:modified>
</cp:coreProperties>
</file>