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813408007"/>
        <w:docPartObj>
          <w:docPartGallery w:val="Cover Pages"/>
          <w:docPartUnique/>
        </w:docPartObj>
      </w:sdtPr>
      <w:sdtContent>
        <w:p w14:paraId="63011065" w14:textId="1C5EF247" w:rsidR="00A163A5" w:rsidRDefault="00A163A5">
          <w:r>
            <w:rPr>
              <w:noProof/>
            </w:rPr>
            <mc:AlternateContent>
              <mc:Choice Requires="wpg">
                <w:drawing>
                  <wp:anchor distT="0" distB="0" distL="114300" distR="114300" simplePos="0" relativeHeight="251662336" behindDoc="0" locked="0" layoutInCell="1" allowOverlap="1" wp14:anchorId="3ADEE21C" wp14:editId="139529D6">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51"/>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5"/>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0FBB9D7E" id="Group 51" o:spid="_x0000_s1026" style="position:absolute;margin-left:0;margin-top:0;width:8in;height:95.7pt;z-index:251662336;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" path="m,l7312660,r,1129665l3619500,733425,,1091565,,xe" fillcolor="#4472c4 [3204]" stroked="f" strokeweight="1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" stroked="f" strokeweight="1pt">
                      <v:fill r:id="rId6" o:title="" recolor="t" rotate="t" type="frame"/>
                    </v:rect>
                    <w10:wrap anchorx="page" anchory="page"/>
                  </v:group>
                </w:pict>
              </mc:Fallback>
            </mc:AlternateContent>
          </w:r>
          <w:r>
            <w:rPr>
              <w:noProof/>
            </w:rPr>
            <mc:AlternateContent>
              <mc:Choice Requires="wps">
                <w:drawing>
                  <wp:anchor distT="0" distB="0" distL="114300" distR="114300" simplePos="0" relativeHeight="251660288" behindDoc="0" locked="0" layoutInCell="1" allowOverlap="1" wp14:anchorId="5C72AC2A" wp14:editId="3643B4A7">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52"/>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4DF300A" w14:textId="1FD707DA" w:rsidR="00A163A5" w:rsidRDefault="00A163A5">
                                    <w:pPr>
                                      <w:pStyle w:val="NoSpacing"/>
                                      <w:jc w:val="right"/>
                                      <w:rPr>
                                        <w:color w:val="595959" w:themeColor="text1" w:themeTint="A6"/>
                                        <w:sz w:val="28"/>
                                        <w:szCs w:val="28"/>
                                      </w:rPr>
                                    </w:pPr>
                                    <w:r>
                                      <w:rPr>
                                        <w:color w:val="595959" w:themeColor="text1" w:themeTint="A6"/>
                                        <w:sz w:val="28"/>
                                        <w:szCs w:val="28"/>
                                      </w:rPr>
                                      <w:t>Olivia Hurlow (2103531)</w:t>
                                    </w:r>
                                  </w:p>
                                </w:sdtContent>
                              </w:sdt>
                              <w:p w14:paraId="1142C26F" w14:textId="6AC196FD" w:rsidR="00A163A5"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A163A5">
                                      <w:rPr>
                                        <w:color w:val="595959" w:themeColor="text1" w:themeTint="A6"/>
                                        <w:sz w:val="18"/>
                                        <w:szCs w:val="18"/>
                                      </w:rPr>
                                      <w:t xml:space="preserve">     </w:t>
                                    </w:r>
                                  </w:sdtContent>
                                </w:sdt>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5C72AC2A" id="_x0000_t202" coordsize="21600,21600" o:spt="202" path="m,l,21600r21600,l21600,xe">
                    <v:stroke joinstyle="miter"/>
                    <v:path gradientshapeok="t" o:connecttype="rect"/>
                  </v:shapetype>
                  <v:shape id="Text Box 52" o:spid="_x0000_s1026" type="#_x0000_t202" style="position:absolute;margin-left:0;margin-top:0;width:8in;height:1in;z-index:251660288;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sdt>
                          <w:sdtPr>
                            <w:rPr>
                              <w:color w:val="595959" w:themeColor="text1" w:themeTint="A6"/>
                              <w:sz w:val="28"/>
                              <w:szCs w:val="28"/>
                            </w:rPr>
                            <w:alias w:val="Author"/>
                            <w:tag w:val=""/>
                            <w:id w:val="789243997"/>
                            <w:dataBinding w:prefixMappings="xmlns:ns0='http://purl.org/dc/elements/1.1/' xmlns:ns1='http://schemas.openxmlformats.org/package/2006/metadata/core-properties' " w:xpath="/ns1:coreProperties[1]/ns0:creator[1]" w:storeItemID="{6C3C8BC8-F283-45AE-878A-BAB7291924A1}"/>
                            <w:text/>
                          </w:sdtPr>
                          <w:sdtContent>
                            <w:p w14:paraId="54DF300A" w14:textId="1FD707DA" w:rsidR="00A163A5" w:rsidRDefault="00A163A5">
                              <w:pPr>
                                <w:pStyle w:val="NoSpacing"/>
                                <w:jc w:val="right"/>
                                <w:rPr>
                                  <w:color w:val="595959" w:themeColor="text1" w:themeTint="A6"/>
                                  <w:sz w:val="28"/>
                                  <w:szCs w:val="28"/>
                                </w:rPr>
                              </w:pPr>
                              <w:r>
                                <w:rPr>
                                  <w:color w:val="595959" w:themeColor="text1" w:themeTint="A6"/>
                                  <w:sz w:val="28"/>
                                  <w:szCs w:val="28"/>
                                </w:rPr>
                                <w:t>Olivia Hurlow (2103531)</w:t>
                              </w:r>
                            </w:p>
                          </w:sdtContent>
                        </w:sdt>
                        <w:p w14:paraId="1142C26F" w14:textId="6AC196FD" w:rsidR="00A163A5" w:rsidRDefault="00000000">
                          <w:pPr>
                            <w:pStyle w:val="NoSpacing"/>
                            <w:jc w:val="right"/>
                            <w:rPr>
                              <w:color w:val="595959" w:themeColor="text1" w:themeTint="A6"/>
                              <w:sz w:val="18"/>
                              <w:szCs w:val="18"/>
                            </w:rPr>
                          </w:pPr>
                          <w:sdt>
                            <w:sdtPr>
                              <w:rPr>
                                <w:color w:val="595959" w:themeColor="text1" w:themeTint="A6"/>
                                <w:sz w:val="18"/>
                                <w:szCs w:val="18"/>
                              </w:rPr>
                              <w:alias w:val="Email"/>
                              <w:tag w:val="Email"/>
                              <w:id w:val="942260680"/>
                              <w:showingPlcHdr/>
                              <w:dataBinding w:prefixMappings="xmlns:ns0='http://schemas.microsoft.com/office/2006/coverPageProps' " w:xpath="/ns0:CoverPageProperties[1]/ns0:CompanyEmail[1]" w:storeItemID="{55AF091B-3C7A-41E3-B477-F2FDAA23CFDA}"/>
                              <w:text/>
                            </w:sdtPr>
                            <w:sdtContent>
                              <w:r w:rsidR="00A163A5">
                                <w:rPr>
                                  <w:color w:val="595959" w:themeColor="text1" w:themeTint="A6"/>
                                  <w:sz w:val="18"/>
                                  <w:szCs w:val="18"/>
                                </w:rPr>
                                <w:t xml:space="preserve">     </w:t>
                              </w:r>
                            </w:sdtContent>
                          </w:sdt>
                        </w:p>
                      </w:txbxContent>
                    </v:textbox>
                    <w10:wrap type="square" anchorx="page" anchory="page"/>
                  </v:shape>
                </w:pict>
              </mc:Fallback>
            </mc:AlternateContent>
          </w:r>
          <w:r>
            <w:rPr>
              <w:noProof/>
            </w:rPr>
            <mc:AlternateContent>
              <mc:Choice Requires="wps">
                <w:drawing>
                  <wp:anchor distT="0" distB="0" distL="114300" distR="114300" simplePos="0" relativeHeight="251659264" behindDoc="0" locked="0" layoutInCell="1" allowOverlap="1" wp14:anchorId="0BC3AE04" wp14:editId="01814518">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54"/>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77D6C4D1" w14:textId="4DD45403" w:rsidR="00A163A5"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163A5">
                                      <w:rPr>
                                        <w:caps/>
                                        <w:color w:val="4472C4" w:themeColor="accent1"/>
                                        <w:sz w:val="64"/>
                                        <w:szCs w:val="64"/>
                                      </w:rPr>
                                      <w:t>Critically evaluate the idea that women face issues of ‘double deviance’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549768C" w14:textId="01DC9080" w:rsidR="00A163A5" w:rsidRDefault="00A163A5">
                                    <w:pPr>
                                      <w:jc w:val="right"/>
                                      <w:rPr>
                                        <w:smallCaps/>
                                        <w:color w:val="404040" w:themeColor="text1" w:themeTint="BF"/>
                                        <w:sz w:val="36"/>
                                        <w:szCs w:val="36"/>
                                      </w:rPr>
                                    </w:pPr>
                                    <w:r>
                                      <w:rPr>
                                        <w:color w:val="404040" w:themeColor="text1" w:themeTint="BF"/>
                                        <w:sz w:val="36"/>
                                        <w:szCs w:val="36"/>
                                      </w:rPr>
                                      <w:t>Assignment One – Gender, Race, Religion and Crime</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 w14:anchorId="0BC3AE04" id="Text Box 54" o:spid="_x0000_s1027" type="#_x0000_t202" style="position:absolute;margin-left:0;margin-top:0;width:8in;height:286.5pt;z-index:251659264;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" filled="f" stroked="f" strokeweight=".5pt">
                    <v:textbox inset="126pt,0,54pt,0">
                      <w:txbxContent>
                        <w:p w14:paraId="77D6C4D1" w14:textId="4DD45403" w:rsidR="00A163A5" w:rsidRDefault="00000000">
                          <w:pPr>
                            <w:jc w:val="right"/>
                            <w:rPr>
                              <w:color w:val="4472C4" w:themeColor="accent1"/>
                              <w:sz w:val="64"/>
                              <w:szCs w:val="64"/>
                            </w:rPr>
                          </w:pPr>
                          <w:sdt>
                            <w:sdtPr>
                              <w:rPr>
                                <w:caps/>
                                <w:color w:val="4472C4" w:themeColor="accent1"/>
                                <w:sz w:val="64"/>
                                <w:szCs w:val="64"/>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00A163A5">
                                <w:rPr>
                                  <w:caps/>
                                  <w:color w:val="4472C4" w:themeColor="accent1"/>
                                  <w:sz w:val="64"/>
                                  <w:szCs w:val="64"/>
                                </w:rPr>
                                <w:t>Critically evaluate the idea that women face issues of ‘double deviance’</w:t>
                              </w:r>
                            </w:sdtContent>
                          </w:sdt>
                        </w:p>
                        <w:sdt>
                          <w:sdtPr>
                            <w:rPr>
                              <w:color w:val="404040" w:themeColor="text1" w:themeTint="BF"/>
                              <w:sz w:val="36"/>
                              <w:szCs w:val="36"/>
                            </w:rPr>
                            <w:alias w:val="Subtitle"/>
                            <w:tag w:val=""/>
                            <w:id w:val="1759551507"/>
                            <w:dataBinding w:prefixMappings="xmlns:ns0='http://purl.org/dc/elements/1.1/' xmlns:ns1='http://schemas.openxmlformats.org/package/2006/metadata/core-properties' " w:xpath="/ns1:coreProperties[1]/ns0:subject[1]" w:storeItemID="{6C3C8BC8-F283-45AE-878A-BAB7291924A1}"/>
                            <w:text/>
                          </w:sdtPr>
                          <w:sdtContent>
                            <w:p w14:paraId="0549768C" w14:textId="01DC9080" w:rsidR="00A163A5" w:rsidRDefault="00A163A5">
                              <w:pPr>
                                <w:jc w:val="right"/>
                                <w:rPr>
                                  <w:smallCaps/>
                                  <w:color w:val="404040" w:themeColor="text1" w:themeTint="BF"/>
                                  <w:sz w:val="36"/>
                                  <w:szCs w:val="36"/>
                                </w:rPr>
                              </w:pPr>
                              <w:r>
                                <w:rPr>
                                  <w:color w:val="404040" w:themeColor="text1" w:themeTint="BF"/>
                                  <w:sz w:val="36"/>
                                  <w:szCs w:val="36"/>
                                </w:rPr>
                                <w:t>Assignment One – Gender, Race, Religion and Crime</w:t>
                              </w:r>
                            </w:p>
                          </w:sdtContent>
                        </w:sdt>
                      </w:txbxContent>
                    </v:textbox>
                    <w10:wrap type="square" anchorx="page" anchory="page"/>
                  </v:shape>
                </w:pict>
              </mc:Fallback>
            </mc:AlternateContent>
          </w:r>
        </w:p>
        <w:p w14:paraId="05773EAB" w14:textId="6C898B99" w:rsidR="00A163A5" w:rsidRDefault="00A163A5">
          <w:r>
            <w:br w:type="page"/>
          </w:r>
        </w:p>
      </w:sdtContent>
    </w:sdt>
    <w:p w14:paraId="626E8C06" w14:textId="3C861EE2" w:rsidR="00A163A5" w:rsidRDefault="003A7282">
      <w:pPr>
        <w:rPr>
          <w:sz w:val="24"/>
          <w:szCs w:val="24"/>
        </w:rPr>
      </w:pPr>
      <w:r>
        <w:rPr>
          <w:sz w:val="24"/>
          <w:szCs w:val="24"/>
        </w:rPr>
        <w:lastRenderedPageBreak/>
        <w:t>The idea of ‘double deviance’ is a theory that suggests that women are punished harsher than men within the criminal justice system because they have deviated from what is accepted by social norms by breaking the law and the gender laws that suggest how women should behave</w:t>
      </w:r>
      <w:r w:rsidR="005A701B">
        <w:rPr>
          <w:sz w:val="24"/>
          <w:szCs w:val="24"/>
        </w:rPr>
        <w:t>, this theory is based on the idea that women within society are expected to conform to genders roles and norms that are seen as traditional and if these are violated, women are therefore seen as ‘double deviant’</w:t>
      </w:r>
      <w:r>
        <w:rPr>
          <w:sz w:val="24"/>
          <w:szCs w:val="24"/>
        </w:rPr>
        <w:t xml:space="preserve"> </w:t>
      </w:r>
      <w:r w:rsidR="00830CA5" w:rsidRPr="00830CA5">
        <w:rPr>
          <w:sz w:val="24"/>
          <w:szCs w:val="24"/>
        </w:rPr>
        <w:t xml:space="preserve">(Heidensohn, </w:t>
      </w:r>
      <w:r w:rsidR="00830CA5">
        <w:rPr>
          <w:sz w:val="24"/>
          <w:szCs w:val="24"/>
        </w:rPr>
        <w:t>2010</w:t>
      </w:r>
      <w:r w:rsidR="00830CA5" w:rsidRPr="00830CA5">
        <w:rPr>
          <w:sz w:val="24"/>
          <w:szCs w:val="24"/>
        </w:rPr>
        <w:t xml:space="preserve">). </w:t>
      </w:r>
      <w:r w:rsidR="004A7434">
        <w:rPr>
          <w:sz w:val="24"/>
          <w:szCs w:val="24"/>
        </w:rPr>
        <w:t xml:space="preserve">This essay is going to critically evaluate the idea that women face issues of ‘double deviance’ while also looking at the societal issues of diversity and the effect it has on women’s experience of crime. </w:t>
      </w:r>
    </w:p>
    <w:p w14:paraId="7016A2C0" w14:textId="32E708A7" w:rsidR="005E75B0" w:rsidRDefault="00452747" w:rsidP="00C24321">
      <w:pPr>
        <w:rPr>
          <w:sz w:val="24"/>
          <w:szCs w:val="24"/>
        </w:rPr>
      </w:pPr>
      <w:r>
        <w:rPr>
          <w:sz w:val="24"/>
          <w:szCs w:val="24"/>
        </w:rPr>
        <w:t xml:space="preserve">Feminist criminology sets </w:t>
      </w:r>
      <w:r w:rsidR="00435644">
        <w:rPr>
          <w:sz w:val="24"/>
          <w:szCs w:val="24"/>
        </w:rPr>
        <w:t>its</w:t>
      </w:r>
      <w:r>
        <w:rPr>
          <w:sz w:val="24"/>
          <w:szCs w:val="24"/>
        </w:rPr>
        <w:t xml:space="preserve"> focus on women offenders, victims</w:t>
      </w:r>
      <w:r w:rsidR="00986025">
        <w:rPr>
          <w:sz w:val="24"/>
          <w:szCs w:val="24"/>
        </w:rPr>
        <w:t>,</w:t>
      </w:r>
      <w:r>
        <w:rPr>
          <w:sz w:val="24"/>
          <w:szCs w:val="24"/>
        </w:rPr>
        <w:t xml:space="preserve"> and women within the criminal justice system </w:t>
      </w:r>
      <w:r w:rsidR="009A279D">
        <w:rPr>
          <w:sz w:val="24"/>
          <w:szCs w:val="24"/>
        </w:rPr>
        <w:t>to</w:t>
      </w:r>
      <w:r>
        <w:rPr>
          <w:sz w:val="24"/>
          <w:szCs w:val="24"/>
        </w:rPr>
        <w:t xml:space="preserve"> understand the causes, results</w:t>
      </w:r>
      <w:r w:rsidR="00986025">
        <w:rPr>
          <w:sz w:val="24"/>
          <w:szCs w:val="24"/>
        </w:rPr>
        <w:t>,</w:t>
      </w:r>
      <w:r>
        <w:rPr>
          <w:sz w:val="24"/>
          <w:szCs w:val="24"/>
        </w:rPr>
        <w:t xml:space="preserve"> and trends within females and their criminality (Balfour, 2006). </w:t>
      </w:r>
      <w:r w:rsidR="00986025">
        <w:rPr>
          <w:sz w:val="24"/>
          <w:szCs w:val="24"/>
        </w:rPr>
        <w:t xml:space="preserve">Heidensohn </w:t>
      </w:r>
      <w:r w:rsidR="00AD4EF5">
        <w:rPr>
          <w:sz w:val="24"/>
          <w:szCs w:val="24"/>
        </w:rPr>
        <w:t xml:space="preserve">saw just how much the immediate need for research into the study on ‘deviant women’ </w:t>
      </w:r>
      <w:r w:rsidR="006A56B3">
        <w:rPr>
          <w:sz w:val="24"/>
          <w:szCs w:val="24"/>
        </w:rPr>
        <w:t>was necessary as</w:t>
      </w:r>
      <w:r w:rsidR="00AD4EF5">
        <w:rPr>
          <w:sz w:val="24"/>
          <w:szCs w:val="24"/>
        </w:rPr>
        <w:t xml:space="preserve"> her work provided the idea of “too much man’s land” within criminology and how unfairly women have been treated and neglected within the criminal justice system, Heidensohn stated that </w:t>
      </w:r>
      <w:r w:rsidR="00C24321">
        <w:rPr>
          <w:sz w:val="24"/>
          <w:szCs w:val="24"/>
        </w:rPr>
        <w:t>“</w:t>
      </w:r>
      <w:r w:rsidR="00AD4EF5">
        <w:rPr>
          <w:sz w:val="24"/>
          <w:szCs w:val="24"/>
        </w:rPr>
        <w:t>like a wardrobe of new and exciting clothes, a whole treasure generated in criminology offers us a great deal of knowledge into women and crime</w:t>
      </w:r>
      <w:r w:rsidR="00C24321">
        <w:rPr>
          <w:sz w:val="24"/>
          <w:szCs w:val="24"/>
        </w:rPr>
        <w:t>”</w:t>
      </w:r>
      <w:r w:rsidR="00462E77">
        <w:rPr>
          <w:sz w:val="24"/>
          <w:szCs w:val="24"/>
        </w:rPr>
        <w:t xml:space="preserve"> </w:t>
      </w:r>
      <w:sdt>
        <w:sdtPr>
          <w:rPr>
            <w:sz w:val="24"/>
            <w:szCs w:val="24"/>
          </w:rPr>
          <w:id w:val="-1626083302"/>
          <w:citation/>
        </w:sdtPr>
        <w:sdtContent>
          <w:r w:rsidR="00C24321">
            <w:rPr>
              <w:sz w:val="24"/>
              <w:szCs w:val="24"/>
            </w:rPr>
            <w:fldChar w:fldCharType="begin"/>
          </w:r>
          <w:r w:rsidR="00C24321">
            <w:rPr>
              <w:sz w:val="24"/>
              <w:szCs w:val="24"/>
            </w:rPr>
            <w:instrText xml:space="preserve">CITATION Fra96 \p 260 \l 2057 </w:instrText>
          </w:r>
          <w:r w:rsidR="00C24321">
            <w:rPr>
              <w:sz w:val="24"/>
              <w:szCs w:val="24"/>
            </w:rPr>
            <w:fldChar w:fldCharType="separate"/>
          </w:r>
          <w:r w:rsidR="00C24321" w:rsidRPr="00C24321">
            <w:rPr>
              <w:noProof/>
              <w:sz w:val="24"/>
              <w:szCs w:val="24"/>
            </w:rPr>
            <w:t>(Heidensohn, 1996, p. 260)</w:t>
          </w:r>
          <w:r w:rsidR="00C24321">
            <w:rPr>
              <w:sz w:val="24"/>
              <w:szCs w:val="24"/>
            </w:rPr>
            <w:fldChar w:fldCharType="end"/>
          </w:r>
        </w:sdtContent>
      </w:sdt>
      <w:r w:rsidR="00C24321">
        <w:rPr>
          <w:sz w:val="24"/>
          <w:szCs w:val="24"/>
        </w:rPr>
        <w:t xml:space="preserve">. </w:t>
      </w:r>
      <w:r w:rsidR="005E75B0">
        <w:rPr>
          <w:sz w:val="24"/>
          <w:szCs w:val="24"/>
        </w:rPr>
        <w:t xml:space="preserve">Heidensohn has maintained that rather than relying on stereotypes about the character of women or their status in society, explanations for women’s deviance must be found in the empirical reality of women’s lives and patterns of offending (Miller, 2010). </w:t>
      </w:r>
    </w:p>
    <w:p w14:paraId="324EDF68" w14:textId="609B1F26" w:rsidR="00462E77" w:rsidRDefault="000953C6">
      <w:pPr>
        <w:rPr>
          <w:sz w:val="24"/>
          <w:szCs w:val="24"/>
        </w:rPr>
      </w:pPr>
      <w:r>
        <w:rPr>
          <w:sz w:val="24"/>
          <w:szCs w:val="24"/>
        </w:rPr>
        <w:t>The chivalry thesis, which contends that women receive less severe treatment in the criminal justice system than men, contrasts the idea of double deviance. This is because they are perceived as ‘weak and irrational’</w:t>
      </w:r>
      <w:r w:rsidR="00AF07FF">
        <w:rPr>
          <w:sz w:val="24"/>
          <w:szCs w:val="24"/>
        </w:rPr>
        <w:t xml:space="preserve"> and are seen to be less </w:t>
      </w:r>
      <w:r w:rsidR="00301076">
        <w:rPr>
          <w:sz w:val="24"/>
          <w:szCs w:val="24"/>
        </w:rPr>
        <w:t>threatening</w:t>
      </w:r>
      <w:r>
        <w:rPr>
          <w:sz w:val="24"/>
          <w:szCs w:val="24"/>
        </w:rPr>
        <w:t xml:space="preserve">, women are consequently cast into a passive character given more lax treatment throughout their </w:t>
      </w:r>
      <w:r>
        <w:rPr>
          <w:sz w:val="24"/>
          <w:szCs w:val="24"/>
        </w:rPr>
        <w:lastRenderedPageBreak/>
        <w:t xml:space="preserve">interactions within the criminal justice system.  Reducing women’s responsibility, however, can be problematic for a number of reasons as this kind of behaviour reinforces the stereotypes that women are too “emotional” or that they are fundamentally “bad, wicked, or weak”. These stories stereotype women into nearly comical roles that are excessively straightforward and morally binary  </w:t>
      </w:r>
      <w:sdt>
        <w:sdtPr>
          <w:rPr>
            <w:sz w:val="24"/>
            <w:szCs w:val="24"/>
          </w:rPr>
          <w:id w:val="-190848432"/>
          <w:citation/>
        </w:sdtPr>
        <w:sdtContent>
          <w:r w:rsidR="001734E3">
            <w:rPr>
              <w:sz w:val="24"/>
              <w:szCs w:val="24"/>
            </w:rPr>
            <w:fldChar w:fldCharType="begin"/>
          </w:r>
          <w:r w:rsidR="001734E3">
            <w:rPr>
              <w:sz w:val="24"/>
              <w:szCs w:val="24"/>
            </w:rPr>
            <w:instrText xml:space="preserve"> CITATION Mar06 \l 2057 </w:instrText>
          </w:r>
          <w:r w:rsidR="001734E3">
            <w:rPr>
              <w:sz w:val="24"/>
              <w:szCs w:val="24"/>
            </w:rPr>
            <w:fldChar w:fldCharType="separate"/>
          </w:r>
          <w:r w:rsidR="001734E3" w:rsidRPr="001734E3">
            <w:rPr>
              <w:noProof/>
              <w:sz w:val="24"/>
              <w:szCs w:val="24"/>
            </w:rPr>
            <w:t>(Grabe, 2006)</w:t>
          </w:r>
          <w:r w:rsidR="001734E3">
            <w:rPr>
              <w:sz w:val="24"/>
              <w:szCs w:val="24"/>
            </w:rPr>
            <w:fldChar w:fldCharType="end"/>
          </w:r>
        </w:sdtContent>
      </w:sdt>
      <w:r w:rsidR="001734E3">
        <w:rPr>
          <w:sz w:val="24"/>
          <w:szCs w:val="24"/>
        </w:rPr>
        <w:t xml:space="preserve">. </w:t>
      </w:r>
    </w:p>
    <w:p w14:paraId="77B21C30" w14:textId="1C7933A4" w:rsidR="00D70E91" w:rsidRDefault="001014A3">
      <w:pPr>
        <w:rPr>
          <w:sz w:val="24"/>
          <w:szCs w:val="24"/>
        </w:rPr>
      </w:pPr>
      <w:r>
        <w:rPr>
          <w:sz w:val="24"/>
          <w:szCs w:val="24"/>
        </w:rPr>
        <w:t>The principle of double deviance holds that some women are penalised for allegedly committing two offences. They are perceived as having disobeyed the law and cultural norms regarding what constitutes appropriate behaviour for women</w:t>
      </w:r>
      <w:r w:rsidR="00EE59C8">
        <w:rPr>
          <w:sz w:val="24"/>
          <w:szCs w:val="24"/>
        </w:rPr>
        <w:t xml:space="preserve"> (Tillyer, 2015)</w:t>
      </w:r>
      <w:r>
        <w:rPr>
          <w:sz w:val="24"/>
          <w:szCs w:val="24"/>
        </w:rPr>
        <w:t xml:space="preserve">. According to </w:t>
      </w:r>
      <w:r w:rsidR="00DD7E9B" w:rsidRPr="00DD7E9B">
        <w:rPr>
          <w:noProof/>
          <w:sz w:val="24"/>
          <w:szCs w:val="24"/>
        </w:rPr>
        <w:t>Murphy &amp; Brown</w:t>
      </w:r>
      <w:r w:rsidR="00DD7E9B">
        <w:rPr>
          <w:noProof/>
          <w:sz w:val="24"/>
          <w:szCs w:val="24"/>
        </w:rPr>
        <w:t>’s (</w:t>
      </w:r>
      <w:r w:rsidR="00DD7E9B" w:rsidRPr="00DD7E9B">
        <w:rPr>
          <w:noProof/>
          <w:sz w:val="24"/>
          <w:szCs w:val="24"/>
        </w:rPr>
        <w:t>2000)</w:t>
      </w:r>
      <w:r w:rsidR="00DD7E9B">
        <w:rPr>
          <w:noProof/>
          <w:sz w:val="24"/>
          <w:szCs w:val="24"/>
        </w:rPr>
        <w:t xml:space="preserve"> </w:t>
      </w:r>
      <w:r>
        <w:rPr>
          <w:sz w:val="24"/>
          <w:szCs w:val="24"/>
        </w:rPr>
        <w:t xml:space="preserve">hypothesis, this idea puts women in a position where they can be treated differently based on whether or not they defy social norms that dictate what is expected of them. </w:t>
      </w:r>
      <w:r w:rsidR="00EE59C8">
        <w:rPr>
          <w:sz w:val="24"/>
          <w:szCs w:val="24"/>
        </w:rPr>
        <w:t>Double deviance theory</w:t>
      </w:r>
      <w:r>
        <w:rPr>
          <w:sz w:val="24"/>
          <w:szCs w:val="24"/>
        </w:rPr>
        <w:t xml:space="preserve"> is often known as the evil women theory at times. Though certain women might receive </w:t>
      </w:r>
      <w:r w:rsidR="00EE59C8">
        <w:rPr>
          <w:sz w:val="24"/>
          <w:szCs w:val="24"/>
        </w:rPr>
        <w:t xml:space="preserve">more forgiving treatment under this concept, it may appear to be selective gallantry. The idea that women who violate these gender standards are penalised more severely than males for committing the same offence is very different. Even if the offence is the same, women who meet this hypothesis are viewed as double deviants </w:t>
      </w:r>
      <w:r w:rsidR="00AF07FF">
        <w:rPr>
          <w:sz w:val="24"/>
          <w:szCs w:val="24"/>
        </w:rPr>
        <w:t xml:space="preserve">and </w:t>
      </w:r>
      <w:r w:rsidR="00EE59C8">
        <w:rPr>
          <w:sz w:val="24"/>
          <w:szCs w:val="24"/>
        </w:rPr>
        <w:t xml:space="preserve">are viewed as blameworthy in this situation, which results in harsher punishments (Herzog, 2008). </w:t>
      </w:r>
    </w:p>
    <w:p w14:paraId="7C426234" w14:textId="23DCEBB0" w:rsidR="00AF07FF" w:rsidRDefault="00D84C80">
      <w:pPr>
        <w:rPr>
          <w:sz w:val="24"/>
          <w:szCs w:val="24"/>
        </w:rPr>
      </w:pPr>
      <w:r>
        <w:rPr>
          <w:sz w:val="24"/>
          <w:szCs w:val="24"/>
        </w:rPr>
        <w:t xml:space="preserve">Carol Smart (1976) has argued that gender expectations on women should be that of peaceable, </w:t>
      </w:r>
      <w:r w:rsidR="00DD7E9B">
        <w:rPr>
          <w:sz w:val="24"/>
          <w:szCs w:val="24"/>
        </w:rPr>
        <w:t>maternal,</w:t>
      </w:r>
      <w:r>
        <w:rPr>
          <w:sz w:val="24"/>
          <w:szCs w:val="24"/>
        </w:rPr>
        <w:t xml:space="preserve"> and </w:t>
      </w:r>
      <w:r w:rsidR="009A279D">
        <w:rPr>
          <w:sz w:val="24"/>
          <w:szCs w:val="24"/>
        </w:rPr>
        <w:t>home-loving</w:t>
      </w:r>
      <w:r>
        <w:rPr>
          <w:sz w:val="24"/>
          <w:szCs w:val="24"/>
        </w:rPr>
        <w:t xml:space="preserve">, meaning that any woman who is found to break these conventions by committing an offence, particularly by committing those crimes in a nature of violent or sexual, should be seen by the public and the Criminal Justice System as ‘doubly deviant’. </w:t>
      </w:r>
      <w:r w:rsidR="00834081">
        <w:rPr>
          <w:sz w:val="24"/>
          <w:szCs w:val="24"/>
        </w:rPr>
        <w:t xml:space="preserve">In Addition to offending against their gender, they also offend by their crime. Since we identify violent and sexual crimes as being exclusively committed by men, it </w:t>
      </w:r>
      <w:r w:rsidR="00834081">
        <w:rPr>
          <w:sz w:val="24"/>
          <w:szCs w:val="24"/>
        </w:rPr>
        <w:lastRenderedPageBreak/>
        <w:t xml:space="preserve">seems that female offenders are an “exception” or “aberration” from the norm. In fact, women who commit crimes or are connected to them are often with male perpetrators, </w:t>
      </w:r>
      <w:r w:rsidR="00AF2A94">
        <w:rPr>
          <w:sz w:val="24"/>
          <w:szCs w:val="24"/>
        </w:rPr>
        <w:t>well-known</w:t>
      </w:r>
      <w:r w:rsidR="00834081">
        <w:rPr>
          <w:sz w:val="24"/>
          <w:szCs w:val="24"/>
        </w:rPr>
        <w:t xml:space="preserve"> figures include, Maxine Carr, Rose West, Beverly Allitt, Myra Hindley, Joanna Dennehy and Mary Ann Cotton (Mulvihill, 2020). </w:t>
      </w:r>
    </w:p>
    <w:p w14:paraId="38A66F79" w14:textId="12C312F1" w:rsidR="005E32BE" w:rsidRDefault="00004BA1">
      <w:pPr>
        <w:rPr>
          <w:sz w:val="24"/>
          <w:szCs w:val="24"/>
        </w:rPr>
      </w:pPr>
      <w:r>
        <w:rPr>
          <w:sz w:val="24"/>
          <w:szCs w:val="24"/>
        </w:rPr>
        <w:t>Women with criminal convictions are more likely to be both victims and offenders of crime in the context of the Criminal Justice System, they are also more likely to have histories of complex trauma and to have been victims of a range of harms, including</w:t>
      </w:r>
      <w:r w:rsidR="000B02E9">
        <w:rPr>
          <w:sz w:val="24"/>
          <w:szCs w:val="24"/>
        </w:rPr>
        <w:t>,</w:t>
      </w:r>
      <w:r>
        <w:rPr>
          <w:sz w:val="24"/>
          <w:szCs w:val="24"/>
        </w:rPr>
        <w:t xml:space="preserve"> but limited to sexual assault and domestic abuse. These people face shame from society for going against social norms, expectations, and</w:t>
      </w:r>
      <w:r w:rsidR="000B02E9">
        <w:rPr>
          <w:sz w:val="24"/>
          <w:szCs w:val="24"/>
        </w:rPr>
        <w:t xml:space="preserve"> </w:t>
      </w:r>
      <w:r>
        <w:rPr>
          <w:sz w:val="24"/>
          <w:szCs w:val="24"/>
        </w:rPr>
        <w:t xml:space="preserve">discrimination based on their gender and discrimination as victims and offenders as well as because they are women. </w:t>
      </w:r>
      <w:r w:rsidR="005926FB">
        <w:rPr>
          <w:sz w:val="24"/>
          <w:szCs w:val="24"/>
        </w:rPr>
        <w:t xml:space="preserve">The concept of “double deviance”, which holds that women are punished for breaking both the law and social norms, originated in response to these infractions. Furthermore, the idea of the ideal victim helps to explain the experiences of women who have had criminal convictions. The idea of the “ideal victim” is a stereotype of women and the idea of double deviance best captures how women are treated in the Criminal Justice System </w:t>
      </w:r>
      <w:sdt>
        <w:sdtPr>
          <w:rPr>
            <w:sz w:val="24"/>
            <w:szCs w:val="24"/>
          </w:rPr>
          <w:id w:val="425844033"/>
          <w:citation/>
        </w:sdtPr>
        <w:sdtContent>
          <w:r w:rsidR="005926FB">
            <w:rPr>
              <w:sz w:val="24"/>
              <w:szCs w:val="24"/>
            </w:rPr>
            <w:fldChar w:fldCharType="begin"/>
          </w:r>
          <w:r w:rsidR="005926FB">
            <w:rPr>
              <w:sz w:val="24"/>
              <w:szCs w:val="24"/>
            </w:rPr>
            <w:instrText xml:space="preserve"> CITATION Sea22 \l 2057 </w:instrText>
          </w:r>
          <w:r w:rsidR="005926FB">
            <w:rPr>
              <w:sz w:val="24"/>
              <w:szCs w:val="24"/>
            </w:rPr>
            <w:fldChar w:fldCharType="separate"/>
          </w:r>
          <w:r w:rsidR="005926FB" w:rsidRPr="005926FB">
            <w:rPr>
              <w:noProof/>
              <w:sz w:val="24"/>
              <w:szCs w:val="24"/>
            </w:rPr>
            <w:t>(Seaman &amp; Lynch, 2022)</w:t>
          </w:r>
          <w:r w:rsidR="005926FB">
            <w:rPr>
              <w:sz w:val="24"/>
              <w:szCs w:val="24"/>
            </w:rPr>
            <w:fldChar w:fldCharType="end"/>
          </w:r>
        </w:sdtContent>
      </w:sdt>
      <w:r w:rsidR="005926FB">
        <w:rPr>
          <w:sz w:val="24"/>
          <w:szCs w:val="24"/>
        </w:rPr>
        <w:t xml:space="preserve">. </w:t>
      </w:r>
    </w:p>
    <w:p w14:paraId="2BF4F8E5" w14:textId="1C67CE2F" w:rsidR="00AF2A94" w:rsidRDefault="00751C9A">
      <w:pPr>
        <w:rPr>
          <w:sz w:val="24"/>
          <w:szCs w:val="24"/>
        </w:rPr>
      </w:pPr>
      <w:r>
        <w:rPr>
          <w:sz w:val="24"/>
          <w:szCs w:val="24"/>
        </w:rPr>
        <w:t xml:space="preserve">Compared to men, women serving jail sentences are given shorter terms, this implies that women are given preferential treatment by the Criminal Justice System. Nonetheless, we must consider the gravity of the conduct and variations in prior criminal activity. Differences in the nature of the offence and prior offences are reflected in the higher cautioning rate for women and the decreased chance of being held in jail or sent for trial. Women are less likely to have a criminal record and their offences are often less serious. It appears from this that there is no empathetic prejudice towards or against women </w:t>
      </w:r>
      <w:sdt>
        <w:sdtPr>
          <w:rPr>
            <w:sz w:val="24"/>
            <w:szCs w:val="24"/>
          </w:rPr>
          <w:id w:val="-973131078"/>
          <w:citation/>
        </w:sdtPr>
        <w:sdtContent>
          <w:r>
            <w:rPr>
              <w:sz w:val="24"/>
              <w:szCs w:val="24"/>
            </w:rPr>
            <w:fldChar w:fldCharType="begin"/>
          </w:r>
          <w:r>
            <w:rPr>
              <w:sz w:val="24"/>
              <w:szCs w:val="24"/>
            </w:rPr>
            <w:instrText xml:space="preserve"> CITATION Gen15 \l 2057 </w:instrText>
          </w:r>
          <w:r>
            <w:rPr>
              <w:sz w:val="24"/>
              <w:szCs w:val="24"/>
            </w:rPr>
            <w:fldChar w:fldCharType="separate"/>
          </w:r>
          <w:r w:rsidRPr="00751C9A">
            <w:rPr>
              <w:noProof/>
              <w:sz w:val="24"/>
              <w:szCs w:val="24"/>
            </w:rPr>
            <w:t>(Trueman, 2015)</w:t>
          </w:r>
          <w:r>
            <w:rPr>
              <w:sz w:val="24"/>
              <w:szCs w:val="24"/>
            </w:rPr>
            <w:fldChar w:fldCharType="end"/>
          </w:r>
        </w:sdtContent>
      </w:sdt>
      <w:r>
        <w:rPr>
          <w:sz w:val="24"/>
          <w:szCs w:val="24"/>
        </w:rPr>
        <w:t xml:space="preserve">. </w:t>
      </w:r>
      <w:r w:rsidR="00BB771D">
        <w:rPr>
          <w:sz w:val="24"/>
          <w:szCs w:val="24"/>
        </w:rPr>
        <w:t xml:space="preserve"> This also comes under the crime severity factor as the premise that the more serious the crime, the </w:t>
      </w:r>
      <w:r w:rsidR="00BB771D">
        <w:rPr>
          <w:sz w:val="24"/>
          <w:szCs w:val="24"/>
        </w:rPr>
        <w:lastRenderedPageBreak/>
        <w:t xml:space="preserve">harder the sentence may seem to indicate how serious an offence is and how a person may be sentenced. But this could be a major contributing factor in explaining why there are so many more men receiving harsher punishments. Women are far less likely than men to commit violent and major crimes </w:t>
      </w:r>
      <w:sdt>
        <w:sdtPr>
          <w:rPr>
            <w:sz w:val="24"/>
            <w:szCs w:val="24"/>
          </w:rPr>
          <w:id w:val="1026760343"/>
          <w:citation/>
        </w:sdtPr>
        <w:sdtContent>
          <w:r w:rsidR="00BB771D">
            <w:rPr>
              <w:sz w:val="24"/>
              <w:szCs w:val="24"/>
            </w:rPr>
            <w:fldChar w:fldCharType="begin"/>
          </w:r>
          <w:r w:rsidR="00BB771D">
            <w:rPr>
              <w:sz w:val="24"/>
              <w:szCs w:val="24"/>
            </w:rPr>
            <w:instrText xml:space="preserve"> CITATION Joa07 \l 2057 </w:instrText>
          </w:r>
          <w:r w:rsidR="00BB771D">
            <w:rPr>
              <w:sz w:val="24"/>
              <w:szCs w:val="24"/>
            </w:rPr>
            <w:fldChar w:fldCharType="separate"/>
          </w:r>
          <w:r w:rsidR="00BB771D" w:rsidRPr="00BB771D">
            <w:rPr>
              <w:noProof/>
              <w:sz w:val="24"/>
              <w:szCs w:val="24"/>
            </w:rPr>
            <w:t>(Belknap, 2007)</w:t>
          </w:r>
          <w:r w:rsidR="00BB771D">
            <w:rPr>
              <w:sz w:val="24"/>
              <w:szCs w:val="24"/>
            </w:rPr>
            <w:fldChar w:fldCharType="end"/>
          </w:r>
        </w:sdtContent>
      </w:sdt>
      <w:r w:rsidR="00BB771D">
        <w:rPr>
          <w:sz w:val="24"/>
          <w:szCs w:val="24"/>
        </w:rPr>
        <w:t xml:space="preserve">. </w:t>
      </w:r>
      <w:r w:rsidR="00B32F4F">
        <w:rPr>
          <w:sz w:val="24"/>
          <w:szCs w:val="24"/>
        </w:rPr>
        <w:t xml:space="preserve">Cowen (1995) hypothesis is that women are penalised and judged based on how well they fit the traditional feminine gender role of a wife, mother and homemaker, whereas males are judged based on offender stereotypes. Therefore, a woman’s interaction with the criminal justice system is greatly influenced by the idea of femininity </w:t>
      </w:r>
      <w:sdt>
        <w:sdtPr>
          <w:rPr>
            <w:sz w:val="24"/>
            <w:szCs w:val="24"/>
          </w:rPr>
          <w:id w:val="-2067019350"/>
          <w:citation/>
        </w:sdtPr>
        <w:sdtContent>
          <w:r w:rsidR="007306A2">
            <w:rPr>
              <w:sz w:val="24"/>
              <w:szCs w:val="24"/>
            </w:rPr>
            <w:fldChar w:fldCharType="begin"/>
          </w:r>
          <w:r w:rsidR="007306A2">
            <w:rPr>
              <w:sz w:val="24"/>
              <w:szCs w:val="24"/>
            </w:rPr>
            <w:instrText xml:space="preserve"> CITATION Moo16 \l 2057 </w:instrText>
          </w:r>
          <w:r w:rsidR="007306A2">
            <w:rPr>
              <w:sz w:val="24"/>
              <w:szCs w:val="24"/>
            </w:rPr>
            <w:fldChar w:fldCharType="separate"/>
          </w:r>
          <w:r w:rsidR="007306A2" w:rsidRPr="007306A2">
            <w:rPr>
              <w:noProof/>
              <w:sz w:val="24"/>
              <w:szCs w:val="24"/>
            </w:rPr>
            <w:t>(Moore &amp; Scraton, 2016)</w:t>
          </w:r>
          <w:r w:rsidR="007306A2">
            <w:rPr>
              <w:sz w:val="24"/>
              <w:szCs w:val="24"/>
            </w:rPr>
            <w:fldChar w:fldCharType="end"/>
          </w:r>
        </w:sdtContent>
      </w:sdt>
      <w:r w:rsidR="007306A2">
        <w:rPr>
          <w:sz w:val="24"/>
          <w:szCs w:val="24"/>
        </w:rPr>
        <w:t xml:space="preserve">. </w:t>
      </w:r>
    </w:p>
    <w:p w14:paraId="1CAF6543" w14:textId="59C85429" w:rsidR="00942CB3" w:rsidRDefault="000B02E9">
      <w:pPr>
        <w:rPr>
          <w:sz w:val="24"/>
          <w:szCs w:val="24"/>
        </w:rPr>
      </w:pPr>
      <w:r>
        <w:rPr>
          <w:sz w:val="24"/>
          <w:szCs w:val="24"/>
        </w:rPr>
        <w:t>Since</w:t>
      </w:r>
      <w:r w:rsidR="00942CB3">
        <w:rPr>
          <w:sz w:val="24"/>
          <w:szCs w:val="24"/>
        </w:rPr>
        <w:t xml:space="preserve"> female offenders represent a “special case”, female criminals require special attention. Reducing the number of women within </w:t>
      </w:r>
      <w:r w:rsidR="00DD5EEC">
        <w:rPr>
          <w:sz w:val="24"/>
          <w:szCs w:val="24"/>
        </w:rPr>
        <w:t xml:space="preserve">the </w:t>
      </w:r>
      <w:r w:rsidR="00942CB3">
        <w:rPr>
          <w:sz w:val="24"/>
          <w:szCs w:val="24"/>
        </w:rPr>
        <w:t xml:space="preserve">prison by half and expanding the use of </w:t>
      </w:r>
      <w:r w:rsidR="00DD5EEC">
        <w:rPr>
          <w:sz w:val="24"/>
          <w:szCs w:val="24"/>
        </w:rPr>
        <w:t>program</w:t>
      </w:r>
      <w:r>
        <w:rPr>
          <w:sz w:val="24"/>
          <w:szCs w:val="24"/>
        </w:rPr>
        <w:t>me</w:t>
      </w:r>
      <w:r w:rsidR="00DD5EEC">
        <w:rPr>
          <w:sz w:val="24"/>
          <w:szCs w:val="24"/>
        </w:rPr>
        <w:t>s</w:t>
      </w:r>
      <w:r w:rsidR="00942CB3">
        <w:rPr>
          <w:sz w:val="24"/>
          <w:szCs w:val="24"/>
        </w:rPr>
        <w:t xml:space="preserve"> for minor female offenders have been demanded. Prison is a harsh punishment for everyone, but women suffer disproportionately because they are punished for more minor crimes</w:t>
      </w:r>
      <w:r w:rsidR="00DD5EEC">
        <w:rPr>
          <w:sz w:val="24"/>
          <w:szCs w:val="24"/>
        </w:rPr>
        <w:t>. Women prisoners have</w:t>
      </w:r>
      <w:r w:rsidR="00942CB3">
        <w:rPr>
          <w:sz w:val="24"/>
          <w:szCs w:val="24"/>
        </w:rPr>
        <w:t xml:space="preserve"> more than likely been abused </w:t>
      </w:r>
      <w:r w:rsidR="00DD5EEC">
        <w:rPr>
          <w:sz w:val="24"/>
          <w:szCs w:val="24"/>
        </w:rPr>
        <w:t>more frequently than male prisoners and are more likely to suffer from mental health issues</w:t>
      </w:r>
      <w:sdt>
        <w:sdtPr>
          <w:rPr>
            <w:sz w:val="24"/>
            <w:szCs w:val="24"/>
          </w:rPr>
          <w:id w:val="-1852169525"/>
          <w:citation/>
        </w:sdtPr>
        <w:sdtContent>
          <w:r w:rsidR="00DD5EEC">
            <w:rPr>
              <w:sz w:val="24"/>
              <w:szCs w:val="24"/>
            </w:rPr>
            <w:fldChar w:fldCharType="begin"/>
          </w:r>
          <w:r w:rsidR="00DD5EEC">
            <w:rPr>
              <w:sz w:val="24"/>
              <w:szCs w:val="24"/>
            </w:rPr>
            <w:instrText xml:space="preserve"> CITATION Lyd15 \l 2057 </w:instrText>
          </w:r>
          <w:r w:rsidR="00DD5EEC">
            <w:rPr>
              <w:sz w:val="24"/>
              <w:szCs w:val="24"/>
            </w:rPr>
            <w:fldChar w:fldCharType="separate"/>
          </w:r>
          <w:r w:rsidR="00DD5EEC">
            <w:rPr>
              <w:noProof/>
              <w:sz w:val="24"/>
              <w:szCs w:val="24"/>
            </w:rPr>
            <w:t xml:space="preserve"> </w:t>
          </w:r>
          <w:r w:rsidR="00DD5EEC" w:rsidRPr="00DD5EEC">
            <w:rPr>
              <w:noProof/>
              <w:sz w:val="24"/>
              <w:szCs w:val="24"/>
            </w:rPr>
            <w:t>(Smith, 2015)</w:t>
          </w:r>
          <w:r w:rsidR="00DD5EEC">
            <w:rPr>
              <w:sz w:val="24"/>
              <w:szCs w:val="24"/>
            </w:rPr>
            <w:fldChar w:fldCharType="end"/>
          </w:r>
        </w:sdtContent>
      </w:sdt>
      <w:r w:rsidR="00DD5EEC">
        <w:rPr>
          <w:sz w:val="24"/>
          <w:szCs w:val="24"/>
        </w:rPr>
        <w:t>. In comparison to men, 27% of those involved in the criminal justice system</w:t>
      </w:r>
      <w:r w:rsidR="00D42B80">
        <w:rPr>
          <w:sz w:val="24"/>
          <w:szCs w:val="24"/>
        </w:rPr>
        <w:t xml:space="preserve"> reported experiencing abuse as children, whilst almost 53% of women reported the same. Clinks is a nonprofit voluntary organisation that works with prisoners and their families. The major carers for children are far more women than men, which has serious repercussions for both the mother and the children of those who go to jail. In comparison to 23% of men, 49% of women who have been imprisoned have both anxiety and depression. It’s critical to recognise that men and women are not treated equally in the criminal justice system. Women are less likely to get fines or prison sentences and more likely to be released from prison or given a community sentence. Sentences for women in prison are shorter than those for men, this implies that women are given preferential treatment by the criminal </w:t>
      </w:r>
      <w:r w:rsidR="00D42B80">
        <w:rPr>
          <w:sz w:val="24"/>
          <w:szCs w:val="24"/>
        </w:rPr>
        <w:lastRenderedPageBreak/>
        <w:t xml:space="preserve">justice system. This does not imply however, that women receive preferential treatment to men in prison </w:t>
      </w:r>
      <w:sdt>
        <w:sdtPr>
          <w:rPr>
            <w:sz w:val="24"/>
            <w:szCs w:val="24"/>
          </w:rPr>
          <w:id w:val="-1018923621"/>
          <w:citation/>
        </w:sdtPr>
        <w:sdtContent>
          <w:r w:rsidR="00803280">
            <w:rPr>
              <w:sz w:val="24"/>
              <w:szCs w:val="24"/>
            </w:rPr>
            <w:fldChar w:fldCharType="begin"/>
          </w:r>
          <w:r w:rsidR="00803280">
            <w:rPr>
              <w:sz w:val="24"/>
              <w:szCs w:val="24"/>
            </w:rPr>
            <w:instrText xml:space="preserve"> CITATION Gen15 \l 2057 </w:instrText>
          </w:r>
          <w:r w:rsidR="00803280">
            <w:rPr>
              <w:sz w:val="24"/>
              <w:szCs w:val="24"/>
            </w:rPr>
            <w:fldChar w:fldCharType="separate"/>
          </w:r>
          <w:r w:rsidR="00803280" w:rsidRPr="00803280">
            <w:rPr>
              <w:noProof/>
              <w:sz w:val="24"/>
              <w:szCs w:val="24"/>
            </w:rPr>
            <w:t>(Trueman, 2015)</w:t>
          </w:r>
          <w:r w:rsidR="00803280">
            <w:rPr>
              <w:sz w:val="24"/>
              <w:szCs w:val="24"/>
            </w:rPr>
            <w:fldChar w:fldCharType="end"/>
          </w:r>
        </w:sdtContent>
      </w:sdt>
      <w:r w:rsidR="00803280">
        <w:rPr>
          <w:sz w:val="24"/>
          <w:szCs w:val="24"/>
        </w:rPr>
        <w:t xml:space="preserve">. </w:t>
      </w:r>
    </w:p>
    <w:p w14:paraId="717D0ACC" w14:textId="23C477C1" w:rsidR="00751C9A" w:rsidRDefault="002477B2">
      <w:pPr>
        <w:rPr>
          <w:sz w:val="24"/>
          <w:szCs w:val="24"/>
        </w:rPr>
      </w:pPr>
      <w:r>
        <w:rPr>
          <w:sz w:val="24"/>
          <w:szCs w:val="24"/>
        </w:rPr>
        <w:t>Women’s crime and social diversity have a complicated relationship</w:t>
      </w:r>
      <w:r w:rsidR="00023DFC">
        <w:rPr>
          <w:sz w:val="24"/>
          <w:szCs w:val="24"/>
        </w:rPr>
        <w:t>, in general, women are underrepresented in the criminal justice system (CJS) when compared to men, according to the UK government’s report on women and the criminal justice system 2021. Though trends by sex differ amongst individual offences, this is especially true with regard to the most serious offence types and punishments. The paper emphasises the need for more research on the experiences of females who interact with the C</w:t>
      </w:r>
      <w:r w:rsidR="00B32F4F">
        <w:rPr>
          <w:sz w:val="24"/>
          <w:szCs w:val="24"/>
        </w:rPr>
        <w:t xml:space="preserve">riminal </w:t>
      </w:r>
      <w:r w:rsidR="00023DFC">
        <w:rPr>
          <w:sz w:val="24"/>
          <w:szCs w:val="24"/>
        </w:rPr>
        <w:t>J</w:t>
      </w:r>
      <w:r w:rsidR="00B32F4F">
        <w:rPr>
          <w:sz w:val="24"/>
          <w:szCs w:val="24"/>
        </w:rPr>
        <w:t xml:space="preserve">ustice </w:t>
      </w:r>
      <w:r w:rsidR="00023DFC">
        <w:rPr>
          <w:sz w:val="24"/>
          <w:szCs w:val="24"/>
        </w:rPr>
        <w:t>S</w:t>
      </w:r>
      <w:r w:rsidR="00B32F4F">
        <w:rPr>
          <w:sz w:val="24"/>
          <w:szCs w:val="24"/>
        </w:rPr>
        <w:t>ystem</w:t>
      </w:r>
      <w:r w:rsidR="00023DFC">
        <w:rPr>
          <w:sz w:val="24"/>
          <w:szCs w:val="24"/>
        </w:rPr>
        <w:t xml:space="preserve"> even though it does not show a direct link between social diversity and women’s criminality </w:t>
      </w:r>
      <w:sdt>
        <w:sdtPr>
          <w:rPr>
            <w:sz w:val="24"/>
            <w:szCs w:val="24"/>
          </w:rPr>
          <w:id w:val="-463115309"/>
          <w:citation/>
        </w:sdtPr>
        <w:sdtContent>
          <w:r w:rsidR="00023DFC">
            <w:rPr>
              <w:sz w:val="24"/>
              <w:szCs w:val="24"/>
            </w:rPr>
            <w:fldChar w:fldCharType="begin"/>
          </w:r>
          <w:r w:rsidR="00023DFC">
            <w:rPr>
              <w:sz w:val="24"/>
              <w:szCs w:val="24"/>
            </w:rPr>
            <w:instrText xml:space="preserve"> CITATION Min211 \l 2057 </w:instrText>
          </w:r>
          <w:r w:rsidR="00023DFC">
            <w:rPr>
              <w:sz w:val="24"/>
              <w:szCs w:val="24"/>
            </w:rPr>
            <w:fldChar w:fldCharType="separate"/>
          </w:r>
          <w:r w:rsidR="00023DFC" w:rsidRPr="00023DFC">
            <w:rPr>
              <w:noProof/>
              <w:sz w:val="24"/>
              <w:szCs w:val="24"/>
            </w:rPr>
            <w:t>(Ministry Of Justice, 2021)</w:t>
          </w:r>
          <w:r w:rsidR="00023DFC">
            <w:rPr>
              <w:sz w:val="24"/>
              <w:szCs w:val="24"/>
            </w:rPr>
            <w:fldChar w:fldCharType="end"/>
          </w:r>
        </w:sdtContent>
      </w:sdt>
      <w:r w:rsidR="00023DFC">
        <w:rPr>
          <w:sz w:val="24"/>
          <w:szCs w:val="24"/>
        </w:rPr>
        <w:t xml:space="preserve">. </w:t>
      </w:r>
    </w:p>
    <w:p w14:paraId="7BEB4C7A" w14:textId="65FB70D7" w:rsidR="00197EE1" w:rsidRDefault="001B7949">
      <w:pPr>
        <w:rPr>
          <w:sz w:val="24"/>
          <w:szCs w:val="24"/>
        </w:rPr>
      </w:pPr>
      <w:r>
        <w:rPr>
          <w:sz w:val="24"/>
          <w:szCs w:val="24"/>
        </w:rPr>
        <w:t xml:space="preserve">Women’s experiences with crime are significantly influenced by social diversity. Compared to their counterparts from privileged backgrounds, including those from ethnic minority groups, LGBTQ+ communities and those with disabilities are more likely to experience violence and abuse. This is because </w:t>
      </w:r>
      <w:r w:rsidR="00197EE1">
        <w:rPr>
          <w:sz w:val="24"/>
          <w:szCs w:val="24"/>
        </w:rPr>
        <w:t>of several</w:t>
      </w:r>
      <w:r>
        <w:rPr>
          <w:sz w:val="24"/>
          <w:szCs w:val="24"/>
        </w:rPr>
        <w:t xml:space="preserve"> things, such as poverty, discrimination, and social exclusion can increase </w:t>
      </w:r>
      <w:r w:rsidR="00197EE1">
        <w:rPr>
          <w:sz w:val="24"/>
          <w:szCs w:val="24"/>
        </w:rPr>
        <w:t>their susceptibility</w:t>
      </w:r>
      <w:r>
        <w:rPr>
          <w:sz w:val="24"/>
          <w:szCs w:val="24"/>
        </w:rPr>
        <w:t xml:space="preserve"> to crime</w:t>
      </w:r>
      <w:r w:rsidR="00197EE1">
        <w:rPr>
          <w:sz w:val="24"/>
          <w:szCs w:val="24"/>
        </w:rPr>
        <w:t xml:space="preserve">. In the criminal justice system due to these social diversities, women are more than likely to be more suspectable to crime </w:t>
      </w:r>
      <w:sdt>
        <w:sdtPr>
          <w:rPr>
            <w:sz w:val="24"/>
            <w:szCs w:val="24"/>
          </w:rPr>
          <w:id w:val="388771918"/>
          <w:citation/>
        </w:sdtPr>
        <w:sdtContent>
          <w:r w:rsidR="00197EE1">
            <w:rPr>
              <w:sz w:val="24"/>
              <w:szCs w:val="24"/>
            </w:rPr>
            <w:fldChar w:fldCharType="begin"/>
          </w:r>
          <w:r w:rsidR="00197EE1">
            <w:rPr>
              <w:sz w:val="24"/>
              <w:szCs w:val="24"/>
            </w:rPr>
            <w:instrText xml:space="preserve"> CITATION Min202 \l 2057 </w:instrText>
          </w:r>
          <w:r w:rsidR="00197EE1">
            <w:rPr>
              <w:sz w:val="24"/>
              <w:szCs w:val="24"/>
            </w:rPr>
            <w:fldChar w:fldCharType="separate"/>
          </w:r>
          <w:r w:rsidR="00197EE1" w:rsidRPr="00197EE1">
            <w:rPr>
              <w:noProof/>
              <w:sz w:val="24"/>
              <w:szCs w:val="24"/>
            </w:rPr>
            <w:t>(Ministry of Justice , 2020)</w:t>
          </w:r>
          <w:r w:rsidR="00197EE1">
            <w:rPr>
              <w:sz w:val="24"/>
              <w:szCs w:val="24"/>
            </w:rPr>
            <w:fldChar w:fldCharType="end"/>
          </w:r>
        </w:sdtContent>
      </w:sdt>
      <w:r w:rsidR="00197EE1">
        <w:rPr>
          <w:sz w:val="24"/>
          <w:szCs w:val="24"/>
        </w:rPr>
        <w:t>.</w:t>
      </w:r>
    </w:p>
    <w:p w14:paraId="726A2D77" w14:textId="3CBE287D" w:rsidR="00814A91" w:rsidRDefault="00814A91">
      <w:pPr>
        <w:rPr>
          <w:sz w:val="24"/>
          <w:szCs w:val="24"/>
        </w:rPr>
      </w:pPr>
      <w:r>
        <w:rPr>
          <w:sz w:val="24"/>
          <w:szCs w:val="24"/>
        </w:rPr>
        <w:t xml:space="preserve">Fear of female criminality stems, once again, from the perception that, historically, women have been viewed primarily as mothers and child bearers, with little emphasis placed on the roles and responsibilities of fathers. The way that the criminal justice system views female crime in general reveals ingrained misogynistic beliefs. These beliefs include </w:t>
      </w:r>
      <w:r w:rsidR="00C24419">
        <w:rPr>
          <w:sz w:val="24"/>
          <w:szCs w:val="24"/>
        </w:rPr>
        <w:t xml:space="preserve">the </w:t>
      </w:r>
      <w:r>
        <w:rPr>
          <w:sz w:val="24"/>
          <w:szCs w:val="24"/>
        </w:rPr>
        <w:t xml:space="preserve">notion that crimes committed by women are more serious than those committed by men because they represent both gender and moral deviation </w:t>
      </w:r>
      <w:sdt>
        <w:sdtPr>
          <w:rPr>
            <w:sz w:val="24"/>
            <w:szCs w:val="24"/>
          </w:rPr>
          <w:id w:val="-961645936"/>
          <w:citation/>
        </w:sdtPr>
        <w:sdtContent>
          <w:r>
            <w:rPr>
              <w:sz w:val="24"/>
              <w:szCs w:val="24"/>
            </w:rPr>
            <w:fldChar w:fldCharType="begin"/>
          </w:r>
          <w:r>
            <w:rPr>
              <w:sz w:val="24"/>
              <w:szCs w:val="24"/>
            </w:rPr>
            <w:instrText xml:space="preserve"> CITATION Sop22 \l 2057 </w:instrText>
          </w:r>
          <w:r>
            <w:rPr>
              <w:sz w:val="24"/>
              <w:szCs w:val="24"/>
            </w:rPr>
            <w:fldChar w:fldCharType="separate"/>
          </w:r>
          <w:r w:rsidRPr="00814A91">
            <w:rPr>
              <w:noProof/>
              <w:sz w:val="24"/>
              <w:szCs w:val="24"/>
            </w:rPr>
            <w:t>(Whitehead, 2022)</w:t>
          </w:r>
          <w:r>
            <w:rPr>
              <w:sz w:val="24"/>
              <w:szCs w:val="24"/>
            </w:rPr>
            <w:fldChar w:fldCharType="end"/>
          </w:r>
        </w:sdtContent>
      </w:sdt>
      <w:r>
        <w:rPr>
          <w:sz w:val="24"/>
          <w:szCs w:val="24"/>
        </w:rPr>
        <w:t xml:space="preserve">. </w:t>
      </w:r>
    </w:p>
    <w:p w14:paraId="20052D7E" w14:textId="5955D97D" w:rsidR="00C24419" w:rsidRDefault="00C24419">
      <w:pPr>
        <w:rPr>
          <w:sz w:val="24"/>
          <w:szCs w:val="24"/>
        </w:rPr>
      </w:pPr>
      <w:r>
        <w:rPr>
          <w:sz w:val="24"/>
          <w:szCs w:val="24"/>
        </w:rPr>
        <w:lastRenderedPageBreak/>
        <w:t xml:space="preserve">For far too long, women have been controlled and restricted in their ability to exist both as women and as offenders. </w:t>
      </w:r>
      <w:r w:rsidR="00ED7474">
        <w:rPr>
          <w:sz w:val="24"/>
          <w:szCs w:val="24"/>
        </w:rPr>
        <w:t>Tending to</w:t>
      </w:r>
      <w:r>
        <w:rPr>
          <w:sz w:val="24"/>
          <w:szCs w:val="24"/>
        </w:rPr>
        <w:t xml:space="preserve"> be simultaneously removed from representations of what it means to be an offender and assessed via strongly gendered frameworks that aim to hyper-feminize women. The limits of cultural norms and expectations place restrictions on these women. It is simple to believe that women in today’s society are no longer bound by “traditional” standards of what it means to be a woman, and in some ways, this is accurate as concepts of gender and sexuality have advanced significantly over the previous several decades </w:t>
      </w:r>
      <w:sdt>
        <w:sdtPr>
          <w:rPr>
            <w:sz w:val="24"/>
            <w:szCs w:val="24"/>
          </w:rPr>
          <w:id w:val="-1670699313"/>
          <w:citation/>
        </w:sdtPr>
        <w:sdtContent>
          <w:r>
            <w:rPr>
              <w:sz w:val="24"/>
              <w:szCs w:val="24"/>
            </w:rPr>
            <w:fldChar w:fldCharType="begin"/>
          </w:r>
          <w:r>
            <w:rPr>
              <w:sz w:val="24"/>
              <w:szCs w:val="24"/>
            </w:rPr>
            <w:instrText xml:space="preserve"> CITATION Ske18 \l 2057 </w:instrText>
          </w:r>
          <w:r>
            <w:rPr>
              <w:sz w:val="24"/>
              <w:szCs w:val="24"/>
            </w:rPr>
            <w:fldChar w:fldCharType="separate"/>
          </w:r>
          <w:r w:rsidRPr="00C24419">
            <w:rPr>
              <w:noProof/>
              <w:sz w:val="24"/>
              <w:szCs w:val="24"/>
            </w:rPr>
            <w:t>(Skewes, et al., 2018)</w:t>
          </w:r>
          <w:r>
            <w:rPr>
              <w:sz w:val="24"/>
              <w:szCs w:val="24"/>
            </w:rPr>
            <w:fldChar w:fldCharType="end"/>
          </w:r>
        </w:sdtContent>
      </w:sdt>
      <w:r>
        <w:rPr>
          <w:sz w:val="24"/>
          <w:szCs w:val="24"/>
        </w:rPr>
        <w:t>.</w:t>
      </w:r>
    </w:p>
    <w:p w14:paraId="7D82AEF1" w14:textId="2746F095" w:rsidR="00803280" w:rsidRDefault="006617AE">
      <w:pPr>
        <w:rPr>
          <w:sz w:val="24"/>
          <w:szCs w:val="24"/>
        </w:rPr>
      </w:pPr>
      <w:r>
        <w:rPr>
          <w:sz w:val="24"/>
          <w:szCs w:val="24"/>
        </w:rPr>
        <w:t>In Con</w:t>
      </w:r>
      <w:r w:rsidR="00ED7474">
        <w:rPr>
          <w:sz w:val="24"/>
          <w:szCs w:val="24"/>
        </w:rPr>
        <w:t>clusion,</w:t>
      </w:r>
      <w:r>
        <w:rPr>
          <w:sz w:val="24"/>
          <w:szCs w:val="24"/>
        </w:rPr>
        <w:t xml:space="preserve"> it </w:t>
      </w:r>
      <w:r w:rsidR="00ED7474">
        <w:rPr>
          <w:sz w:val="24"/>
          <w:szCs w:val="24"/>
        </w:rPr>
        <w:t>is</w:t>
      </w:r>
      <w:r>
        <w:rPr>
          <w:sz w:val="24"/>
          <w:szCs w:val="24"/>
        </w:rPr>
        <w:t xml:space="preserve"> suggested that because women </w:t>
      </w:r>
      <w:r w:rsidR="00ED7474">
        <w:rPr>
          <w:sz w:val="24"/>
          <w:szCs w:val="24"/>
        </w:rPr>
        <w:t>fulfil</w:t>
      </w:r>
      <w:r>
        <w:rPr>
          <w:sz w:val="24"/>
          <w:szCs w:val="24"/>
        </w:rPr>
        <w:t xml:space="preserve"> the “expressive role” in the family, which entails taking care of their husband's emotional needs and raising their children, girls grow up internalising values of empathy and caring, both of which lower the likelihood of someone committing </w:t>
      </w:r>
      <w:r w:rsidR="000A3DAE">
        <w:rPr>
          <w:sz w:val="24"/>
          <w:szCs w:val="24"/>
        </w:rPr>
        <w:t xml:space="preserve">a </w:t>
      </w:r>
      <w:r>
        <w:rPr>
          <w:sz w:val="24"/>
          <w:szCs w:val="24"/>
        </w:rPr>
        <w:t>crime because, well-having empathy and caring towards others makes one less likely to harm others</w:t>
      </w:r>
      <w:sdt>
        <w:sdtPr>
          <w:rPr>
            <w:sz w:val="24"/>
            <w:szCs w:val="24"/>
          </w:rPr>
          <w:id w:val="1692110500"/>
          <w:citation/>
        </w:sdtPr>
        <w:sdtContent>
          <w:r>
            <w:rPr>
              <w:sz w:val="24"/>
              <w:szCs w:val="24"/>
            </w:rPr>
            <w:fldChar w:fldCharType="begin"/>
          </w:r>
          <w:r>
            <w:rPr>
              <w:sz w:val="24"/>
              <w:szCs w:val="24"/>
            </w:rPr>
            <w:instrText xml:space="preserve"> CITATION Tal37 \l 2057 </w:instrText>
          </w:r>
          <w:r>
            <w:rPr>
              <w:sz w:val="24"/>
              <w:szCs w:val="24"/>
            </w:rPr>
            <w:fldChar w:fldCharType="separate"/>
          </w:r>
          <w:r>
            <w:rPr>
              <w:noProof/>
              <w:sz w:val="24"/>
              <w:szCs w:val="24"/>
            </w:rPr>
            <w:t xml:space="preserve"> </w:t>
          </w:r>
          <w:r w:rsidRPr="006617AE">
            <w:rPr>
              <w:noProof/>
              <w:sz w:val="24"/>
              <w:szCs w:val="24"/>
            </w:rPr>
            <w:t>(Parsons, 1937)</w:t>
          </w:r>
          <w:r>
            <w:rPr>
              <w:sz w:val="24"/>
              <w:szCs w:val="24"/>
            </w:rPr>
            <w:fldChar w:fldCharType="end"/>
          </w:r>
        </w:sdtContent>
      </w:sdt>
      <w:r>
        <w:rPr>
          <w:sz w:val="24"/>
          <w:szCs w:val="24"/>
        </w:rPr>
        <w:t>.</w:t>
      </w:r>
      <w:r w:rsidR="000A3DAE">
        <w:rPr>
          <w:sz w:val="24"/>
          <w:szCs w:val="24"/>
        </w:rPr>
        <w:t xml:space="preserve"> Double deviance is the theory that women are treated harsher than men within the criminal justice system based on their deviance from their social norms and gender expectations</w:t>
      </w:r>
      <w:r w:rsidR="00ED7474">
        <w:rPr>
          <w:sz w:val="24"/>
          <w:szCs w:val="24"/>
        </w:rPr>
        <w:t xml:space="preserve"> </w:t>
      </w:r>
      <w:sdt>
        <w:sdtPr>
          <w:rPr>
            <w:sz w:val="24"/>
            <w:szCs w:val="24"/>
          </w:rPr>
          <w:id w:val="1005246029"/>
          <w:citation/>
        </w:sdtPr>
        <w:sdtContent>
          <w:r w:rsidR="00ED7474">
            <w:rPr>
              <w:sz w:val="24"/>
              <w:szCs w:val="24"/>
            </w:rPr>
            <w:fldChar w:fldCharType="begin"/>
          </w:r>
          <w:r w:rsidR="00ED7474">
            <w:rPr>
              <w:sz w:val="24"/>
              <w:szCs w:val="24"/>
            </w:rPr>
            <w:instrText xml:space="preserve"> CITATION Fra68 \l 2057 </w:instrText>
          </w:r>
          <w:r w:rsidR="00ED7474">
            <w:rPr>
              <w:sz w:val="24"/>
              <w:szCs w:val="24"/>
            </w:rPr>
            <w:fldChar w:fldCharType="separate"/>
          </w:r>
          <w:r w:rsidR="00ED7474" w:rsidRPr="00ED7474">
            <w:rPr>
              <w:noProof/>
              <w:sz w:val="24"/>
              <w:szCs w:val="24"/>
            </w:rPr>
            <w:t>(Heidensohn, 2010)</w:t>
          </w:r>
          <w:r w:rsidR="00ED7474">
            <w:rPr>
              <w:sz w:val="24"/>
              <w:szCs w:val="24"/>
            </w:rPr>
            <w:fldChar w:fldCharType="end"/>
          </w:r>
        </w:sdtContent>
      </w:sdt>
      <w:r w:rsidR="00ED7474">
        <w:rPr>
          <w:sz w:val="24"/>
          <w:szCs w:val="24"/>
        </w:rPr>
        <w:t xml:space="preserve">. However, based on the research conducted within this paper shows that the chivalry thesis has been mostly proved in the way in which women are treated compared to men within the criminal justice system, women are more than likely to be given more lenient sentences and are more or less likely to be let go from custody while they await trial, based on the idea that women are the caregivers of the family </w:t>
      </w:r>
      <w:sdt>
        <w:sdtPr>
          <w:rPr>
            <w:sz w:val="24"/>
            <w:szCs w:val="24"/>
          </w:rPr>
          <w:id w:val="1007013451"/>
          <w:citation/>
        </w:sdtPr>
        <w:sdtContent>
          <w:r w:rsidR="00ED7474">
            <w:rPr>
              <w:sz w:val="24"/>
              <w:szCs w:val="24"/>
            </w:rPr>
            <w:fldChar w:fldCharType="begin"/>
          </w:r>
          <w:r w:rsidR="00ED7474">
            <w:rPr>
              <w:sz w:val="24"/>
              <w:szCs w:val="24"/>
            </w:rPr>
            <w:instrText xml:space="preserve"> CITATION Mar06 \l 2057 </w:instrText>
          </w:r>
          <w:r w:rsidR="00ED7474">
            <w:rPr>
              <w:sz w:val="24"/>
              <w:szCs w:val="24"/>
            </w:rPr>
            <w:fldChar w:fldCharType="separate"/>
          </w:r>
          <w:r w:rsidR="00ED7474" w:rsidRPr="00ED7474">
            <w:rPr>
              <w:noProof/>
              <w:sz w:val="24"/>
              <w:szCs w:val="24"/>
            </w:rPr>
            <w:t>(Grabe, 2006)</w:t>
          </w:r>
          <w:r w:rsidR="00ED7474">
            <w:rPr>
              <w:sz w:val="24"/>
              <w:szCs w:val="24"/>
            </w:rPr>
            <w:fldChar w:fldCharType="end"/>
          </w:r>
        </w:sdtContent>
      </w:sdt>
      <w:r w:rsidR="00ED7474">
        <w:rPr>
          <w:sz w:val="24"/>
          <w:szCs w:val="24"/>
        </w:rPr>
        <w:t xml:space="preserve">. </w:t>
      </w:r>
    </w:p>
    <w:p w14:paraId="3A11E803" w14:textId="77777777" w:rsidR="006B06D9" w:rsidRDefault="006B06D9">
      <w:pPr>
        <w:rPr>
          <w:sz w:val="24"/>
          <w:szCs w:val="24"/>
        </w:rPr>
      </w:pPr>
    </w:p>
    <w:p w14:paraId="5009071E" w14:textId="77777777" w:rsidR="006B06D9" w:rsidRDefault="006B06D9">
      <w:pPr>
        <w:rPr>
          <w:sz w:val="24"/>
          <w:szCs w:val="24"/>
        </w:rPr>
      </w:pPr>
    </w:p>
    <w:p w14:paraId="3C91294D" w14:textId="77777777" w:rsidR="006B06D9" w:rsidRDefault="006B06D9">
      <w:pPr>
        <w:rPr>
          <w:sz w:val="24"/>
          <w:szCs w:val="24"/>
        </w:rPr>
      </w:pPr>
    </w:p>
    <w:sdt>
      <w:sdtPr>
        <w:rPr>
          <w:rFonts w:asciiTheme="minorHAnsi" w:eastAsiaTheme="minorHAnsi" w:hAnsiTheme="minorHAnsi" w:cstheme="minorBidi"/>
          <w:color w:val="auto"/>
          <w:kern w:val="2"/>
          <w:sz w:val="22"/>
          <w:szCs w:val="22"/>
          <w:lang w:val="en-GB"/>
          <w14:ligatures w14:val="standardContextual"/>
        </w:rPr>
        <w:id w:val="-849030287"/>
        <w:docPartObj>
          <w:docPartGallery w:val="Bibliographies"/>
          <w:docPartUnique/>
        </w:docPartObj>
      </w:sdtPr>
      <w:sdtContent>
        <w:p w14:paraId="1702BE80" w14:textId="68C4F331" w:rsidR="006B06D9" w:rsidRDefault="006B06D9">
          <w:pPr>
            <w:pStyle w:val="Heading1"/>
          </w:pPr>
          <w:r>
            <w:t>References</w:t>
          </w:r>
        </w:p>
        <w:sdt>
          <w:sdtPr>
            <w:id w:val="-573587230"/>
            <w:bibliography/>
          </w:sdtPr>
          <w:sdtContent>
            <w:p w14:paraId="781F6483" w14:textId="77777777" w:rsidR="006B06D9" w:rsidRDefault="006B06D9" w:rsidP="006B06D9">
              <w:pPr>
                <w:pStyle w:val="Bibliography"/>
                <w:rPr>
                  <w:noProof/>
                  <w:kern w:val="0"/>
                  <w:sz w:val="24"/>
                  <w:szCs w:val="24"/>
                  <w:lang w:val="en-US"/>
                  <w14:ligatures w14:val="none"/>
                </w:rPr>
              </w:pPr>
              <w:r>
                <w:fldChar w:fldCharType="begin"/>
              </w:r>
              <w:r>
                <w:instrText xml:space="preserve"> BIBLIOGRAPHY </w:instrText>
              </w:r>
              <w:r>
                <w:fldChar w:fldCharType="separate"/>
              </w:r>
              <w:r>
                <w:rPr>
                  <w:noProof/>
                  <w:lang w:val="en-US"/>
                </w:rPr>
                <w:t>Balfour, G., 2006. Re-imagining Feminist Crininology. pp. 735-752.</w:t>
              </w:r>
            </w:p>
            <w:p w14:paraId="675FF2CB" w14:textId="77777777" w:rsidR="006B06D9" w:rsidRDefault="006B06D9" w:rsidP="006B06D9">
              <w:pPr>
                <w:pStyle w:val="Bibliography"/>
                <w:rPr>
                  <w:noProof/>
                  <w:lang w:val="en-US"/>
                </w:rPr>
              </w:pPr>
              <w:r>
                <w:rPr>
                  <w:noProof/>
                  <w:lang w:val="en-US"/>
                </w:rPr>
                <w:t xml:space="preserve">Belknap, J., 2007. </w:t>
              </w:r>
              <w:r>
                <w:rPr>
                  <w:i/>
                  <w:iCs/>
                  <w:noProof/>
                  <w:lang w:val="en-US"/>
                </w:rPr>
                <w:t xml:space="preserve">The invisable women: Gender, crime, and justice. </w:t>
              </w:r>
              <w:r>
                <w:rPr>
                  <w:noProof/>
                  <w:lang w:val="en-US"/>
                </w:rPr>
                <w:t>3 ed. Missouri: CA: Thomson Wadsworth Publishing Company .</w:t>
              </w:r>
            </w:p>
            <w:p w14:paraId="66F243AA" w14:textId="77777777" w:rsidR="006B06D9" w:rsidRDefault="006B06D9" w:rsidP="006B06D9">
              <w:pPr>
                <w:pStyle w:val="Bibliography"/>
                <w:rPr>
                  <w:noProof/>
                  <w:lang w:val="en-US"/>
                </w:rPr>
              </w:pPr>
              <w:r>
                <w:rPr>
                  <w:noProof/>
                  <w:lang w:val="en-US"/>
                </w:rPr>
                <w:t>Cowen, B., 1995. Women and Crime - Violence and prevention of violence. Volume 1, pp. 157-168.</w:t>
              </w:r>
            </w:p>
            <w:p w14:paraId="771ABC80" w14:textId="77777777" w:rsidR="006B06D9" w:rsidRDefault="006B06D9" w:rsidP="006B06D9">
              <w:pPr>
                <w:pStyle w:val="Bibliography"/>
                <w:rPr>
                  <w:noProof/>
                  <w:lang w:val="en-US"/>
                </w:rPr>
              </w:pPr>
              <w:r>
                <w:rPr>
                  <w:noProof/>
                  <w:lang w:val="en-US"/>
                </w:rPr>
                <w:t xml:space="preserve">Grabe, M. E., 2006. Gender in crime news: A case study test of the chivalry thesis.. </w:t>
              </w:r>
              <w:r>
                <w:rPr>
                  <w:i/>
                  <w:iCs/>
                  <w:noProof/>
                  <w:lang w:val="en-US"/>
                </w:rPr>
                <w:t xml:space="preserve">Mass communications and Soceity , </w:t>
              </w:r>
              <w:r>
                <w:rPr>
                  <w:noProof/>
                  <w:lang w:val="en-US"/>
                </w:rPr>
                <w:t>9(2), pp. 137-163.</w:t>
              </w:r>
            </w:p>
            <w:p w14:paraId="57BE8258" w14:textId="77777777" w:rsidR="006B06D9" w:rsidRDefault="006B06D9" w:rsidP="006B06D9">
              <w:pPr>
                <w:pStyle w:val="Bibliography"/>
                <w:rPr>
                  <w:noProof/>
                  <w:lang w:val="en-US"/>
                </w:rPr>
              </w:pPr>
              <w:r>
                <w:rPr>
                  <w:noProof/>
                  <w:lang w:val="en-US"/>
                </w:rPr>
                <w:t>Heidensohn, F., 1996. Women and crime . In: London : Palgrave Macmillian Limited , p. 260.</w:t>
              </w:r>
            </w:p>
            <w:p w14:paraId="429B4FF2" w14:textId="77777777" w:rsidR="006B06D9" w:rsidRDefault="006B06D9" w:rsidP="006B06D9">
              <w:pPr>
                <w:pStyle w:val="Bibliography"/>
                <w:rPr>
                  <w:noProof/>
                  <w:lang w:val="en-US"/>
                </w:rPr>
              </w:pPr>
              <w:r>
                <w:rPr>
                  <w:noProof/>
                  <w:lang w:val="en-US"/>
                </w:rPr>
                <w:t xml:space="preserve">Heidensohn, F., 2010. The Deviance of women: A critique and an Enquiry. </w:t>
              </w:r>
              <w:r>
                <w:rPr>
                  <w:i/>
                  <w:iCs/>
                  <w:noProof/>
                  <w:lang w:val="en-US"/>
                </w:rPr>
                <w:t xml:space="preserve">The British Journal of Sociology, </w:t>
              </w:r>
              <w:r>
                <w:rPr>
                  <w:noProof/>
                  <w:lang w:val="en-US"/>
                </w:rPr>
                <w:t>pp. 160-175.</w:t>
              </w:r>
            </w:p>
            <w:p w14:paraId="5B56D8EB" w14:textId="77777777" w:rsidR="006B06D9" w:rsidRDefault="006B06D9" w:rsidP="006B06D9">
              <w:pPr>
                <w:pStyle w:val="Bibliography"/>
                <w:rPr>
                  <w:noProof/>
                  <w:lang w:val="en-US"/>
                </w:rPr>
              </w:pPr>
              <w:r>
                <w:rPr>
                  <w:noProof/>
                  <w:lang w:val="en-US"/>
                </w:rPr>
                <w:t xml:space="preserve">Herzog, S., 2008. Chivalry and the moderating effect of ambivalent sexism: Indivudal differences in crime and serious judgments. </w:t>
              </w:r>
              <w:r>
                <w:rPr>
                  <w:i/>
                  <w:iCs/>
                  <w:noProof/>
                  <w:lang w:val="en-US"/>
                </w:rPr>
                <w:t xml:space="preserve">Law and society review , </w:t>
              </w:r>
              <w:r>
                <w:rPr>
                  <w:noProof/>
                  <w:lang w:val="en-US"/>
                </w:rPr>
                <w:t>42(1), pp. 45-74.</w:t>
              </w:r>
            </w:p>
            <w:p w14:paraId="2DCC9FB1" w14:textId="77777777" w:rsidR="006B06D9" w:rsidRDefault="006B06D9" w:rsidP="006B06D9">
              <w:pPr>
                <w:pStyle w:val="Bibliography"/>
                <w:rPr>
                  <w:noProof/>
                  <w:lang w:val="en-US"/>
                </w:rPr>
              </w:pPr>
              <w:r>
                <w:rPr>
                  <w:noProof/>
                  <w:lang w:val="en-US"/>
                </w:rPr>
                <w:t>Miller, J., 2010. Commentary on Heidensohn’s ‘The deviance of women': continuity and change over four decades of research on gender, crime and social control. pp. 135-136.</w:t>
              </w:r>
            </w:p>
            <w:p w14:paraId="1E17077E" w14:textId="77777777" w:rsidR="006B06D9" w:rsidRDefault="006B06D9" w:rsidP="006B06D9">
              <w:pPr>
                <w:pStyle w:val="Bibliography"/>
                <w:rPr>
                  <w:noProof/>
                  <w:lang w:val="en-US"/>
                </w:rPr>
              </w:pPr>
              <w:r>
                <w:rPr>
                  <w:noProof/>
                  <w:lang w:val="en-US"/>
                </w:rPr>
                <w:t xml:space="preserve">Ministry of Justice , 2020. </w:t>
              </w:r>
              <w:r>
                <w:rPr>
                  <w:i/>
                  <w:iCs/>
                  <w:noProof/>
                  <w:lang w:val="en-US"/>
                </w:rPr>
                <w:t xml:space="preserve">Women and the criminal justice system 2019. </w:t>
              </w:r>
              <w:r>
                <w:rPr>
                  <w:noProof/>
                  <w:lang w:val="en-US"/>
                </w:rPr>
                <w:t xml:space="preserve">[Online] </w:t>
              </w:r>
              <w:r>
                <w:rPr>
                  <w:noProof/>
                  <w:lang w:val="en-US"/>
                </w:rPr>
                <w:br/>
                <w:t xml:space="preserve">Available at: </w:t>
              </w:r>
              <w:r>
                <w:rPr>
                  <w:noProof/>
                  <w:u w:val="single"/>
                  <w:lang w:val="en-US"/>
                </w:rPr>
                <w:t>https://www.gov.uk/government/statistics/women-and-the-criminal-justice-system-2019/women-and-the-criminal-justice-system-2019</w:t>
              </w:r>
              <w:r>
                <w:rPr>
                  <w:noProof/>
                  <w:lang w:val="en-US"/>
                </w:rPr>
                <w:br/>
                <w:t>[Accessed 11 November 2023].</w:t>
              </w:r>
            </w:p>
            <w:p w14:paraId="74873D78" w14:textId="77777777" w:rsidR="006B06D9" w:rsidRDefault="006B06D9" w:rsidP="006B06D9">
              <w:pPr>
                <w:pStyle w:val="Bibliography"/>
                <w:rPr>
                  <w:noProof/>
                  <w:lang w:val="en-US"/>
                </w:rPr>
              </w:pPr>
              <w:r>
                <w:rPr>
                  <w:noProof/>
                  <w:lang w:val="en-US"/>
                </w:rPr>
                <w:t xml:space="preserve">Ministry Of Justice, 2021. </w:t>
              </w:r>
              <w:r>
                <w:rPr>
                  <w:i/>
                  <w:iCs/>
                  <w:noProof/>
                  <w:lang w:val="en-US"/>
                </w:rPr>
                <w:t xml:space="preserve">Women and the criminal justice system 2021. </w:t>
              </w:r>
              <w:r>
                <w:rPr>
                  <w:noProof/>
                  <w:lang w:val="en-US"/>
                </w:rPr>
                <w:t xml:space="preserve">[Online] </w:t>
              </w:r>
              <w:r>
                <w:rPr>
                  <w:noProof/>
                  <w:lang w:val="en-US"/>
                </w:rPr>
                <w:br/>
                <w:t xml:space="preserve">Available at: </w:t>
              </w:r>
              <w:r>
                <w:rPr>
                  <w:noProof/>
                  <w:u w:val="single"/>
                  <w:lang w:val="en-US"/>
                </w:rPr>
                <w:t>https://www.gov.uk/government/statistics/women-and-the-criminal-justice-system-2021/women-and-the-criminal-justice-system-2021</w:t>
              </w:r>
              <w:r>
                <w:rPr>
                  <w:noProof/>
                  <w:lang w:val="en-US"/>
                </w:rPr>
                <w:br/>
                <w:t>[Accessed 6 November 2023].</w:t>
              </w:r>
            </w:p>
            <w:p w14:paraId="034E167D" w14:textId="77777777" w:rsidR="006B06D9" w:rsidRDefault="006B06D9" w:rsidP="006B06D9">
              <w:pPr>
                <w:pStyle w:val="Bibliography"/>
                <w:rPr>
                  <w:noProof/>
                  <w:lang w:val="en-US"/>
                </w:rPr>
              </w:pPr>
              <w:r>
                <w:rPr>
                  <w:noProof/>
                  <w:lang w:val="en-US"/>
                </w:rPr>
                <w:lastRenderedPageBreak/>
                <w:t>Moore, L. &amp; Scraton, P., 2016. Doing Gendered time: The harms of women's incarceration. In: London: Routledge LTD, pp. 549-567.</w:t>
              </w:r>
            </w:p>
            <w:p w14:paraId="65C1707B" w14:textId="77777777" w:rsidR="006B06D9" w:rsidRDefault="006B06D9" w:rsidP="006B06D9">
              <w:pPr>
                <w:pStyle w:val="Bibliography"/>
                <w:rPr>
                  <w:noProof/>
                  <w:lang w:val="en-US"/>
                </w:rPr>
              </w:pPr>
              <w:r>
                <w:rPr>
                  <w:noProof/>
                  <w:lang w:val="en-US"/>
                </w:rPr>
                <w:t xml:space="preserve">Mulvihill, N., 2020. </w:t>
              </w:r>
              <w:r>
                <w:rPr>
                  <w:i/>
                  <w:iCs/>
                  <w:noProof/>
                  <w:lang w:val="en-US"/>
                </w:rPr>
                <w:t xml:space="preserve">Lady MacBeth and Double Deivance. </w:t>
              </w:r>
              <w:r>
                <w:rPr>
                  <w:noProof/>
                  <w:lang w:val="en-US"/>
                </w:rPr>
                <w:t xml:space="preserve">[Online] </w:t>
              </w:r>
              <w:r>
                <w:rPr>
                  <w:noProof/>
                  <w:lang w:val="en-US"/>
                </w:rPr>
                <w:br/>
                <w:t xml:space="preserve">Available at: </w:t>
              </w:r>
              <w:r>
                <w:rPr>
                  <w:noProof/>
                  <w:u w:val="single"/>
                  <w:lang w:val="en-US"/>
                </w:rPr>
                <w:t>https://criminologytales.com/2020/06/27/26-june-20-lady-macbeth-and-double-deviance/#:~:text=Carol%20Smart%20%281976%29%20argued%20that%20the%20gender%20expectations,and%20the%20criminal%20justice%20system%20as%20%E2%80%98doubly%20deviant%E2%80%99.</w:t>
              </w:r>
              <w:r>
                <w:rPr>
                  <w:noProof/>
                  <w:lang w:val="en-US"/>
                </w:rPr>
                <w:br/>
                <w:t>[Accessed 31 October 2023].</w:t>
              </w:r>
            </w:p>
            <w:p w14:paraId="49050BEE" w14:textId="77777777" w:rsidR="006B06D9" w:rsidRDefault="006B06D9" w:rsidP="006B06D9">
              <w:pPr>
                <w:pStyle w:val="Bibliography"/>
                <w:rPr>
                  <w:noProof/>
                  <w:lang w:val="en-US"/>
                </w:rPr>
              </w:pPr>
              <w:r>
                <w:rPr>
                  <w:noProof/>
                  <w:lang w:val="en-US"/>
                </w:rPr>
                <w:t xml:space="preserve">Murphy , E. &amp; Brown, J., 2000. Exploring gender role indenity, value orientation of occupation and sex of respondant influencing attitues towards male and female offenders. </w:t>
              </w:r>
              <w:r>
                <w:rPr>
                  <w:i/>
                  <w:iCs/>
                  <w:noProof/>
                  <w:lang w:val="en-US"/>
                </w:rPr>
                <w:t xml:space="preserve">Legal and Criminological psychology, </w:t>
              </w:r>
              <w:r>
                <w:rPr>
                  <w:noProof/>
                  <w:lang w:val="en-US"/>
                </w:rPr>
                <w:t>5(2), pp. 285-290.</w:t>
              </w:r>
            </w:p>
            <w:p w14:paraId="61A793DB" w14:textId="77777777" w:rsidR="006B06D9" w:rsidRDefault="006B06D9" w:rsidP="006B06D9">
              <w:pPr>
                <w:pStyle w:val="Bibliography"/>
                <w:rPr>
                  <w:noProof/>
                  <w:lang w:val="en-US"/>
                </w:rPr>
              </w:pPr>
              <w:r>
                <w:rPr>
                  <w:noProof/>
                  <w:lang w:val="en-US"/>
                </w:rPr>
                <w:t xml:space="preserve">Parsons, T., 1937. </w:t>
              </w:r>
              <w:r>
                <w:rPr>
                  <w:i/>
                  <w:iCs/>
                  <w:noProof/>
                  <w:lang w:val="en-US"/>
                </w:rPr>
                <w:t xml:space="preserve">The structure of social action. </w:t>
              </w:r>
              <w:r>
                <w:rPr>
                  <w:noProof/>
                  <w:lang w:val="en-US"/>
                </w:rPr>
                <w:t>New York: MW Books.</w:t>
              </w:r>
            </w:p>
            <w:p w14:paraId="74E03610" w14:textId="77777777" w:rsidR="006B06D9" w:rsidRDefault="006B06D9" w:rsidP="006B06D9">
              <w:pPr>
                <w:pStyle w:val="Bibliography"/>
                <w:rPr>
                  <w:noProof/>
                  <w:lang w:val="en-US"/>
                </w:rPr>
              </w:pPr>
              <w:r>
                <w:rPr>
                  <w:noProof/>
                  <w:lang w:val="en-US"/>
                </w:rPr>
                <w:t>Seaman, V. &amp; Lynch, O., 2022. The Routledge Hnadbook of women's experiences of criminal justice . In: London: Routledge International , p. 12.</w:t>
              </w:r>
            </w:p>
            <w:p w14:paraId="5886E72B" w14:textId="77777777" w:rsidR="006B06D9" w:rsidRDefault="006B06D9" w:rsidP="006B06D9">
              <w:pPr>
                <w:pStyle w:val="Bibliography"/>
                <w:rPr>
                  <w:noProof/>
                  <w:lang w:val="en-US"/>
                </w:rPr>
              </w:pPr>
              <w:r>
                <w:rPr>
                  <w:noProof/>
                  <w:lang w:val="en-US"/>
                </w:rPr>
                <w:t xml:space="preserve">Skewes, L., Fine, C. &amp; Haslam, N., 2018. </w:t>
              </w:r>
              <w:r>
                <w:rPr>
                  <w:i/>
                  <w:iCs/>
                  <w:noProof/>
                  <w:lang w:val="en-US"/>
                </w:rPr>
                <w:t xml:space="preserve">Beyound mars and venus: The role of gender essentialism in support for gender ineqaulity and backlash. </w:t>
              </w:r>
              <w:r>
                <w:rPr>
                  <w:noProof/>
                  <w:lang w:val="en-US"/>
                </w:rPr>
                <w:t>Spain: PLoS ONE.</w:t>
              </w:r>
            </w:p>
            <w:p w14:paraId="4A5F3111" w14:textId="77777777" w:rsidR="006B06D9" w:rsidRDefault="006B06D9" w:rsidP="006B06D9">
              <w:pPr>
                <w:pStyle w:val="Bibliography"/>
                <w:rPr>
                  <w:noProof/>
                  <w:lang w:val="en-US"/>
                </w:rPr>
              </w:pPr>
              <w:r>
                <w:rPr>
                  <w:noProof/>
                  <w:lang w:val="en-US"/>
                </w:rPr>
                <w:t xml:space="preserve">Smart, C., 1976. </w:t>
              </w:r>
              <w:r>
                <w:rPr>
                  <w:i/>
                  <w:iCs/>
                  <w:noProof/>
                  <w:lang w:val="en-US"/>
                </w:rPr>
                <w:t xml:space="preserve">Women, Crime and Criminology. </w:t>
              </w:r>
              <w:r>
                <w:rPr>
                  <w:noProof/>
                  <w:lang w:val="en-US"/>
                </w:rPr>
                <w:t>London: Routledge and kegan Paul LTD.</w:t>
              </w:r>
            </w:p>
            <w:p w14:paraId="40EA27DA" w14:textId="77777777" w:rsidR="006B06D9" w:rsidRDefault="006B06D9" w:rsidP="006B06D9">
              <w:pPr>
                <w:pStyle w:val="Bibliography"/>
                <w:rPr>
                  <w:noProof/>
                  <w:lang w:val="en-US"/>
                </w:rPr>
              </w:pPr>
              <w:r>
                <w:rPr>
                  <w:noProof/>
                  <w:lang w:val="en-US"/>
                </w:rPr>
                <w:t xml:space="preserve">Smith, L., 2015. </w:t>
              </w:r>
              <w:r>
                <w:rPr>
                  <w:i/>
                  <w:iCs/>
                  <w:noProof/>
                  <w:lang w:val="en-US"/>
                </w:rPr>
                <w:t xml:space="preserve">Women in prison - it is eqaulity to treat female offenders differently to men. </w:t>
              </w:r>
              <w:r>
                <w:rPr>
                  <w:noProof/>
                  <w:lang w:val="en-US"/>
                </w:rPr>
                <w:t xml:space="preserve">[Online] </w:t>
              </w:r>
              <w:r>
                <w:rPr>
                  <w:noProof/>
                  <w:lang w:val="en-US"/>
                </w:rPr>
                <w:br/>
                <w:t xml:space="preserve">Available at: </w:t>
              </w:r>
              <w:r>
                <w:rPr>
                  <w:noProof/>
                  <w:u w:val="single"/>
                  <w:lang w:val="en-US"/>
                </w:rPr>
                <w:t>https://www.ibtimes.co.uk/women-prison-it-equality-treat-female-offenders-differently-men-1485740</w:t>
              </w:r>
              <w:r>
                <w:rPr>
                  <w:noProof/>
                  <w:lang w:val="en-US"/>
                </w:rPr>
                <w:br/>
                <w:t>[Accessed 7 November 2023].</w:t>
              </w:r>
            </w:p>
            <w:p w14:paraId="7207A564" w14:textId="77777777" w:rsidR="006B06D9" w:rsidRDefault="006B06D9" w:rsidP="006B06D9">
              <w:pPr>
                <w:pStyle w:val="Bibliography"/>
                <w:rPr>
                  <w:noProof/>
                  <w:lang w:val="en-US"/>
                </w:rPr>
              </w:pPr>
              <w:r>
                <w:rPr>
                  <w:noProof/>
                  <w:lang w:val="en-US"/>
                </w:rPr>
                <w:t xml:space="preserve">Tillyer, R., 2015. Differential treatment of female defendatns. </w:t>
              </w:r>
              <w:r>
                <w:rPr>
                  <w:i/>
                  <w:iCs/>
                  <w:noProof/>
                  <w:lang w:val="en-US"/>
                </w:rPr>
                <w:t xml:space="preserve">Criminal justice and behaviour, </w:t>
              </w:r>
              <w:r>
                <w:rPr>
                  <w:noProof/>
                  <w:lang w:val="en-US"/>
                </w:rPr>
                <w:t>pp. 703-721.</w:t>
              </w:r>
            </w:p>
            <w:p w14:paraId="2A60ED4F" w14:textId="77777777" w:rsidR="006B06D9" w:rsidRDefault="006B06D9" w:rsidP="006B06D9">
              <w:pPr>
                <w:pStyle w:val="Bibliography"/>
                <w:rPr>
                  <w:noProof/>
                  <w:lang w:val="en-US"/>
                </w:rPr>
              </w:pPr>
              <w:r>
                <w:rPr>
                  <w:noProof/>
                  <w:lang w:val="en-US"/>
                </w:rPr>
                <w:lastRenderedPageBreak/>
                <w:t xml:space="preserve">Trueman, C., 2015. </w:t>
              </w:r>
              <w:r>
                <w:rPr>
                  <w:i/>
                  <w:iCs/>
                  <w:noProof/>
                  <w:lang w:val="en-US"/>
                </w:rPr>
                <w:t xml:space="preserve">Gender Bias and Punishment. </w:t>
              </w:r>
              <w:r>
                <w:rPr>
                  <w:noProof/>
                  <w:lang w:val="en-US"/>
                </w:rPr>
                <w:t xml:space="preserve">[Online] </w:t>
              </w:r>
              <w:r>
                <w:rPr>
                  <w:noProof/>
                  <w:lang w:val="en-US"/>
                </w:rPr>
                <w:br/>
                <w:t xml:space="preserve">Available at: </w:t>
              </w:r>
              <w:r>
                <w:rPr>
                  <w:noProof/>
                  <w:u w:val="single"/>
                  <w:lang w:val="en-US"/>
                </w:rPr>
                <w:t>https://www.historylearningsite.co.uk/sociology/crime-and-deviance/gender-bias-and-punishment/</w:t>
              </w:r>
              <w:r>
                <w:rPr>
                  <w:noProof/>
                  <w:lang w:val="en-US"/>
                </w:rPr>
                <w:br/>
                <w:t>[Accessed 1 November 2023].</w:t>
              </w:r>
            </w:p>
            <w:p w14:paraId="637CAC77" w14:textId="77777777" w:rsidR="006B06D9" w:rsidRDefault="006B06D9" w:rsidP="006B06D9">
              <w:pPr>
                <w:pStyle w:val="Bibliography"/>
                <w:rPr>
                  <w:noProof/>
                  <w:lang w:val="en-US"/>
                </w:rPr>
              </w:pPr>
              <w:r>
                <w:rPr>
                  <w:noProof/>
                  <w:lang w:val="en-US"/>
                </w:rPr>
                <w:t xml:space="preserve">Whitehead, S., 2022. </w:t>
              </w:r>
              <w:r>
                <w:rPr>
                  <w:i/>
                  <w:iCs/>
                  <w:noProof/>
                  <w:lang w:val="en-US"/>
                </w:rPr>
                <w:t xml:space="preserve">Double Deviant: Criminalisation of and attitudes towards female 'sin' in nineteenth century Britian. </w:t>
              </w:r>
              <w:r>
                <w:rPr>
                  <w:noProof/>
                  <w:lang w:val="en-US"/>
                </w:rPr>
                <w:t xml:space="preserve">[Online] </w:t>
              </w:r>
              <w:r>
                <w:rPr>
                  <w:noProof/>
                  <w:lang w:val="en-US"/>
                </w:rPr>
                <w:br/>
                <w:t xml:space="preserve">Available at: </w:t>
              </w:r>
              <w:r>
                <w:rPr>
                  <w:noProof/>
                  <w:u w:val="single"/>
                  <w:lang w:val="en-US"/>
                </w:rPr>
                <w:t>https://retrospectjournal.com/2022/04/03/double-deviant-the-criminalisation-of-and-attitudes-towards-female-sin-in-nineteenth-century-britain/</w:t>
              </w:r>
              <w:r>
                <w:rPr>
                  <w:noProof/>
                  <w:lang w:val="en-US"/>
                </w:rPr>
                <w:br/>
                <w:t>[Accessed 11 November 2023].</w:t>
              </w:r>
            </w:p>
            <w:p w14:paraId="5F52EE45" w14:textId="5A256C9F" w:rsidR="006B06D9" w:rsidRDefault="006B06D9" w:rsidP="006B06D9">
              <w:r>
                <w:rPr>
                  <w:b/>
                  <w:bCs/>
                  <w:noProof/>
                </w:rPr>
                <w:fldChar w:fldCharType="end"/>
              </w:r>
            </w:p>
          </w:sdtContent>
        </w:sdt>
      </w:sdtContent>
    </w:sdt>
    <w:p w14:paraId="5F9C8064" w14:textId="77777777" w:rsidR="006B06D9" w:rsidRDefault="006B06D9">
      <w:pPr>
        <w:rPr>
          <w:sz w:val="24"/>
          <w:szCs w:val="24"/>
        </w:rPr>
      </w:pPr>
    </w:p>
    <w:p w14:paraId="292EF4FC" w14:textId="77777777" w:rsidR="00ED7474" w:rsidRDefault="00ED7474">
      <w:pPr>
        <w:rPr>
          <w:sz w:val="24"/>
          <w:szCs w:val="24"/>
        </w:rPr>
      </w:pPr>
    </w:p>
    <w:p w14:paraId="0FBE73CB" w14:textId="77777777" w:rsidR="00023DFC" w:rsidRDefault="00023DFC">
      <w:pPr>
        <w:rPr>
          <w:sz w:val="24"/>
          <w:szCs w:val="24"/>
        </w:rPr>
      </w:pPr>
    </w:p>
    <w:p w14:paraId="4216E19A" w14:textId="77777777" w:rsidR="00EE59C8" w:rsidRDefault="00EE59C8">
      <w:pPr>
        <w:rPr>
          <w:sz w:val="24"/>
          <w:szCs w:val="24"/>
        </w:rPr>
      </w:pPr>
    </w:p>
    <w:p w14:paraId="4CA8AE86" w14:textId="6271C995" w:rsidR="00AD4EF5" w:rsidRDefault="00AD4EF5">
      <w:pPr>
        <w:rPr>
          <w:sz w:val="24"/>
          <w:szCs w:val="24"/>
        </w:rPr>
      </w:pPr>
    </w:p>
    <w:p w14:paraId="374C698E" w14:textId="77777777" w:rsidR="00AD4EF5" w:rsidRPr="00986025" w:rsidRDefault="00AD4EF5">
      <w:pPr>
        <w:rPr>
          <w:sz w:val="24"/>
          <w:szCs w:val="24"/>
          <w:vertAlign w:val="subscript"/>
        </w:rPr>
      </w:pPr>
    </w:p>
    <w:p w14:paraId="1DEB035F" w14:textId="77777777" w:rsidR="00452747" w:rsidRDefault="00452747">
      <w:pPr>
        <w:rPr>
          <w:sz w:val="24"/>
          <w:szCs w:val="24"/>
        </w:rPr>
      </w:pPr>
    </w:p>
    <w:p w14:paraId="33005DBE" w14:textId="77777777" w:rsidR="00452747" w:rsidRDefault="00452747">
      <w:pPr>
        <w:rPr>
          <w:sz w:val="24"/>
          <w:szCs w:val="24"/>
        </w:rPr>
      </w:pPr>
    </w:p>
    <w:p w14:paraId="3BC182F9" w14:textId="097A4DEC" w:rsidR="005A701B" w:rsidRPr="00830CA5" w:rsidRDefault="005A701B">
      <w:pPr>
        <w:rPr>
          <w:sz w:val="24"/>
          <w:szCs w:val="24"/>
        </w:rPr>
      </w:pPr>
    </w:p>
    <w:sectPr w:rsidR="005A701B" w:rsidRPr="00830CA5" w:rsidSect="00A163A5">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9"/>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63A5"/>
    <w:rsid w:val="00004BA1"/>
    <w:rsid w:val="00023DFC"/>
    <w:rsid w:val="000953C6"/>
    <w:rsid w:val="000A3DAE"/>
    <w:rsid w:val="000B02E9"/>
    <w:rsid w:val="000B688C"/>
    <w:rsid w:val="001014A3"/>
    <w:rsid w:val="001734E3"/>
    <w:rsid w:val="00197EE1"/>
    <w:rsid w:val="001B7949"/>
    <w:rsid w:val="002477B2"/>
    <w:rsid w:val="002C20A3"/>
    <w:rsid w:val="00301076"/>
    <w:rsid w:val="003A7282"/>
    <w:rsid w:val="003D2184"/>
    <w:rsid w:val="004219C0"/>
    <w:rsid w:val="00434BE4"/>
    <w:rsid w:val="00435644"/>
    <w:rsid w:val="00452747"/>
    <w:rsid w:val="00462E77"/>
    <w:rsid w:val="004A7434"/>
    <w:rsid w:val="005260BA"/>
    <w:rsid w:val="005926FB"/>
    <w:rsid w:val="005A701B"/>
    <w:rsid w:val="005E32BE"/>
    <w:rsid w:val="005E75B0"/>
    <w:rsid w:val="006617AE"/>
    <w:rsid w:val="006A56B3"/>
    <w:rsid w:val="006B06D9"/>
    <w:rsid w:val="007306A2"/>
    <w:rsid w:val="00751C9A"/>
    <w:rsid w:val="00803280"/>
    <w:rsid w:val="00814A91"/>
    <w:rsid w:val="00830CA5"/>
    <w:rsid w:val="00834081"/>
    <w:rsid w:val="008E77FB"/>
    <w:rsid w:val="00942CB3"/>
    <w:rsid w:val="00986025"/>
    <w:rsid w:val="009A279D"/>
    <w:rsid w:val="00A05016"/>
    <w:rsid w:val="00A163A5"/>
    <w:rsid w:val="00A358E4"/>
    <w:rsid w:val="00AD4EF5"/>
    <w:rsid w:val="00AF07FF"/>
    <w:rsid w:val="00AF2A94"/>
    <w:rsid w:val="00B32F4F"/>
    <w:rsid w:val="00B77E43"/>
    <w:rsid w:val="00BB771D"/>
    <w:rsid w:val="00C24321"/>
    <w:rsid w:val="00C24419"/>
    <w:rsid w:val="00C61829"/>
    <w:rsid w:val="00CC2A6C"/>
    <w:rsid w:val="00D42B80"/>
    <w:rsid w:val="00D70E91"/>
    <w:rsid w:val="00D84C80"/>
    <w:rsid w:val="00DD5EEC"/>
    <w:rsid w:val="00DD7E9B"/>
    <w:rsid w:val="00E05668"/>
    <w:rsid w:val="00ED7474"/>
    <w:rsid w:val="00EE59C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3F2C0438"/>
  <w15:docId w15:val="{C0427516-BAE9-4846-A46B-81AAF6C4D13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48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B06D9"/>
    <w:pPr>
      <w:keepNext/>
      <w:keepLines/>
      <w:spacing w:before="240" w:after="0" w:line="259" w:lineRule="auto"/>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A163A5"/>
    <w:pPr>
      <w:spacing w:after="0" w:line="240" w:lineRule="auto"/>
    </w:pPr>
    <w:rPr>
      <w:rFonts w:eastAsiaTheme="minorEastAsia"/>
      <w:kern w:val="0"/>
      <w:lang w:val="en-US"/>
      <w14:ligatures w14:val="none"/>
    </w:rPr>
  </w:style>
  <w:style w:type="character" w:customStyle="1" w:styleId="NoSpacingChar">
    <w:name w:val="No Spacing Char"/>
    <w:basedOn w:val="DefaultParagraphFont"/>
    <w:link w:val="NoSpacing"/>
    <w:uiPriority w:val="1"/>
    <w:rsid w:val="00A163A5"/>
    <w:rPr>
      <w:rFonts w:eastAsiaTheme="minorEastAsia"/>
      <w:kern w:val="0"/>
      <w:lang w:val="en-US"/>
      <w14:ligatures w14:val="none"/>
    </w:rPr>
  </w:style>
  <w:style w:type="character" w:styleId="Hyperlink">
    <w:name w:val="Hyperlink"/>
    <w:basedOn w:val="DefaultParagraphFont"/>
    <w:uiPriority w:val="99"/>
    <w:semiHidden/>
    <w:unhideWhenUsed/>
    <w:rsid w:val="005A701B"/>
    <w:rPr>
      <w:color w:val="0000FF"/>
      <w:u w:val="single"/>
    </w:rPr>
  </w:style>
  <w:style w:type="character" w:styleId="FollowedHyperlink">
    <w:name w:val="FollowedHyperlink"/>
    <w:basedOn w:val="DefaultParagraphFont"/>
    <w:uiPriority w:val="99"/>
    <w:semiHidden/>
    <w:unhideWhenUsed/>
    <w:rsid w:val="00452747"/>
    <w:rPr>
      <w:color w:val="954F72" w:themeColor="followedHyperlink"/>
      <w:u w:val="single"/>
    </w:rPr>
  </w:style>
  <w:style w:type="character" w:customStyle="1" w:styleId="Heading1Char">
    <w:name w:val="Heading 1 Char"/>
    <w:basedOn w:val="DefaultParagraphFont"/>
    <w:link w:val="Heading1"/>
    <w:uiPriority w:val="9"/>
    <w:rsid w:val="006B06D9"/>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6B06D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56898575">
      <w:bodyDiv w:val="1"/>
      <w:marLeft w:val="0"/>
      <w:marRight w:val="0"/>
      <w:marTop w:val="0"/>
      <w:marBottom w:val="0"/>
      <w:divBdr>
        <w:top w:val="none" w:sz="0" w:space="0" w:color="auto"/>
        <w:left w:val="none" w:sz="0" w:space="0" w:color="auto"/>
        <w:bottom w:val="none" w:sz="0" w:space="0" w:color="auto"/>
        <w:right w:val="none" w:sz="0" w:space="0" w:color="auto"/>
      </w:divBdr>
    </w:div>
    <w:div w:id="87895859">
      <w:bodyDiv w:val="1"/>
      <w:marLeft w:val="0"/>
      <w:marRight w:val="0"/>
      <w:marTop w:val="0"/>
      <w:marBottom w:val="0"/>
      <w:divBdr>
        <w:top w:val="none" w:sz="0" w:space="0" w:color="auto"/>
        <w:left w:val="none" w:sz="0" w:space="0" w:color="auto"/>
        <w:bottom w:val="none" w:sz="0" w:space="0" w:color="auto"/>
        <w:right w:val="none" w:sz="0" w:space="0" w:color="auto"/>
      </w:divBdr>
    </w:div>
    <w:div w:id="149294446">
      <w:bodyDiv w:val="1"/>
      <w:marLeft w:val="0"/>
      <w:marRight w:val="0"/>
      <w:marTop w:val="0"/>
      <w:marBottom w:val="0"/>
      <w:divBdr>
        <w:top w:val="none" w:sz="0" w:space="0" w:color="auto"/>
        <w:left w:val="none" w:sz="0" w:space="0" w:color="auto"/>
        <w:bottom w:val="none" w:sz="0" w:space="0" w:color="auto"/>
        <w:right w:val="none" w:sz="0" w:space="0" w:color="auto"/>
      </w:divBdr>
    </w:div>
    <w:div w:id="193660881">
      <w:bodyDiv w:val="1"/>
      <w:marLeft w:val="0"/>
      <w:marRight w:val="0"/>
      <w:marTop w:val="0"/>
      <w:marBottom w:val="0"/>
      <w:divBdr>
        <w:top w:val="none" w:sz="0" w:space="0" w:color="auto"/>
        <w:left w:val="none" w:sz="0" w:space="0" w:color="auto"/>
        <w:bottom w:val="none" w:sz="0" w:space="0" w:color="auto"/>
        <w:right w:val="none" w:sz="0" w:space="0" w:color="auto"/>
      </w:divBdr>
    </w:div>
    <w:div w:id="574971186">
      <w:bodyDiv w:val="1"/>
      <w:marLeft w:val="0"/>
      <w:marRight w:val="0"/>
      <w:marTop w:val="0"/>
      <w:marBottom w:val="0"/>
      <w:divBdr>
        <w:top w:val="none" w:sz="0" w:space="0" w:color="auto"/>
        <w:left w:val="none" w:sz="0" w:space="0" w:color="auto"/>
        <w:bottom w:val="none" w:sz="0" w:space="0" w:color="auto"/>
        <w:right w:val="none" w:sz="0" w:space="0" w:color="auto"/>
      </w:divBdr>
    </w:div>
    <w:div w:id="746726095">
      <w:bodyDiv w:val="1"/>
      <w:marLeft w:val="0"/>
      <w:marRight w:val="0"/>
      <w:marTop w:val="0"/>
      <w:marBottom w:val="0"/>
      <w:divBdr>
        <w:top w:val="none" w:sz="0" w:space="0" w:color="auto"/>
        <w:left w:val="none" w:sz="0" w:space="0" w:color="auto"/>
        <w:bottom w:val="none" w:sz="0" w:space="0" w:color="auto"/>
        <w:right w:val="none" w:sz="0" w:space="0" w:color="auto"/>
      </w:divBdr>
    </w:div>
    <w:div w:id="798762320">
      <w:bodyDiv w:val="1"/>
      <w:marLeft w:val="0"/>
      <w:marRight w:val="0"/>
      <w:marTop w:val="0"/>
      <w:marBottom w:val="0"/>
      <w:divBdr>
        <w:top w:val="none" w:sz="0" w:space="0" w:color="auto"/>
        <w:left w:val="none" w:sz="0" w:space="0" w:color="auto"/>
        <w:bottom w:val="none" w:sz="0" w:space="0" w:color="auto"/>
        <w:right w:val="none" w:sz="0" w:space="0" w:color="auto"/>
      </w:divBdr>
    </w:div>
    <w:div w:id="1223909234">
      <w:bodyDiv w:val="1"/>
      <w:marLeft w:val="0"/>
      <w:marRight w:val="0"/>
      <w:marTop w:val="0"/>
      <w:marBottom w:val="0"/>
      <w:divBdr>
        <w:top w:val="none" w:sz="0" w:space="0" w:color="auto"/>
        <w:left w:val="none" w:sz="0" w:space="0" w:color="auto"/>
        <w:bottom w:val="none" w:sz="0" w:space="0" w:color="auto"/>
        <w:right w:val="none" w:sz="0" w:space="0" w:color="auto"/>
      </w:divBdr>
    </w:div>
    <w:div w:id="1224875736">
      <w:bodyDiv w:val="1"/>
      <w:marLeft w:val="0"/>
      <w:marRight w:val="0"/>
      <w:marTop w:val="0"/>
      <w:marBottom w:val="0"/>
      <w:divBdr>
        <w:top w:val="none" w:sz="0" w:space="0" w:color="auto"/>
        <w:left w:val="none" w:sz="0" w:space="0" w:color="auto"/>
        <w:bottom w:val="none" w:sz="0" w:space="0" w:color="auto"/>
        <w:right w:val="none" w:sz="0" w:space="0" w:color="auto"/>
      </w:divBdr>
    </w:div>
    <w:div w:id="1229805073">
      <w:bodyDiv w:val="1"/>
      <w:marLeft w:val="0"/>
      <w:marRight w:val="0"/>
      <w:marTop w:val="0"/>
      <w:marBottom w:val="0"/>
      <w:divBdr>
        <w:top w:val="none" w:sz="0" w:space="0" w:color="auto"/>
        <w:left w:val="none" w:sz="0" w:space="0" w:color="auto"/>
        <w:bottom w:val="none" w:sz="0" w:space="0" w:color="auto"/>
        <w:right w:val="none" w:sz="0" w:space="0" w:color="auto"/>
      </w:divBdr>
    </w:div>
    <w:div w:id="1449854028">
      <w:bodyDiv w:val="1"/>
      <w:marLeft w:val="0"/>
      <w:marRight w:val="0"/>
      <w:marTop w:val="0"/>
      <w:marBottom w:val="0"/>
      <w:divBdr>
        <w:top w:val="none" w:sz="0" w:space="0" w:color="auto"/>
        <w:left w:val="none" w:sz="0" w:space="0" w:color="auto"/>
        <w:bottom w:val="none" w:sz="0" w:space="0" w:color="auto"/>
        <w:right w:val="none" w:sz="0" w:space="0" w:color="auto"/>
      </w:divBdr>
    </w:div>
    <w:div w:id="1467821241">
      <w:bodyDiv w:val="1"/>
      <w:marLeft w:val="0"/>
      <w:marRight w:val="0"/>
      <w:marTop w:val="0"/>
      <w:marBottom w:val="0"/>
      <w:divBdr>
        <w:top w:val="none" w:sz="0" w:space="0" w:color="auto"/>
        <w:left w:val="none" w:sz="0" w:space="0" w:color="auto"/>
        <w:bottom w:val="none" w:sz="0" w:space="0" w:color="auto"/>
        <w:right w:val="none" w:sz="0" w:space="0" w:color="auto"/>
      </w:divBdr>
    </w:div>
    <w:div w:id="1563174391">
      <w:bodyDiv w:val="1"/>
      <w:marLeft w:val="0"/>
      <w:marRight w:val="0"/>
      <w:marTop w:val="0"/>
      <w:marBottom w:val="0"/>
      <w:divBdr>
        <w:top w:val="none" w:sz="0" w:space="0" w:color="auto"/>
        <w:left w:val="none" w:sz="0" w:space="0" w:color="auto"/>
        <w:bottom w:val="none" w:sz="0" w:space="0" w:color="auto"/>
        <w:right w:val="none" w:sz="0" w:space="0" w:color="auto"/>
      </w:divBdr>
    </w:div>
    <w:div w:id="1604726463">
      <w:bodyDiv w:val="1"/>
      <w:marLeft w:val="0"/>
      <w:marRight w:val="0"/>
      <w:marTop w:val="0"/>
      <w:marBottom w:val="0"/>
      <w:divBdr>
        <w:top w:val="none" w:sz="0" w:space="0" w:color="auto"/>
        <w:left w:val="none" w:sz="0" w:space="0" w:color="auto"/>
        <w:bottom w:val="none" w:sz="0" w:space="0" w:color="auto"/>
        <w:right w:val="none" w:sz="0" w:space="0" w:color="auto"/>
      </w:divBdr>
    </w:div>
    <w:div w:id="1609238240">
      <w:bodyDiv w:val="1"/>
      <w:marLeft w:val="0"/>
      <w:marRight w:val="0"/>
      <w:marTop w:val="0"/>
      <w:marBottom w:val="0"/>
      <w:divBdr>
        <w:top w:val="none" w:sz="0" w:space="0" w:color="auto"/>
        <w:left w:val="none" w:sz="0" w:space="0" w:color="auto"/>
        <w:bottom w:val="none" w:sz="0" w:space="0" w:color="auto"/>
        <w:right w:val="none" w:sz="0" w:space="0" w:color="auto"/>
      </w:divBdr>
    </w:div>
    <w:div w:id="1813911749">
      <w:bodyDiv w:val="1"/>
      <w:marLeft w:val="0"/>
      <w:marRight w:val="0"/>
      <w:marTop w:val="0"/>
      <w:marBottom w:val="0"/>
      <w:divBdr>
        <w:top w:val="none" w:sz="0" w:space="0" w:color="auto"/>
        <w:left w:val="none" w:sz="0" w:space="0" w:color="auto"/>
        <w:bottom w:val="none" w:sz="0" w:space="0" w:color="auto"/>
        <w:right w:val="none" w:sz="0" w:space="0" w:color="auto"/>
      </w:divBdr>
    </w:div>
    <w:div w:id="1866677581">
      <w:bodyDiv w:val="1"/>
      <w:marLeft w:val="0"/>
      <w:marRight w:val="0"/>
      <w:marTop w:val="0"/>
      <w:marBottom w:val="0"/>
      <w:divBdr>
        <w:top w:val="none" w:sz="0" w:space="0" w:color="auto"/>
        <w:left w:val="none" w:sz="0" w:space="0" w:color="auto"/>
        <w:bottom w:val="none" w:sz="0" w:space="0" w:color="auto"/>
        <w:right w:val="none" w:sz="0" w:space="0" w:color="auto"/>
      </w:divBdr>
    </w:div>
    <w:div w:id="2013795400">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image" Target="media/image2.png"/><Relationship Id="rId5" Type="http://schemas.openxmlformats.org/officeDocument/2006/relationships/image" Target="media/image1.pn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Fra68</b:Tag>
    <b:SourceType>JournalArticle</b:SourceType>
    <b:Guid>{A55028B0-8A79-4702-8B3D-30C40A43EBC9}</b:Guid>
    <b:Title>The Deviance of women: A critique and an Enquiry</b:Title>
    <b:Year>2010</b:Year>
    <b:Author>
      <b:Author>
        <b:NameList>
          <b:Person>
            <b:Last>Heidensohn</b:Last>
            <b:First>Frances</b:First>
          </b:Person>
        </b:NameList>
      </b:Author>
    </b:Author>
    <b:JournalName>The British Journal of Sociology</b:JournalName>
    <b:Pages>160-175</b:Pages>
    <b:RefOrder>13</b:RefOrder>
  </b:Source>
  <b:Source>
    <b:Tag>Gil06</b:Tag>
    <b:SourceType>JournalArticle</b:SourceType>
    <b:Guid>{C5D7C10A-2578-4685-ABEA-DEF4561C305D}</b:Guid>
    <b:Title>Re-imagining  Feminist Crininology</b:Title>
    <b:Year>2006</b:Year>
    <b:Author>
      <b:Author>
        <b:NameList>
          <b:Person>
            <b:Last>Balfour</b:Last>
            <b:First>Gillian</b:First>
          </b:Person>
        </b:NameList>
      </b:Author>
    </b:Author>
    <b:Pages>735-752</b:Pages>
    <b:RefOrder>14</b:RefOrder>
  </b:Source>
  <b:Source>
    <b:Tag>Fra96</b:Tag>
    <b:SourceType>BookSection</b:SourceType>
    <b:Guid>{48FA741C-C507-4621-A4E8-839F27ED9E83}</b:Guid>
    <b:Title>Women and crime </b:Title>
    <b:Year>1996</b:Year>
    <b:Pages>260</b:Pages>
    <b:Author>
      <b:Author>
        <b:NameList>
          <b:Person>
            <b:Last>Heidensohn</b:Last>
            <b:First>Frances</b:First>
          </b:Person>
        </b:NameList>
      </b:Author>
    </b:Author>
    <b:City>London </b:City>
    <b:Publisher>Palgrave Macmillian Limited </b:Publisher>
    <b:RefOrder>1</b:RefOrder>
  </b:Source>
  <b:Source>
    <b:Tag>Jod10</b:Tag>
    <b:SourceType>JournalArticle</b:SourceType>
    <b:Guid>{D7981621-1A3A-4702-B841-2AF086AC4AF2}</b:Guid>
    <b:Title>Commentary on Heidensohn’s ‘The deviance of women': continuity and change over four decades of research on gender, crime and social control </b:Title>
    <b:Year>2010</b:Year>
    <b:Pages>135-136</b:Pages>
    <b:Author>
      <b:Author>
        <b:NameList>
          <b:Person>
            <b:Last>Miller</b:Last>
            <b:First>Jody</b:First>
          </b:Person>
        </b:NameList>
      </b:Author>
    </b:Author>
    <b:RefOrder>15</b:RefOrder>
  </b:Source>
  <b:Source>
    <b:Tag>Mar06</b:Tag>
    <b:SourceType>JournalArticle</b:SourceType>
    <b:Guid>{8F50B2A3-0D40-4FF5-8736-CEF1C7E9EA8F}</b:Guid>
    <b:Author>
      <b:Author>
        <b:NameList>
          <b:Person>
            <b:Last>Grabe</b:Last>
            <b:First>Maria</b:First>
            <b:Middle>Elizabeth</b:Middle>
          </b:Person>
        </b:NameList>
      </b:Author>
    </b:Author>
    <b:Title>Gender in crime news: A case study test of the chivalry thesis. </b:Title>
    <b:JournalName>Mass communications and Soceity </b:JournalName>
    <b:Year>2006</b:Year>
    <b:Pages>137-163</b:Pages>
    <b:Volume>9</b:Volume>
    <b:Issue>2</b:Issue>
    <b:RefOrder>2</b:RefOrder>
  </b:Source>
  <b:Source>
    <b:Tag>Ser08</b:Tag>
    <b:SourceType>JournalArticle</b:SourceType>
    <b:Guid>{FD68E57E-8E69-447E-B86A-88D315D81C42}</b:Guid>
    <b:Author>
      <b:Author>
        <b:NameList>
          <b:Person>
            <b:Last>Herzog</b:Last>
            <b:First>Sergio</b:First>
          </b:Person>
        </b:NameList>
      </b:Author>
    </b:Author>
    <b:Title>Chivalry and the moderating effect of ambivalent sexism: Indivudal differences in crime and serious judgments </b:Title>
    <b:JournalName>Law and society review </b:JournalName>
    <b:Year>2008</b:Year>
    <b:Pages>45-74</b:Pages>
    <b:Volume>42</b:Volume>
    <b:Issue>1</b:Issue>
    <b:RefOrder>16</b:RefOrder>
  </b:Source>
  <b:Source>
    <b:Tag>Rob15</b:Tag>
    <b:SourceType>JournalArticle</b:SourceType>
    <b:Guid>{4EBEAAAD-6892-4CA9-8EE4-6D8B7AAAC669}</b:Guid>
    <b:Author>
      <b:Author>
        <b:NameList>
          <b:Person>
            <b:Last>Tillyer</b:Last>
            <b:First>Rob</b:First>
          </b:Person>
        </b:NameList>
      </b:Author>
    </b:Author>
    <b:Title>Differential treatment of female defendatns</b:Title>
    <b:JournalName>Criminal justice and behaviour</b:JournalName>
    <b:Year>2015</b:Year>
    <b:Pages>703-721</b:Pages>
    <b:RefOrder>17</b:RefOrder>
  </b:Source>
  <b:Source>
    <b:Tag>Car76</b:Tag>
    <b:SourceType>Book</b:SourceType>
    <b:Guid>{D8A28ECF-97A9-4BCA-8797-530F961B2B9B}</b:Guid>
    <b:Title>Women, Crime and Criminology </b:Title>
    <b:Year>1976</b:Year>
    <b:Author>
      <b:Author>
        <b:NameList>
          <b:Person>
            <b:Last>Smart</b:Last>
            <b:First>Carol</b:First>
          </b:Person>
        </b:NameList>
      </b:Author>
    </b:Author>
    <b:City>London</b:City>
    <b:Publisher>Routledge and kegan Paul LTD</b:Publisher>
    <b:RefOrder>18</b:RefOrder>
  </b:Source>
  <b:Source>
    <b:Tag>Nat201</b:Tag>
    <b:SourceType>InternetSite</b:SourceType>
    <b:Guid>{73B2E842-224E-4702-A259-2F606FEA9A0A}</b:Guid>
    <b:Title>Lady MacBeth and Double Deivance </b:Title>
    <b:Year>2020</b:Year>
    <b:Author>
      <b:Author>
        <b:NameList>
          <b:Person>
            <b:Last>Mulvihill</b:Last>
            <b:First>Natasha</b:First>
          </b:Person>
        </b:NameList>
      </b:Author>
    </b:Author>
    <b:YearAccessed>2023</b:YearAccessed>
    <b:MonthAccessed>October</b:MonthAccessed>
    <b:DayAccessed>31</b:DayAccessed>
    <b:URL>https://criminologytales.com/2020/06/27/26-june-20-lady-macbeth-and-double-deviance/#:~:text=Carol%20Smart%20%281976%29%20argued%20that%20the%20gender%20expectations,and%20the%20criminal%20justice%20system%20as%20%E2%80%98doubly%20deviant%E2%80%99.</b:URL>
    <b:RefOrder>19</b:RefOrder>
  </b:Source>
  <b:Source>
    <b:Tag>Eli00</b:Tag>
    <b:SourceType>JournalArticle</b:SourceType>
    <b:Guid>{1929AE70-DF13-4AB1-A7EF-1189F3C749BE}</b:Guid>
    <b:Author>
      <b:Author>
        <b:NameList>
          <b:Person>
            <b:Last>Murphy </b:Last>
            <b:First>Elizabeth</b:First>
          </b:Person>
          <b:Person>
            <b:Last>Brown</b:Last>
            <b:First>Jennifer</b:First>
          </b:Person>
        </b:NameList>
      </b:Author>
    </b:Author>
    <b:Title>Exploring gender role indenity, value orientation of occupation and sex of respondant influencing attitues towards male and female offenders</b:Title>
    <b:JournalName>Legal and Criminological psychology</b:JournalName>
    <b:Year>2000</b:Year>
    <b:Pages>285-290</b:Pages>
    <b:Volume>5</b:Volume>
    <b:Issue>2</b:Issue>
    <b:RefOrder>20</b:RefOrder>
  </b:Source>
  <b:Source>
    <b:Tag>Sea22</b:Tag>
    <b:SourceType>BookSection</b:SourceType>
    <b:Guid>{F0A11E48-0F2D-467D-B8BE-FCF781BA159C}</b:Guid>
    <b:Title>The Routledge Hnadbook of women's experiences of criminal justice </b:Title>
    <b:Year>2022</b:Year>
    <b:Pages>12</b:Pages>
    <b:City>London</b:City>
    <b:Publisher>Routledge International </b:Publisher>
    <b:Author>
      <b:Author>
        <b:NameList>
          <b:Person>
            <b:Last>Seaman</b:Last>
            <b:First>Vicky</b:First>
          </b:Person>
          <b:Person>
            <b:Last>Lynch</b:Last>
            <b:First>Orla</b:First>
          </b:Person>
        </b:NameList>
      </b:Author>
    </b:Author>
    <b:RefOrder>3</b:RefOrder>
  </b:Source>
  <b:Source>
    <b:Tag>Gen15</b:Tag>
    <b:SourceType>InternetSite</b:SourceType>
    <b:Guid>{220962AB-14A9-4380-831B-C5ECC0828B40}</b:Guid>
    <b:Title>Gender Bias and Punishment</b:Title>
    <b:Year>2015</b:Year>
    <b:YearAccessed>2023</b:YearAccessed>
    <b:MonthAccessed>November</b:MonthAccessed>
    <b:DayAccessed>1</b:DayAccessed>
    <b:URL>https://www.historylearningsite.co.uk/sociology/crime-and-deviance/gender-bias-and-punishment/</b:URL>
    <b:Author>
      <b:Author>
        <b:NameList>
          <b:Person>
            <b:Last>Trueman</b:Last>
            <b:First>Carl</b:First>
          </b:Person>
        </b:NameList>
      </b:Author>
    </b:Author>
    <b:RefOrder>4</b:RefOrder>
  </b:Source>
  <b:Source>
    <b:Tag>Joa07</b:Tag>
    <b:SourceType>Book</b:SourceType>
    <b:Guid>{52DB8805-6F3B-4CBE-8802-22012597D015}</b:Guid>
    <b:Title>The invisable women: Gender, crime, and justice </b:Title>
    <b:Year>2007</b:Year>
    <b:Author>
      <b:Author>
        <b:NameList>
          <b:Person>
            <b:Last>Belknap</b:Last>
            <b:First>Joanne</b:First>
          </b:Person>
        </b:NameList>
      </b:Author>
    </b:Author>
    <b:City>Missouri</b:City>
    <b:Publisher>CA: Thomson Wadsworth Publishing Company </b:Publisher>
    <b:Edition>3</b:Edition>
    <b:RefOrder>5</b:RefOrder>
  </b:Source>
  <b:Source>
    <b:Tag>Min211</b:Tag>
    <b:SourceType>InternetSite</b:SourceType>
    <b:Guid>{1A785EC9-1483-4857-9C74-28B5CFF14D89}</b:Guid>
    <b:Title>Women and the criminal justice system 2021</b:Title>
    <b:Year>2021</b:Year>
    <b:Author>
      <b:Author>
        <b:Corporate>Ministry Of Justice</b:Corporate>
      </b:Author>
    </b:Author>
    <b:YearAccessed>2023</b:YearAccessed>
    <b:MonthAccessed>November</b:MonthAccessed>
    <b:DayAccessed>6</b:DayAccessed>
    <b:URL>https://www.gov.uk/government/statistics/women-and-the-criminal-justice-system-2021/women-and-the-criminal-justice-system-2021</b:URL>
    <b:RefOrder>8</b:RefOrder>
  </b:Source>
  <b:Source>
    <b:Tag>Bra95</b:Tag>
    <b:SourceType>JournalArticle</b:SourceType>
    <b:Guid>{FD165BDB-D7BA-4C90-8595-EB0D622CC900}</b:Guid>
    <b:Title>Women and Crime - Violence and prevention of violence</b:Title>
    <b:Year>1995</b:Year>
    <b:Author>
      <b:Author>
        <b:NameList>
          <b:Person>
            <b:Last>Cowen</b:Last>
            <b:First>Brain</b:First>
          </b:Person>
        </b:NameList>
      </b:Author>
    </b:Author>
    <b:Pages>157-168</b:Pages>
    <b:Volume>1</b:Volume>
    <b:RefOrder>21</b:RefOrder>
  </b:Source>
  <b:Source>
    <b:Tag>Moo16</b:Tag>
    <b:SourceType>BookSection</b:SourceType>
    <b:Guid>{804A31E4-F807-4377-BA49-3B2C31F27D15}</b:Guid>
    <b:Title>Doing Gendered time: The harms of women's incarceration</b:Title>
    <b:Year>2016</b:Year>
    <b:Pages>549-567</b:Pages>
    <b:City>London</b:City>
    <b:Publisher>Routledge LTD</b:Publisher>
    <b:Author>
      <b:Author>
        <b:NameList>
          <b:Person>
            <b:Last>Moore</b:Last>
            <b:First>Linda</b:First>
          </b:Person>
          <b:Person>
            <b:Last>Scraton</b:Last>
            <b:First>Phil</b:First>
          </b:Person>
        </b:NameList>
      </b:Author>
    </b:Author>
    <b:RefOrder>6</b:RefOrder>
  </b:Source>
  <b:Source>
    <b:Tag>Lyd15</b:Tag>
    <b:SourceType>InternetSite</b:SourceType>
    <b:Guid>{81B63AB7-D730-4190-A201-A85E6089C307}</b:Guid>
    <b:Title>Women in prison - it is eqaulity to treat female offenders differently to men</b:Title>
    <b:Year>2015</b:Year>
    <b:Author>
      <b:Author>
        <b:NameList>
          <b:Person>
            <b:Last>Smith</b:Last>
            <b:First>Lydia</b:First>
          </b:Person>
        </b:NameList>
      </b:Author>
    </b:Author>
    <b:YearAccessed>2023</b:YearAccessed>
    <b:MonthAccessed>November</b:MonthAccessed>
    <b:DayAccessed>7</b:DayAccessed>
    <b:URL>https://www.ibtimes.co.uk/women-prison-it-equality-treat-female-offenders-differently-men-1485740</b:URL>
    <b:RefOrder>7</b:RefOrder>
  </b:Source>
  <b:Source>
    <b:Tag>Tal37</b:Tag>
    <b:SourceType>Book</b:SourceType>
    <b:Guid>{92470D6E-F7E4-4724-B11B-C676D96A1988}</b:Guid>
    <b:Title>The structure of social action</b:Title>
    <b:Year>1937</b:Year>
    <b:Author>
      <b:Author>
        <b:NameList>
          <b:Person>
            <b:Last>Parsons</b:Last>
            <b:First>Talcott</b:First>
          </b:Person>
        </b:NameList>
      </b:Author>
    </b:Author>
    <b:City>New York</b:City>
    <b:Publisher>MW Books</b:Publisher>
    <b:RefOrder>12</b:RefOrder>
  </b:Source>
  <b:Source>
    <b:Tag>Min202</b:Tag>
    <b:SourceType>InternetSite</b:SourceType>
    <b:Guid>{D61EFBE5-8639-45A1-960B-5E6953D510EE}</b:Guid>
    <b:Title>Women and the criminal justice system 2019</b:Title>
    <b:Year>2020</b:Year>
    <b:Author>
      <b:Author>
        <b:Corporate>Ministry of Justice </b:Corporate>
      </b:Author>
    </b:Author>
    <b:YearAccessed>2023</b:YearAccessed>
    <b:MonthAccessed>November</b:MonthAccessed>
    <b:DayAccessed>11</b:DayAccessed>
    <b:URL>https://www.gov.uk/government/statistics/women-and-the-criminal-justice-system-2019/women-and-the-criminal-justice-system-2019</b:URL>
    <b:RefOrder>9</b:RefOrder>
  </b:Source>
  <b:Source>
    <b:Tag>Sop22</b:Tag>
    <b:SourceType>InternetSite</b:SourceType>
    <b:Guid>{8C5DA4B3-7184-421B-AE2D-06AE85FA350F}</b:Guid>
    <b:Title>Double Deviant: Criminalisation of and attitudes towards female 'sin' in nineteenth century Britian</b:Title>
    <b:Year>2022</b:Year>
    <b:YearAccessed>2023</b:YearAccessed>
    <b:MonthAccessed>November</b:MonthAccessed>
    <b:DayAccessed>11</b:DayAccessed>
    <b:URL>https://retrospectjournal.com/2022/04/03/double-deviant-the-criminalisation-of-and-attitudes-towards-female-sin-in-nineteenth-century-britain/</b:URL>
    <b:Author>
      <b:Author>
        <b:NameList>
          <b:Person>
            <b:Last>Whitehead</b:Last>
            <b:First>Sophie</b:First>
          </b:Person>
        </b:NameList>
      </b:Author>
    </b:Author>
    <b:RefOrder>10</b:RefOrder>
  </b:Source>
  <b:Source>
    <b:Tag>Ske18</b:Tag>
    <b:SourceType>Book</b:SourceType>
    <b:Guid>{1D6FDC95-F07F-4DD8-B8AE-7CBD44969927}</b:Guid>
    <b:Title>Beyound mars and venus: The role of gender essentialism in support for gender ineqaulity and backlash</b:Title>
    <b:Year>2018</b:Year>
    <b:Author>
      <b:Author>
        <b:NameList>
          <b:Person>
            <b:Last>Skewes</b:Last>
            <b:First>Lea</b:First>
          </b:Person>
          <b:Person>
            <b:Last>Fine</b:Last>
            <b:First>Cordelia</b:First>
          </b:Person>
          <b:Person>
            <b:Last>Haslam</b:Last>
            <b:First>Nick</b:First>
          </b:Person>
        </b:NameList>
      </b:Author>
    </b:Author>
    <b:City>Spain</b:City>
    <b:Publisher>PLoS ONE</b:Publisher>
    <b:RefOrder>11</b:RefOrder>
  </b:Source>
</b:Sources>
</file>

<file path=customXml/itemProps1.xml><?xml version="1.0" encoding="utf-8"?>
<ds:datastoreItem xmlns:ds="http://schemas.openxmlformats.org/officeDocument/2006/customXml" ds:itemID="{4169AF03-55FC-4180-A0C2-3305744767B8}">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192</TotalTime>
  <Pages>10</Pages>
  <Words>2257</Words>
  <Characters>12796</Characters>
  <Application>Microsoft Office Word</Application>
  <DocSecurity>0</DocSecurity>
  <Lines>204</Lines>
  <Paragraphs>35</Paragraphs>
  <ScaleCrop>false</ScaleCrop>
  <HeadingPairs>
    <vt:vector size="2" baseType="variant">
      <vt:variant>
        <vt:lpstr>Title</vt:lpstr>
      </vt:variant>
      <vt:variant>
        <vt:i4>1</vt:i4>
      </vt:variant>
    </vt:vector>
  </HeadingPairs>
  <TitlesOfParts>
    <vt:vector size="1" baseType="lpstr">
      <vt:lpstr>Critically evaluate the idea that women face issues of ‘double deviance’</vt:lpstr>
    </vt:vector>
  </TitlesOfParts>
  <Company/>
  <LinksUpToDate>false</LinksUpToDate>
  <CharactersWithSpaces>15038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Critically evaluate the idea that women face issues of ‘double deviance’</dc:title>
  <dc:subject>Assignment One – Gender, Race, Religion and Crime</dc:subject>
  <dc:creator>Olivia Hurlow (2103531)</dc:creator>
  <cp:keywords/>
  <dc:description/>
  <cp:lastModifiedBy>Olivia Hurlow (2103531)</cp:lastModifiedBy>
  <cp:revision>12</cp:revision>
  <dcterms:created xsi:type="dcterms:W3CDTF">2023-11-06T20:47:00Z</dcterms:created>
  <dcterms:modified xsi:type="dcterms:W3CDTF">2023-11-07T21:01:00Z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0a8dc94d-c871-4189-9d4f-fae1164c7a1a</vt:lpwstr>
  </property>
</Properties>
</file>