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170EC" w14:textId="0578E0C5" w:rsidR="00D45D5F" w:rsidRPr="00AE4505" w:rsidRDefault="00D45D5F" w:rsidP="00731E12">
      <w:pPr>
        <w:jc w:val="center"/>
        <w:rPr>
          <w:rFonts w:ascii="Arial" w:hAnsi="Arial" w:cs="Arial"/>
          <w:sz w:val="40"/>
          <w:szCs w:val="40"/>
          <w:lang w:val="en-GB"/>
        </w:rPr>
      </w:pPr>
    </w:p>
    <w:p w14:paraId="2805F596" w14:textId="77777777" w:rsidR="00D45D5F" w:rsidRPr="00731E12" w:rsidRDefault="00D45D5F" w:rsidP="00D45D5F">
      <w:pPr>
        <w:jc w:val="center"/>
        <w:rPr>
          <w:rFonts w:ascii="Arial" w:hAnsi="Arial" w:cs="Arial"/>
          <w:sz w:val="40"/>
          <w:szCs w:val="40"/>
        </w:rPr>
      </w:pPr>
    </w:p>
    <w:p w14:paraId="5922547C" w14:textId="77777777" w:rsidR="00731E12" w:rsidRPr="00731E12" w:rsidRDefault="00731E12" w:rsidP="00D45D5F">
      <w:pPr>
        <w:jc w:val="center"/>
        <w:rPr>
          <w:rFonts w:ascii="Arial" w:hAnsi="Arial" w:cs="Arial"/>
          <w:sz w:val="40"/>
          <w:szCs w:val="40"/>
        </w:rPr>
      </w:pPr>
    </w:p>
    <w:p w14:paraId="7C79660B" w14:textId="77777777" w:rsidR="00731E12" w:rsidRPr="00737429" w:rsidRDefault="00731E12" w:rsidP="00737429">
      <w:pPr>
        <w:pStyle w:val="Heading1"/>
        <w:jc w:val="center"/>
        <w:rPr>
          <w:rFonts w:ascii="Arial" w:hAnsi="Arial" w:cs="Arial"/>
          <w:b/>
          <w:bCs/>
          <w:color w:val="000000" w:themeColor="text1"/>
        </w:rPr>
      </w:pPr>
    </w:p>
    <w:p w14:paraId="07AB4C0B" w14:textId="4033BFB7" w:rsidR="00D45D5F" w:rsidRPr="008B59C1" w:rsidRDefault="00D45D5F" w:rsidP="008B59C1">
      <w:pPr>
        <w:jc w:val="center"/>
        <w:rPr>
          <w:rFonts w:ascii="Arial" w:hAnsi="Arial" w:cs="Arial"/>
          <w:b/>
          <w:bCs/>
          <w:sz w:val="40"/>
          <w:szCs w:val="40"/>
        </w:rPr>
      </w:pPr>
      <w:r w:rsidRPr="008B59C1">
        <w:rPr>
          <w:rFonts w:ascii="Arial" w:hAnsi="Arial" w:cs="Arial"/>
          <w:b/>
          <w:bCs/>
          <w:sz w:val="40"/>
          <w:szCs w:val="40"/>
        </w:rPr>
        <w:t>Global Challenges</w:t>
      </w:r>
      <w:r w:rsidR="00731E12" w:rsidRPr="008B59C1">
        <w:rPr>
          <w:rFonts w:ascii="Arial" w:hAnsi="Arial" w:cs="Arial"/>
          <w:b/>
          <w:bCs/>
          <w:sz w:val="40"/>
          <w:szCs w:val="40"/>
        </w:rPr>
        <w:t xml:space="preserve"> Report</w:t>
      </w:r>
    </w:p>
    <w:p w14:paraId="5190FF96" w14:textId="77777777" w:rsidR="00D45D5F" w:rsidRPr="008B59C1" w:rsidRDefault="00D45D5F" w:rsidP="008B59C1">
      <w:pPr>
        <w:jc w:val="center"/>
        <w:rPr>
          <w:rFonts w:ascii="Arial" w:hAnsi="Arial" w:cs="Arial"/>
          <w:b/>
          <w:bCs/>
          <w:sz w:val="40"/>
          <w:szCs w:val="40"/>
        </w:rPr>
      </w:pPr>
      <w:r w:rsidRPr="008B59C1">
        <w:rPr>
          <w:rFonts w:ascii="Arial" w:hAnsi="Arial" w:cs="Arial"/>
          <w:b/>
          <w:bCs/>
          <w:sz w:val="40"/>
          <w:szCs w:val="40"/>
        </w:rPr>
        <w:t>Procter&amp; Gamble</w:t>
      </w:r>
    </w:p>
    <w:p w14:paraId="13FF5A66" w14:textId="77777777" w:rsidR="00D45D5F" w:rsidRPr="00731E12" w:rsidRDefault="00D45D5F" w:rsidP="00D45D5F">
      <w:pPr>
        <w:rPr>
          <w:rFonts w:ascii="Arial" w:hAnsi="Arial" w:cs="Arial"/>
          <w:sz w:val="40"/>
          <w:szCs w:val="40"/>
        </w:rPr>
      </w:pPr>
    </w:p>
    <w:p w14:paraId="4E63E22B" w14:textId="77777777" w:rsidR="00D45D5F" w:rsidRPr="00731E12" w:rsidRDefault="00D45D5F" w:rsidP="00D45D5F">
      <w:pPr>
        <w:rPr>
          <w:rFonts w:ascii="Arial" w:hAnsi="Arial" w:cs="Arial"/>
          <w:sz w:val="40"/>
          <w:szCs w:val="40"/>
        </w:rPr>
      </w:pPr>
    </w:p>
    <w:p w14:paraId="68E87724" w14:textId="77777777" w:rsidR="00D45D5F" w:rsidRDefault="00D45D5F" w:rsidP="00D45D5F">
      <w:pPr>
        <w:jc w:val="center"/>
        <w:rPr>
          <w:rFonts w:ascii="Arial" w:hAnsi="Arial" w:cs="Arial"/>
          <w:sz w:val="36"/>
          <w:szCs w:val="36"/>
        </w:rPr>
      </w:pPr>
    </w:p>
    <w:p w14:paraId="4C80EDF6" w14:textId="77777777" w:rsidR="008B59C1" w:rsidRPr="00731E12" w:rsidRDefault="008B59C1" w:rsidP="00D45D5F">
      <w:pPr>
        <w:jc w:val="center"/>
        <w:rPr>
          <w:rFonts w:ascii="Arial" w:hAnsi="Arial" w:cs="Arial"/>
          <w:sz w:val="36"/>
          <w:szCs w:val="36"/>
        </w:rPr>
      </w:pPr>
    </w:p>
    <w:p w14:paraId="6C837FF3" w14:textId="77777777" w:rsidR="00731E12" w:rsidRPr="00731E12" w:rsidRDefault="00731E12" w:rsidP="00731E12">
      <w:pPr>
        <w:spacing w:line="240" w:lineRule="auto"/>
        <w:jc w:val="center"/>
        <w:rPr>
          <w:rFonts w:ascii="Arial" w:hAnsi="Arial" w:cs="Arial"/>
          <w:sz w:val="36"/>
          <w:szCs w:val="36"/>
        </w:rPr>
      </w:pPr>
    </w:p>
    <w:p w14:paraId="392F9305"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Module details</w:t>
      </w:r>
    </w:p>
    <w:p w14:paraId="7127F2B7"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Global Business Challenges</w:t>
      </w:r>
    </w:p>
    <w:p w14:paraId="249756C2"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Tutor: Anthony Burns</w:t>
      </w:r>
    </w:p>
    <w:p w14:paraId="5CE8291E"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Code: BMMB7006D</w:t>
      </w:r>
    </w:p>
    <w:p w14:paraId="517E392B" w14:textId="77777777" w:rsidR="00D45D5F" w:rsidRPr="00731E12" w:rsidRDefault="00D45D5F" w:rsidP="00731E12">
      <w:pPr>
        <w:spacing w:line="240" w:lineRule="auto"/>
        <w:jc w:val="center"/>
        <w:rPr>
          <w:rFonts w:ascii="Arial" w:hAnsi="Arial" w:cs="Arial"/>
          <w:sz w:val="22"/>
          <w:szCs w:val="22"/>
        </w:rPr>
      </w:pPr>
    </w:p>
    <w:p w14:paraId="7263F538" w14:textId="77777777" w:rsidR="00D45D5F" w:rsidRPr="00731E12" w:rsidRDefault="00D45D5F" w:rsidP="00731E12">
      <w:pPr>
        <w:spacing w:line="240" w:lineRule="auto"/>
        <w:jc w:val="center"/>
        <w:rPr>
          <w:rFonts w:ascii="Arial" w:hAnsi="Arial" w:cs="Arial"/>
          <w:sz w:val="22"/>
          <w:szCs w:val="22"/>
        </w:rPr>
      </w:pPr>
    </w:p>
    <w:p w14:paraId="7FC353EF"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Student Details</w:t>
      </w:r>
    </w:p>
    <w:p w14:paraId="0377FBED" w14:textId="77777777" w:rsidR="00D45D5F"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Liliana-Melania Gaina</w:t>
      </w:r>
    </w:p>
    <w:p w14:paraId="07EDD65A" w14:textId="10E8821F" w:rsidR="00C33209" w:rsidRPr="00731E12" w:rsidRDefault="00D45D5F" w:rsidP="00731E12">
      <w:pPr>
        <w:spacing w:line="240" w:lineRule="auto"/>
        <w:jc w:val="center"/>
        <w:rPr>
          <w:rFonts w:ascii="Arial" w:hAnsi="Arial" w:cs="Arial"/>
          <w:sz w:val="22"/>
          <w:szCs w:val="22"/>
        </w:rPr>
      </w:pPr>
      <w:r w:rsidRPr="00731E12">
        <w:rPr>
          <w:rFonts w:ascii="Arial" w:hAnsi="Arial" w:cs="Arial"/>
          <w:sz w:val="22"/>
          <w:szCs w:val="22"/>
        </w:rPr>
        <w:t>Number: 2508297</w:t>
      </w:r>
    </w:p>
    <w:p w14:paraId="38C69192" w14:textId="144A00AC" w:rsidR="00E75805" w:rsidRPr="00731E12" w:rsidRDefault="00E75805" w:rsidP="00731E12">
      <w:pPr>
        <w:jc w:val="center"/>
        <w:rPr>
          <w:rFonts w:ascii="Arial" w:hAnsi="Arial" w:cs="Arial"/>
        </w:rPr>
      </w:pPr>
    </w:p>
    <w:p w14:paraId="59570BE4" w14:textId="77777777" w:rsidR="00731E12" w:rsidRPr="00731E12" w:rsidRDefault="00731E12" w:rsidP="00731E12">
      <w:pPr>
        <w:jc w:val="center"/>
        <w:rPr>
          <w:rFonts w:ascii="Arial" w:hAnsi="Arial" w:cs="Arial"/>
        </w:rPr>
      </w:pPr>
    </w:p>
    <w:p w14:paraId="7F525D42" w14:textId="77777777" w:rsidR="00BC7015" w:rsidRDefault="00BC7015" w:rsidP="00731E12">
      <w:pPr>
        <w:pStyle w:val="Heading2"/>
        <w:rPr>
          <w:rFonts w:ascii="Arial" w:hAnsi="Arial" w:cs="Arial"/>
          <w:color w:val="000000" w:themeColor="text1"/>
        </w:rPr>
      </w:pPr>
    </w:p>
    <w:sdt>
      <w:sdtPr>
        <w:rPr>
          <w:rFonts w:asciiTheme="minorHAnsi" w:eastAsiaTheme="minorHAnsi" w:hAnsiTheme="minorHAnsi" w:cstheme="minorBidi"/>
          <w:b w:val="0"/>
          <w:bCs w:val="0"/>
          <w:color w:val="auto"/>
          <w:kern w:val="2"/>
          <w:sz w:val="24"/>
          <w:szCs w:val="24"/>
          <w:lang w:val="en-CZ"/>
          <w14:ligatures w14:val="standardContextual"/>
        </w:rPr>
        <w:id w:val="37176751"/>
        <w:docPartObj>
          <w:docPartGallery w:val="Table of Contents"/>
          <w:docPartUnique/>
        </w:docPartObj>
      </w:sdtPr>
      <w:sdtEndPr>
        <w:rPr>
          <w:noProof/>
        </w:rPr>
      </w:sdtEndPr>
      <w:sdtContent>
        <w:p w14:paraId="69DB1FC1" w14:textId="00FA7CE1" w:rsidR="00BC7015" w:rsidRPr="008B59C1" w:rsidRDefault="00BC7015" w:rsidP="00BC7015">
          <w:pPr>
            <w:pStyle w:val="TOCHeading"/>
            <w:spacing w:line="360" w:lineRule="auto"/>
            <w:rPr>
              <w:rFonts w:ascii="Arial" w:hAnsi="Arial" w:cs="Arial"/>
              <w:b w:val="0"/>
              <w:bCs w:val="0"/>
              <w:color w:val="000000" w:themeColor="text1"/>
              <w:kern w:val="2"/>
              <w:sz w:val="32"/>
              <w:szCs w:val="32"/>
              <w:lang w:val="en-CZ"/>
              <w14:ligatures w14:val="standardContextual"/>
            </w:rPr>
          </w:pPr>
          <w:r w:rsidRPr="008B59C1">
            <w:rPr>
              <w:rFonts w:ascii="Arial" w:hAnsi="Arial" w:cs="Arial"/>
              <w:b w:val="0"/>
              <w:bCs w:val="0"/>
              <w:color w:val="000000" w:themeColor="text1"/>
              <w:kern w:val="2"/>
              <w:sz w:val="32"/>
              <w:szCs w:val="32"/>
              <w:lang w:val="en-CZ"/>
              <w14:ligatures w14:val="standardContextual"/>
            </w:rPr>
            <w:t>Table of Contents</w:t>
          </w:r>
        </w:p>
        <w:p w14:paraId="1B935C9F" w14:textId="27469682" w:rsidR="008B59C1" w:rsidRPr="008B59C1" w:rsidRDefault="00BC7015">
          <w:pPr>
            <w:pStyle w:val="TOC2"/>
            <w:tabs>
              <w:tab w:val="right" w:leader="dot" w:pos="9350"/>
            </w:tabs>
            <w:rPr>
              <w:rFonts w:eastAsiaTheme="minorEastAsia"/>
              <w:b w:val="0"/>
              <w:bCs w:val="0"/>
              <w:noProof/>
              <w:sz w:val="24"/>
              <w:szCs w:val="24"/>
            </w:rPr>
          </w:pPr>
          <w:r w:rsidRPr="008B59C1">
            <w:rPr>
              <w:rFonts w:ascii="Arial" w:hAnsi="Arial" w:cs="Arial"/>
              <w:b w:val="0"/>
              <w:bCs w:val="0"/>
            </w:rPr>
            <w:fldChar w:fldCharType="begin"/>
          </w:r>
          <w:r w:rsidRPr="008B59C1">
            <w:rPr>
              <w:rFonts w:ascii="Arial" w:hAnsi="Arial" w:cs="Arial"/>
              <w:b w:val="0"/>
              <w:bCs w:val="0"/>
            </w:rPr>
            <w:instrText xml:space="preserve"> TOC \o "1-3" \h \z \u </w:instrText>
          </w:r>
          <w:r w:rsidRPr="008B59C1">
            <w:rPr>
              <w:rFonts w:ascii="Arial" w:hAnsi="Arial" w:cs="Arial"/>
              <w:b w:val="0"/>
              <w:bCs w:val="0"/>
            </w:rPr>
            <w:fldChar w:fldCharType="separate"/>
          </w:r>
          <w:hyperlink w:anchor="_Toc216278884" w:history="1">
            <w:r w:rsidR="008B59C1" w:rsidRPr="008B59C1">
              <w:rPr>
                <w:rStyle w:val="Hyperlink"/>
                <w:rFonts w:ascii="Arial" w:hAnsi="Arial" w:cs="Arial"/>
                <w:b w:val="0"/>
                <w:bCs w:val="0"/>
                <w:noProof/>
              </w:rPr>
              <w:t>Executive Summary</w:t>
            </w:r>
            <w:r w:rsidR="008B59C1" w:rsidRPr="008B59C1">
              <w:rPr>
                <w:b w:val="0"/>
                <w:bCs w:val="0"/>
                <w:noProof/>
                <w:webHidden/>
              </w:rPr>
              <w:tab/>
            </w:r>
            <w:r w:rsidR="008B59C1" w:rsidRPr="008B59C1">
              <w:rPr>
                <w:b w:val="0"/>
                <w:bCs w:val="0"/>
                <w:noProof/>
                <w:webHidden/>
              </w:rPr>
              <w:fldChar w:fldCharType="begin"/>
            </w:r>
            <w:r w:rsidR="008B59C1" w:rsidRPr="008B59C1">
              <w:rPr>
                <w:b w:val="0"/>
                <w:bCs w:val="0"/>
                <w:noProof/>
                <w:webHidden/>
              </w:rPr>
              <w:instrText xml:space="preserve"> PAGEREF _Toc216278884 \h </w:instrText>
            </w:r>
            <w:r w:rsidR="008B59C1" w:rsidRPr="008B59C1">
              <w:rPr>
                <w:b w:val="0"/>
                <w:bCs w:val="0"/>
                <w:noProof/>
                <w:webHidden/>
              </w:rPr>
            </w:r>
            <w:r w:rsidR="008B59C1" w:rsidRPr="008B59C1">
              <w:rPr>
                <w:b w:val="0"/>
                <w:bCs w:val="0"/>
                <w:noProof/>
                <w:webHidden/>
              </w:rPr>
              <w:fldChar w:fldCharType="separate"/>
            </w:r>
            <w:r w:rsidR="008B59C1" w:rsidRPr="008B59C1">
              <w:rPr>
                <w:b w:val="0"/>
                <w:bCs w:val="0"/>
                <w:noProof/>
                <w:webHidden/>
              </w:rPr>
              <w:t>2</w:t>
            </w:r>
            <w:r w:rsidR="008B59C1" w:rsidRPr="008B59C1">
              <w:rPr>
                <w:b w:val="0"/>
                <w:bCs w:val="0"/>
                <w:noProof/>
                <w:webHidden/>
              </w:rPr>
              <w:fldChar w:fldCharType="end"/>
            </w:r>
          </w:hyperlink>
        </w:p>
        <w:p w14:paraId="7F5503A5" w14:textId="1D937C00" w:rsidR="008B59C1" w:rsidRPr="008B59C1" w:rsidRDefault="008B59C1">
          <w:pPr>
            <w:pStyle w:val="TOC2"/>
            <w:tabs>
              <w:tab w:val="right" w:leader="dot" w:pos="9350"/>
            </w:tabs>
            <w:rPr>
              <w:rFonts w:eastAsiaTheme="minorEastAsia"/>
              <w:b w:val="0"/>
              <w:bCs w:val="0"/>
              <w:noProof/>
              <w:sz w:val="24"/>
              <w:szCs w:val="24"/>
            </w:rPr>
          </w:pPr>
          <w:hyperlink w:anchor="_Toc216278885" w:history="1">
            <w:r w:rsidRPr="008B59C1">
              <w:rPr>
                <w:rStyle w:val="Hyperlink"/>
                <w:rFonts w:ascii="Arial" w:hAnsi="Arial" w:cs="Arial"/>
                <w:b w:val="0"/>
                <w:bCs w:val="0"/>
                <w:noProof/>
              </w:rPr>
              <w:t>Introduction</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_Toc216278885 \h </w:instrText>
            </w:r>
            <w:r w:rsidRPr="008B59C1">
              <w:rPr>
                <w:b w:val="0"/>
                <w:bCs w:val="0"/>
                <w:noProof/>
                <w:webHidden/>
              </w:rPr>
            </w:r>
            <w:r w:rsidRPr="008B59C1">
              <w:rPr>
                <w:b w:val="0"/>
                <w:bCs w:val="0"/>
                <w:noProof/>
                <w:webHidden/>
              </w:rPr>
              <w:fldChar w:fldCharType="separate"/>
            </w:r>
            <w:r w:rsidRPr="008B59C1">
              <w:rPr>
                <w:b w:val="0"/>
                <w:bCs w:val="0"/>
                <w:noProof/>
                <w:webHidden/>
              </w:rPr>
              <w:t>4</w:t>
            </w:r>
            <w:r w:rsidRPr="008B59C1">
              <w:rPr>
                <w:b w:val="0"/>
                <w:bCs w:val="0"/>
                <w:noProof/>
                <w:webHidden/>
              </w:rPr>
              <w:fldChar w:fldCharType="end"/>
            </w:r>
          </w:hyperlink>
        </w:p>
        <w:p w14:paraId="7B79C082" w14:textId="71E58EA2" w:rsidR="008B59C1" w:rsidRPr="008B59C1" w:rsidRDefault="008B59C1">
          <w:pPr>
            <w:pStyle w:val="TOC2"/>
            <w:tabs>
              <w:tab w:val="right" w:leader="dot" w:pos="9350"/>
            </w:tabs>
            <w:rPr>
              <w:rFonts w:eastAsiaTheme="minorEastAsia"/>
              <w:b w:val="0"/>
              <w:bCs w:val="0"/>
              <w:noProof/>
              <w:sz w:val="24"/>
              <w:szCs w:val="24"/>
            </w:rPr>
          </w:pPr>
          <w:hyperlink w:anchor="_Toc216278886" w:history="1">
            <w:r w:rsidRPr="008B59C1">
              <w:rPr>
                <w:rStyle w:val="Hyperlink"/>
                <w:rFonts w:ascii="Arial" w:hAnsi="Arial" w:cs="Arial"/>
                <w:b w:val="0"/>
                <w:bCs w:val="0"/>
                <w:noProof/>
              </w:rPr>
              <w:t>PESTEL Analysis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_Toc216278886 \h </w:instrText>
            </w:r>
            <w:r w:rsidRPr="008B59C1">
              <w:rPr>
                <w:b w:val="0"/>
                <w:bCs w:val="0"/>
                <w:noProof/>
                <w:webHidden/>
              </w:rPr>
            </w:r>
            <w:r w:rsidRPr="008B59C1">
              <w:rPr>
                <w:b w:val="0"/>
                <w:bCs w:val="0"/>
                <w:noProof/>
                <w:webHidden/>
              </w:rPr>
              <w:fldChar w:fldCharType="separate"/>
            </w:r>
            <w:r w:rsidRPr="008B59C1">
              <w:rPr>
                <w:b w:val="0"/>
                <w:bCs w:val="0"/>
                <w:noProof/>
                <w:webHidden/>
              </w:rPr>
              <w:t>7</w:t>
            </w:r>
            <w:r w:rsidRPr="008B59C1">
              <w:rPr>
                <w:b w:val="0"/>
                <w:bCs w:val="0"/>
                <w:noProof/>
                <w:webHidden/>
              </w:rPr>
              <w:fldChar w:fldCharType="end"/>
            </w:r>
          </w:hyperlink>
        </w:p>
        <w:p w14:paraId="08DB26E7" w14:textId="59950F7D" w:rsidR="008B59C1" w:rsidRPr="008B59C1" w:rsidRDefault="008B59C1">
          <w:pPr>
            <w:pStyle w:val="TOC2"/>
            <w:tabs>
              <w:tab w:val="right" w:leader="dot" w:pos="9350"/>
            </w:tabs>
            <w:rPr>
              <w:rFonts w:eastAsiaTheme="minorEastAsia"/>
              <w:b w:val="0"/>
              <w:bCs w:val="0"/>
              <w:noProof/>
              <w:sz w:val="24"/>
              <w:szCs w:val="24"/>
            </w:rPr>
          </w:pPr>
          <w:hyperlink w:anchor="_Toc216278887" w:history="1">
            <w:r w:rsidRPr="008B59C1">
              <w:rPr>
                <w:rStyle w:val="Hyperlink"/>
                <w:rFonts w:ascii="Arial" w:hAnsi="Arial" w:cs="Arial"/>
                <w:b w:val="0"/>
                <w:bCs w:val="0"/>
                <w:noProof/>
              </w:rPr>
              <w:t>Political</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_Toc216278887 \h </w:instrText>
            </w:r>
            <w:r w:rsidRPr="008B59C1">
              <w:rPr>
                <w:b w:val="0"/>
                <w:bCs w:val="0"/>
                <w:noProof/>
                <w:webHidden/>
              </w:rPr>
            </w:r>
            <w:r w:rsidRPr="008B59C1">
              <w:rPr>
                <w:b w:val="0"/>
                <w:bCs w:val="0"/>
                <w:noProof/>
                <w:webHidden/>
              </w:rPr>
              <w:fldChar w:fldCharType="separate"/>
            </w:r>
            <w:r w:rsidRPr="008B59C1">
              <w:rPr>
                <w:b w:val="0"/>
                <w:bCs w:val="0"/>
                <w:noProof/>
                <w:webHidden/>
              </w:rPr>
              <w:t>8</w:t>
            </w:r>
            <w:r w:rsidRPr="008B59C1">
              <w:rPr>
                <w:b w:val="0"/>
                <w:bCs w:val="0"/>
                <w:noProof/>
                <w:webHidden/>
              </w:rPr>
              <w:fldChar w:fldCharType="end"/>
            </w:r>
          </w:hyperlink>
        </w:p>
        <w:p w14:paraId="5A702024" w14:textId="3B55D391" w:rsidR="008B59C1" w:rsidRPr="008B59C1" w:rsidRDefault="008B59C1">
          <w:pPr>
            <w:pStyle w:val="TOC2"/>
            <w:tabs>
              <w:tab w:val="right" w:leader="dot" w:pos="9350"/>
            </w:tabs>
            <w:rPr>
              <w:rFonts w:eastAsiaTheme="minorEastAsia"/>
              <w:b w:val="0"/>
              <w:bCs w:val="0"/>
              <w:noProof/>
              <w:sz w:val="24"/>
              <w:szCs w:val="24"/>
            </w:rPr>
          </w:pPr>
          <w:hyperlink w:anchor="_Toc216278888" w:history="1">
            <w:r w:rsidRPr="008B59C1">
              <w:rPr>
                <w:rStyle w:val="Hyperlink"/>
                <w:rFonts w:ascii="Arial" w:hAnsi="Arial" w:cs="Arial"/>
                <w:b w:val="0"/>
                <w:bCs w:val="0"/>
                <w:noProof/>
              </w:rPr>
              <w:t>Social</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_Toc216278888 \h </w:instrText>
            </w:r>
            <w:r w:rsidRPr="008B59C1">
              <w:rPr>
                <w:b w:val="0"/>
                <w:bCs w:val="0"/>
                <w:noProof/>
                <w:webHidden/>
              </w:rPr>
            </w:r>
            <w:r w:rsidRPr="008B59C1">
              <w:rPr>
                <w:b w:val="0"/>
                <w:bCs w:val="0"/>
                <w:noProof/>
                <w:webHidden/>
              </w:rPr>
              <w:fldChar w:fldCharType="separate"/>
            </w:r>
            <w:r w:rsidRPr="008B59C1">
              <w:rPr>
                <w:b w:val="0"/>
                <w:bCs w:val="0"/>
                <w:noProof/>
                <w:webHidden/>
              </w:rPr>
              <w:t>9</w:t>
            </w:r>
            <w:r w:rsidRPr="008B59C1">
              <w:rPr>
                <w:b w:val="0"/>
                <w:bCs w:val="0"/>
                <w:noProof/>
                <w:webHidden/>
              </w:rPr>
              <w:fldChar w:fldCharType="end"/>
            </w:r>
          </w:hyperlink>
        </w:p>
        <w:p w14:paraId="1A8DF613" w14:textId="768A82E0" w:rsidR="008B59C1" w:rsidRPr="008B59C1" w:rsidRDefault="008B59C1">
          <w:pPr>
            <w:pStyle w:val="TOC2"/>
            <w:tabs>
              <w:tab w:val="right" w:leader="dot" w:pos="9350"/>
            </w:tabs>
            <w:rPr>
              <w:rFonts w:eastAsiaTheme="minorEastAsia"/>
              <w:b w:val="0"/>
              <w:bCs w:val="0"/>
              <w:noProof/>
              <w:sz w:val="24"/>
              <w:szCs w:val="24"/>
            </w:rPr>
          </w:pPr>
          <w:hyperlink w:anchor="_Toc216278889" w:history="1">
            <w:r w:rsidRPr="008B59C1">
              <w:rPr>
                <w:rStyle w:val="Hyperlink"/>
                <w:rFonts w:ascii="Arial" w:hAnsi="Arial" w:cs="Arial"/>
                <w:b w:val="0"/>
                <w:bCs w:val="0"/>
                <w:noProof/>
              </w:rPr>
              <w:t>Environmental</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_Toc216278889 \h </w:instrText>
            </w:r>
            <w:r w:rsidRPr="008B59C1">
              <w:rPr>
                <w:b w:val="0"/>
                <w:bCs w:val="0"/>
                <w:noProof/>
                <w:webHidden/>
              </w:rPr>
            </w:r>
            <w:r w:rsidRPr="008B59C1">
              <w:rPr>
                <w:b w:val="0"/>
                <w:bCs w:val="0"/>
                <w:noProof/>
                <w:webHidden/>
              </w:rPr>
              <w:fldChar w:fldCharType="separate"/>
            </w:r>
            <w:r w:rsidRPr="008B59C1">
              <w:rPr>
                <w:b w:val="0"/>
                <w:bCs w:val="0"/>
                <w:noProof/>
                <w:webHidden/>
              </w:rPr>
              <w:t>11</w:t>
            </w:r>
            <w:r w:rsidRPr="008B59C1">
              <w:rPr>
                <w:b w:val="0"/>
                <w:bCs w:val="0"/>
                <w:noProof/>
                <w:webHidden/>
              </w:rPr>
              <w:fldChar w:fldCharType="end"/>
            </w:r>
          </w:hyperlink>
        </w:p>
        <w:p w14:paraId="5325E715" w14:textId="361FEC2B" w:rsidR="008B59C1" w:rsidRPr="008B59C1" w:rsidRDefault="008B59C1">
          <w:pPr>
            <w:pStyle w:val="TOC2"/>
            <w:tabs>
              <w:tab w:val="right" w:leader="dot" w:pos="9350"/>
            </w:tabs>
            <w:rPr>
              <w:rFonts w:eastAsiaTheme="minorEastAsia"/>
              <w:b w:val="0"/>
              <w:bCs w:val="0"/>
              <w:noProof/>
              <w:sz w:val="24"/>
              <w:szCs w:val="24"/>
            </w:rPr>
          </w:pPr>
          <w:hyperlink w:anchor="_Toc216278890" w:history="1">
            <w:r w:rsidRPr="008B59C1">
              <w:rPr>
                <w:rStyle w:val="Hyperlink"/>
                <w:rFonts w:ascii="Arial" w:hAnsi="Arial" w:cs="Arial"/>
                <w:b w:val="0"/>
                <w:bCs w:val="0"/>
                <w:noProof/>
              </w:rPr>
              <w:t>Legal</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_Toc216278890 \h </w:instrText>
            </w:r>
            <w:r w:rsidRPr="008B59C1">
              <w:rPr>
                <w:b w:val="0"/>
                <w:bCs w:val="0"/>
                <w:noProof/>
                <w:webHidden/>
              </w:rPr>
            </w:r>
            <w:r w:rsidRPr="008B59C1">
              <w:rPr>
                <w:b w:val="0"/>
                <w:bCs w:val="0"/>
                <w:noProof/>
                <w:webHidden/>
              </w:rPr>
              <w:fldChar w:fldCharType="separate"/>
            </w:r>
            <w:r w:rsidRPr="008B59C1">
              <w:rPr>
                <w:b w:val="0"/>
                <w:bCs w:val="0"/>
                <w:noProof/>
                <w:webHidden/>
              </w:rPr>
              <w:t>12</w:t>
            </w:r>
            <w:r w:rsidRPr="008B59C1">
              <w:rPr>
                <w:b w:val="0"/>
                <w:bCs w:val="0"/>
                <w:noProof/>
                <w:webHidden/>
              </w:rPr>
              <w:fldChar w:fldCharType="end"/>
            </w:r>
          </w:hyperlink>
        </w:p>
        <w:p w14:paraId="701EE299" w14:textId="706FC3FB" w:rsidR="008B59C1" w:rsidRPr="008B59C1" w:rsidRDefault="008B59C1">
          <w:pPr>
            <w:pStyle w:val="TOC2"/>
            <w:tabs>
              <w:tab w:val="right" w:leader="dot" w:pos="9350"/>
            </w:tabs>
            <w:rPr>
              <w:rFonts w:eastAsiaTheme="minorEastAsia"/>
              <w:b w:val="0"/>
              <w:bCs w:val="0"/>
              <w:noProof/>
              <w:sz w:val="24"/>
              <w:szCs w:val="24"/>
            </w:rPr>
          </w:pPr>
          <w:hyperlink w:anchor="_Toc216278891" w:history="1">
            <w:r w:rsidRPr="008B59C1">
              <w:rPr>
                <w:rStyle w:val="Hyperlink"/>
                <w:rFonts w:ascii="Arial" w:hAnsi="Arial" w:cs="Arial"/>
                <w:b w:val="0"/>
                <w:bCs w:val="0"/>
                <w:noProof/>
              </w:rPr>
              <w:t>Porter's Five Forces Analysis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_Toc216278891 \h </w:instrText>
            </w:r>
            <w:r w:rsidRPr="008B59C1">
              <w:rPr>
                <w:b w:val="0"/>
                <w:bCs w:val="0"/>
                <w:noProof/>
                <w:webHidden/>
              </w:rPr>
            </w:r>
            <w:r w:rsidRPr="008B59C1">
              <w:rPr>
                <w:b w:val="0"/>
                <w:bCs w:val="0"/>
                <w:noProof/>
                <w:webHidden/>
              </w:rPr>
              <w:fldChar w:fldCharType="separate"/>
            </w:r>
            <w:r w:rsidRPr="008B59C1">
              <w:rPr>
                <w:b w:val="0"/>
                <w:bCs w:val="0"/>
                <w:noProof/>
                <w:webHidden/>
              </w:rPr>
              <w:t>13</w:t>
            </w:r>
            <w:r w:rsidRPr="008B59C1">
              <w:rPr>
                <w:b w:val="0"/>
                <w:bCs w:val="0"/>
                <w:noProof/>
                <w:webHidden/>
              </w:rPr>
              <w:fldChar w:fldCharType="end"/>
            </w:r>
          </w:hyperlink>
        </w:p>
        <w:p w14:paraId="6BE7FCD8" w14:textId="437071A9" w:rsidR="008B59C1" w:rsidRPr="008B59C1" w:rsidRDefault="008B59C1">
          <w:pPr>
            <w:pStyle w:val="TOC3"/>
            <w:tabs>
              <w:tab w:val="right" w:leader="dot" w:pos="9350"/>
            </w:tabs>
            <w:rPr>
              <w:rFonts w:eastAsiaTheme="minorEastAsia"/>
              <w:noProof/>
              <w:sz w:val="24"/>
              <w:szCs w:val="24"/>
            </w:rPr>
          </w:pPr>
          <w:hyperlink w:anchor="_Toc216278892" w:history="1">
            <w:r w:rsidRPr="008B59C1">
              <w:rPr>
                <w:rStyle w:val="Hyperlink"/>
                <w:rFonts w:ascii="Arial" w:hAnsi="Arial" w:cs="Arial"/>
                <w:noProof/>
              </w:rPr>
              <w:t>Competitive Rivalry</w:t>
            </w:r>
            <w:r w:rsidRPr="008B59C1">
              <w:rPr>
                <w:noProof/>
                <w:webHidden/>
              </w:rPr>
              <w:tab/>
            </w:r>
            <w:r w:rsidRPr="008B59C1">
              <w:rPr>
                <w:noProof/>
                <w:webHidden/>
              </w:rPr>
              <w:fldChar w:fldCharType="begin"/>
            </w:r>
            <w:r w:rsidRPr="008B59C1">
              <w:rPr>
                <w:noProof/>
                <w:webHidden/>
              </w:rPr>
              <w:instrText xml:space="preserve"> PAGEREF _Toc216278892 \h </w:instrText>
            </w:r>
            <w:r w:rsidRPr="008B59C1">
              <w:rPr>
                <w:noProof/>
                <w:webHidden/>
              </w:rPr>
            </w:r>
            <w:r w:rsidRPr="008B59C1">
              <w:rPr>
                <w:noProof/>
                <w:webHidden/>
              </w:rPr>
              <w:fldChar w:fldCharType="separate"/>
            </w:r>
            <w:r w:rsidRPr="008B59C1">
              <w:rPr>
                <w:noProof/>
                <w:webHidden/>
              </w:rPr>
              <w:t>13</w:t>
            </w:r>
            <w:r w:rsidRPr="008B59C1">
              <w:rPr>
                <w:noProof/>
                <w:webHidden/>
              </w:rPr>
              <w:fldChar w:fldCharType="end"/>
            </w:r>
          </w:hyperlink>
        </w:p>
        <w:p w14:paraId="3DDBCEA6" w14:textId="67ED8640" w:rsidR="008B59C1" w:rsidRPr="008B59C1" w:rsidRDefault="008B59C1">
          <w:pPr>
            <w:pStyle w:val="TOC3"/>
            <w:tabs>
              <w:tab w:val="right" w:leader="dot" w:pos="9350"/>
            </w:tabs>
            <w:rPr>
              <w:rFonts w:eastAsiaTheme="minorEastAsia"/>
              <w:noProof/>
              <w:sz w:val="24"/>
              <w:szCs w:val="24"/>
            </w:rPr>
          </w:pPr>
          <w:hyperlink w:anchor="_Toc216278893" w:history="1">
            <w:r w:rsidRPr="008B59C1">
              <w:rPr>
                <w:rStyle w:val="Hyperlink"/>
                <w:rFonts w:ascii="Arial" w:hAnsi="Arial" w:cs="Arial"/>
                <w:noProof/>
              </w:rPr>
              <w:t>Threat of Substitutes</w:t>
            </w:r>
            <w:r w:rsidRPr="008B59C1">
              <w:rPr>
                <w:noProof/>
                <w:webHidden/>
              </w:rPr>
              <w:tab/>
            </w:r>
            <w:r w:rsidRPr="008B59C1">
              <w:rPr>
                <w:noProof/>
                <w:webHidden/>
              </w:rPr>
              <w:fldChar w:fldCharType="begin"/>
            </w:r>
            <w:r w:rsidRPr="008B59C1">
              <w:rPr>
                <w:noProof/>
                <w:webHidden/>
              </w:rPr>
              <w:instrText xml:space="preserve"> PAGEREF _Toc216278893 \h </w:instrText>
            </w:r>
            <w:r w:rsidRPr="008B59C1">
              <w:rPr>
                <w:noProof/>
                <w:webHidden/>
              </w:rPr>
            </w:r>
            <w:r w:rsidRPr="008B59C1">
              <w:rPr>
                <w:noProof/>
                <w:webHidden/>
              </w:rPr>
              <w:fldChar w:fldCharType="separate"/>
            </w:r>
            <w:r w:rsidRPr="008B59C1">
              <w:rPr>
                <w:noProof/>
                <w:webHidden/>
              </w:rPr>
              <w:t>13</w:t>
            </w:r>
            <w:r w:rsidRPr="008B59C1">
              <w:rPr>
                <w:noProof/>
                <w:webHidden/>
              </w:rPr>
              <w:fldChar w:fldCharType="end"/>
            </w:r>
          </w:hyperlink>
        </w:p>
        <w:p w14:paraId="34938A9A" w14:textId="3BF2A745" w:rsidR="008B59C1" w:rsidRPr="008B59C1" w:rsidRDefault="008B59C1">
          <w:pPr>
            <w:pStyle w:val="TOC3"/>
            <w:tabs>
              <w:tab w:val="right" w:leader="dot" w:pos="9350"/>
            </w:tabs>
            <w:rPr>
              <w:rFonts w:eastAsiaTheme="minorEastAsia"/>
              <w:noProof/>
              <w:sz w:val="24"/>
              <w:szCs w:val="24"/>
            </w:rPr>
          </w:pPr>
          <w:hyperlink w:anchor="_Toc216278894" w:history="1">
            <w:r w:rsidRPr="008B59C1">
              <w:rPr>
                <w:rStyle w:val="Hyperlink"/>
                <w:rFonts w:ascii="Arial" w:hAnsi="Arial" w:cs="Arial"/>
                <w:noProof/>
              </w:rPr>
              <w:t>Threat of New Entrants</w:t>
            </w:r>
            <w:r w:rsidRPr="008B59C1">
              <w:rPr>
                <w:noProof/>
                <w:webHidden/>
              </w:rPr>
              <w:tab/>
            </w:r>
            <w:r w:rsidRPr="008B59C1">
              <w:rPr>
                <w:noProof/>
                <w:webHidden/>
              </w:rPr>
              <w:fldChar w:fldCharType="begin"/>
            </w:r>
            <w:r w:rsidRPr="008B59C1">
              <w:rPr>
                <w:noProof/>
                <w:webHidden/>
              </w:rPr>
              <w:instrText xml:space="preserve"> PAGEREF _Toc216278894 \h </w:instrText>
            </w:r>
            <w:r w:rsidRPr="008B59C1">
              <w:rPr>
                <w:noProof/>
                <w:webHidden/>
              </w:rPr>
            </w:r>
            <w:r w:rsidRPr="008B59C1">
              <w:rPr>
                <w:noProof/>
                <w:webHidden/>
              </w:rPr>
              <w:fldChar w:fldCharType="separate"/>
            </w:r>
            <w:r w:rsidRPr="008B59C1">
              <w:rPr>
                <w:noProof/>
                <w:webHidden/>
              </w:rPr>
              <w:t>13</w:t>
            </w:r>
            <w:r w:rsidRPr="008B59C1">
              <w:rPr>
                <w:noProof/>
                <w:webHidden/>
              </w:rPr>
              <w:fldChar w:fldCharType="end"/>
            </w:r>
          </w:hyperlink>
        </w:p>
        <w:p w14:paraId="1B38F6B0" w14:textId="33B74304" w:rsidR="008B59C1" w:rsidRPr="008B59C1" w:rsidRDefault="008B59C1">
          <w:pPr>
            <w:pStyle w:val="TOC3"/>
            <w:tabs>
              <w:tab w:val="right" w:leader="dot" w:pos="9350"/>
            </w:tabs>
            <w:rPr>
              <w:rFonts w:eastAsiaTheme="minorEastAsia"/>
              <w:noProof/>
              <w:sz w:val="24"/>
              <w:szCs w:val="24"/>
            </w:rPr>
          </w:pPr>
          <w:hyperlink w:anchor="_Toc216278895" w:history="1">
            <w:r w:rsidRPr="008B59C1">
              <w:rPr>
                <w:rStyle w:val="Hyperlink"/>
                <w:rFonts w:ascii="Arial" w:hAnsi="Arial" w:cs="Arial"/>
                <w:noProof/>
              </w:rPr>
              <w:t>Bargaining Power of Suppliers</w:t>
            </w:r>
            <w:r w:rsidRPr="008B59C1">
              <w:rPr>
                <w:noProof/>
                <w:webHidden/>
              </w:rPr>
              <w:tab/>
            </w:r>
            <w:r w:rsidRPr="008B59C1">
              <w:rPr>
                <w:noProof/>
                <w:webHidden/>
              </w:rPr>
              <w:fldChar w:fldCharType="begin"/>
            </w:r>
            <w:r w:rsidRPr="008B59C1">
              <w:rPr>
                <w:noProof/>
                <w:webHidden/>
              </w:rPr>
              <w:instrText xml:space="preserve"> PAGEREF _Toc216278895 \h </w:instrText>
            </w:r>
            <w:r w:rsidRPr="008B59C1">
              <w:rPr>
                <w:noProof/>
                <w:webHidden/>
              </w:rPr>
            </w:r>
            <w:r w:rsidRPr="008B59C1">
              <w:rPr>
                <w:noProof/>
                <w:webHidden/>
              </w:rPr>
              <w:fldChar w:fldCharType="separate"/>
            </w:r>
            <w:r w:rsidRPr="008B59C1">
              <w:rPr>
                <w:noProof/>
                <w:webHidden/>
              </w:rPr>
              <w:t>14</w:t>
            </w:r>
            <w:r w:rsidRPr="008B59C1">
              <w:rPr>
                <w:noProof/>
                <w:webHidden/>
              </w:rPr>
              <w:fldChar w:fldCharType="end"/>
            </w:r>
          </w:hyperlink>
        </w:p>
        <w:p w14:paraId="735C6F03" w14:textId="4ED27A2C" w:rsidR="008B59C1" w:rsidRPr="008B59C1" w:rsidRDefault="008B59C1">
          <w:pPr>
            <w:pStyle w:val="TOC3"/>
            <w:tabs>
              <w:tab w:val="right" w:leader="dot" w:pos="9350"/>
            </w:tabs>
            <w:rPr>
              <w:rFonts w:eastAsiaTheme="minorEastAsia"/>
              <w:noProof/>
              <w:sz w:val="24"/>
              <w:szCs w:val="24"/>
            </w:rPr>
          </w:pPr>
          <w:hyperlink w:anchor="_Toc216278896" w:history="1">
            <w:r w:rsidRPr="008B59C1">
              <w:rPr>
                <w:rStyle w:val="Hyperlink"/>
                <w:rFonts w:ascii="Arial" w:hAnsi="Arial" w:cs="Arial"/>
                <w:noProof/>
              </w:rPr>
              <w:t>Bargaining Power of Buyers</w:t>
            </w:r>
            <w:r w:rsidRPr="008B59C1">
              <w:rPr>
                <w:noProof/>
                <w:webHidden/>
              </w:rPr>
              <w:tab/>
            </w:r>
            <w:r w:rsidRPr="008B59C1">
              <w:rPr>
                <w:noProof/>
                <w:webHidden/>
              </w:rPr>
              <w:fldChar w:fldCharType="begin"/>
            </w:r>
            <w:r w:rsidRPr="008B59C1">
              <w:rPr>
                <w:noProof/>
                <w:webHidden/>
              </w:rPr>
              <w:instrText xml:space="preserve"> PAGEREF _Toc216278896 \h </w:instrText>
            </w:r>
            <w:r w:rsidRPr="008B59C1">
              <w:rPr>
                <w:noProof/>
                <w:webHidden/>
              </w:rPr>
            </w:r>
            <w:r w:rsidRPr="008B59C1">
              <w:rPr>
                <w:noProof/>
                <w:webHidden/>
              </w:rPr>
              <w:fldChar w:fldCharType="separate"/>
            </w:r>
            <w:r w:rsidRPr="008B59C1">
              <w:rPr>
                <w:noProof/>
                <w:webHidden/>
              </w:rPr>
              <w:t>14</w:t>
            </w:r>
            <w:r w:rsidRPr="008B59C1">
              <w:rPr>
                <w:noProof/>
                <w:webHidden/>
              </w:rPr>
              <w:fldChar w:fldCharType="end"/>
            </w:r>
          </w:hyperlink>
        </w:p>
        <w:p w14:paraId="3C1BC552" w14:textId="22CED662" w:rsidR="008B59C1" w:rsidRPr="008B59C1" w:rsidRDefault="008B59C1">
          <w:pPr>
            <w:pStyle w:val="TOC2"/>
            <w:tabs>
              <w:tab w:val="right" w:leader="dot" w:pos="9350"/>
            </w:tabs>
            <w:rPr>
              <w:rFonts w:eastAsiaTheme="minorEastAsia"/>
              <w:b w:val="0"/>
              <w:bCs w:val="0"/>
              <w:noProof/>
              <w:sz w:val="24"/>
              <w:szCs w:val="24"/>
            </w:rPr>
          </w:pPr>
          <w:hyperlink w:anchor="_Toc216278897" w:history="1">
            <w:r w:rsidRPr="008B59C1">
              <w:rPr>
                <w:rStyle w:val="Hyperlink"/>
                <w:rFonts w:ascii="Arial" w:hAnsi="Arial" w:cs="Arial"/>
                <w:b w:val="0"/>
                <w:bCs w:val="0"/>
                <w:noProof/>
              </w:rPr>
              <w:t>SWOT Analysis and Critical Discussion</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_Toc216278897 \h </w:instrText>
            </w:r>
            <w:r w:rsidRPr="008B59C1">
              <w:rPr>
                <w:b w:val="0"/>
                <w:bCs w:val="0"/>
                <w:noProof/>
                <w:webHidden/>
              </w:rPr>
            </w:r>
            <w:r w:rsidRPr="008B59C1">
              <w:rPr>
                <w:b w:val="0"/>
                <w:bCs w:val="0"/>
                <w:noProof/>
                <w:webHidden/>
              </w:rPr>
              <w:fldChar w:fldCharType="separate"/>
            </w:r>
            <w:r w:rsidRPr="008B59C1">
              <w:rPr>
                <w:b w:val="0"/>
                <w:bCs w:val="0"/>
                <w:noProof/>
                <w:webHidden/>
              </w:rPr>
              <w:t>15</w:t>
            </w:r>
            <w:r w:rsidRPr="008B59C1">
              <w:rPr>
                <w:b w:val="0"/>
                <w:bCs w:val="0"/>
                <w:noProof/>
                <w:webHidden/>
              </w:rPr>
              <w:fldChar w:fldCharType="end"/>
            </w:r>
          </w:hyperlink>
        </w:p>
        <w:p w14:paraId="106D9EC1" w14:textId="3C5FD128" w:rsidR="008B59C1" w:rsidRPr="008B59C1" w:rsidRDefault="008B59C1">
          <w:pPr>
            <w:pStyle w:val="TOC2"/>
            <w:tabs>
              <w:tab w:val="right" w:leader="dot" w:pos="9350"/>
            </w:tabs>
            <w:rPr>
              <w:rFonts w:eastAsiaTheme="minorEastAsia"/>
              <w:b w:val="0"/>
              <w:bCs w:val="0"/>
              <w:noProof/>
              <w:sz w:val="24"/>
              <w:szCs w:val="24"/>
            </w:rPr>
          </w:pPr>
          <w:hyperlink w:anchor="_Toc216278898" w:history="1">
            <w:r w:rsidRPr="008B59C1">
              <w:rPr>
                <w:rStyle w:val="Hyperlink"/>
                <w:rFonts w:ascii="Arial" w:eastAsia="Times New Roman" w:hAnsi="Arial" w:cs="Arial"/>
                <w:b w:val="0"/>
                <w:bCs w:val="0"/>
                <w:noProof/>
              </w:rPr>
              <w:t>Strengths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_Toc216278898 \h </w:instrText>
            </w:r>
            <w:r w:rsidRPr="008B59C1">
              <w:rPr>
                <w:b w:val="0"/>
                <w:bCs w:val="0"/>
                <w:noProof/>
                <w:webHidden/>
              </w:rPr>
            </w:r>
            <w:r w:rsidRPr="008B59C1">
              <w:rPr>
                <w:b w:val="0"/>
                <w:bCs w:val="0"/>
                <w:noProof/>
                <w:webHidden/>
              </w:rPr>
              <w:fldChar w:fldCharType="separate"/>
            </w:r>
            <w:r w:rsidRPr="008B59C1">
              <w:rPr>
                <w:b w:val="0"/>
                <w:bCs w:val="0"/>
                <w:noProof/>
                <w:webHidden/>
              </w:rPr>
              <w:t>15</w:t>
            </w:r>
            <w:r w:rsidRPr="008B59C1">
              <w:rPr>
                <w:b w:val="0"/>
                <w:bCs w:val="0"/>
                <w:noProof/>
                <w:webHidden/>
              </w:rPr>
              <w:fldChar w:fldCharType="end"/>
            </w:r>
          </w:hyperlink>
        </w:p>
        <w:p w14:paraId="586FFBEC" w14:textId="4DABC04A" w:rsidR="008B59C1" w:rsidRPr="008B59C1" w:rsidRDefault="008B59C1">
          <w:pPr>
            <w:pStyle w:val="TOC2"/>
            <w:tabs>
              <w:tab w:val="right" w:leader="dot" w:pos="9350"/>
            </w:tabs>
            <w:rPr>
              <w:rFonts w:eastAsiaTheme="minorEastAsia"/>
              <w:b w:val="0"/>
              <w:bCs w:val="0"/>
              <w:noProof/>
              <w:sz w:val="24"/>
              <w:szCs w:val="24"/>
            </w:rPr>
          </w:pPr>
          <w:hyperlink w:anchor="_Toc216278899" w:history="1">
            <w:r w:rsidRPr="008B59C1">
              <w:rPr>
                <w:rStyle w:val="Hyperlink"/>
                <w:rFonts w:ascii="Arial" w:eastAsia="Times New Roman" w:hAnsi="Arial" w:cs="Arial"/>
                <w:b w:val="0"/>
                <w:bCs w:val="0"/>
                <w:noProof/>
              </w:rPr>
              <w:t>Weaknesses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_Toc216278899 \h </w:instrText>
            </w:r>
            <w:r w:rsidRPr="008B59C1">
              <w:rPr>
                <w:b w:val="0"/>
                <w:bCs w:val="0"/>
                <w:noProof/>
                <w:webHidden/>
              </w:rPr>
            </w:r>
            <w:r w:rsidRPr="008B59C1">
              <w:rPr>
                <w:b w:val="0"/>
                <w:bCs w:val="0"/>
                <w:noProof/>
                <w:webHidden/>
              </w:rPr>
              <w:fldChar w:fldCharType="separate"/>
            </w:r>
            <w:r w:rsidRPr="008B59C1">
              <w:rPr>
                <w:b w:val="0"/>
                <w:bCs w:val="0"/>
                <w:noProof/>
                <w:webHidden/>
              </w:rPr>
              <w:t>15</w:t>
            </w:r>
            <w:r w:rsidRPr="008B59C1">
              <w:rPr>
                <w:b w:val="0"/>
                <w:bCs w:val="0"/>
                <w:noProof/>
                <w:webHidden/>
              </w:rPr>
              <w:fldChar w:fldCharType="end"/>
            </w:r>
          </w:hyperlink>
        </w:p>
        <w:p w14:paraId="5B207436" w14:textId="0BE31A8D" w:rsidR="008B59C1" w:rsidRPr="008B59C1" w:rsidRDefault="008B59C1">
          <w:pPr>
            <w:pStyle w:val="TOC2"/>
            <w:tabs>
              <w:tab w:val="right" w:leader="dot" w:pos="9350"/>
            </w:tabs>
            <w:rPr>
              <w:rFonts w:eastAsiaTheme="minorEastAsia"/>
              <w:b w:val="0"/>
              <w:bCs w:val="0"/>
              <w:noProof/>
              <w:sz w:val="24"/>
              <w:szCs w:val="24"/>
            </w:rPr>
          </w:pPr>
          <w:hyperlink w:anchor="_Toc216278900" w:history="1">
            <w:r w:rsidRPr="008B59C1">
              <w:rPr>
                <w:rStyle w:val="Hyperlink"/>
                <w:rFonts w:ascii="Arial" w:eastAsia="Times New Roman" w:hAnsi="Arial" w:cs="Arial"/>
                <w:b w:val="0"/>
                <w:bCs w:val="0"/>
                <w:noProof/>
              </w:rPr>
              <w:t>Opportunities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_Toc216278900 \h </w:instrText>
            </w:r>
            <w:r w:rsidRPr="008B59C1">
              <w:rPr>
                <w:b w:val="0"/>
                <w:bCs w:val="0"/>
                <w:noProof/>
                <w:webHidden/>
              </w:rPr>
            </w:r>
            <w:r w:rsidRPr="008B59C1">
              <w:rPr>
                <w:b w:val="0"/>
                <w:bCs w:val="0"/>
                <w:noProof/>
                <w:webHidden/>
              </w:rPr>
              <w:fldChar w:fldCharType="separate"/>
            </w:r>
            <w:r w:rsidRPr="008B59C1">
              <w:rPr>
                <w:b w:val="0"/>
                <w:bCs w:val="0"/>
                <w:noProof/>
                <w:webHidden/>
              </w:rPr>
              <w:t>16</w:t>
            </w:r>
            <w:r w:rsidRPr="008B59C1">
              <w:rPr>
                <w:b w:val="0"/>
                <w:bCs w:val="0"/>
                <w:noProof/>
                <w:webHidden/>
              </w:rPr>
              <w:fldChar w:fldCharType="end"/>
            </w:r>
          </w:hyperlink>
        </w:p>
        <w:p w14:paraId="07170F8A" w14:textId="622E89E7" w:rsidR="008B59C1" w:rsidRPr="008B59C1" w:rsidRDefault="008B59C1">
          <w:pPr>
            <w:pStyle w:val="TOC2"/>
            <w:tabs>
              <w:tab w:val="right" w:leader="dot" w:pos="9350"/>
            </w:tabs>
            <w:rPr>
              <w:rFonts w:eastAsiaTheme="minorEastAsia"/>
              <w:b w:val="0"/>
              <w:bCs w:val="0"/>
              <w:noProof/>
              <w:sz w:val="24"/>
              <w:szCs w:val="24"/>
            </w:rPr>
          </w:pPr>
          <w:hyperlink w:anchor="_Toc216278901" w:history="1">
            <w:r w:rsidRPr="008B59C1">
              <w:rPr>
                <w:rStyle w:val="Hyperlink"/>
                <w:rFonts w:ascii="Arial" w:eastAsia="Times New Roman" w:hAnsi="Arial" w:cs="Arial"/>
                <w:b w:val="0"/>
                <w:bCs w:val="0"/>
                <w:noProof/>
              </w:rPr>
              <w:t>Threats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_Toc216278901 \h </w:instrText>
            </w:r>
            <w:r w:rsidRPr="008B59C1">
              <w:rPr>
                <w:b w:val="0"/>
                <w:bCs w:val="0"/>
                <w:noProof/>
                <w:webHidden/>
              </w:rPr>
            </w:r>
            <w:r w:rsidRPr="008B59C1">
              <w:rPr>
                <w:b w:val="0"/>
                <w:bCs w:val="0"/>
                <w:noProof/>
                <w:webHidden/>
              </w:rPr>
              <w:fldChar w:fldCharType="separate"/>
            </w:r>
            <w:r w:rsidRPr="008B59C1">
              <w:rPr>
                <w:b w:val="0"/>
                <w:bCs w:val="0"/>
                <w:noProof/>
                <w:webHidden/>
              </w:rPr>
              <w:t>16</w:t>
            </w:r>
            <w:r w:rsidRPr="008B59C1">
              <w:rPr>
                <w:b w:val="0"/>
                <w:bCs w:val="0"/>
                <w:noProof/>
                <w:webHidden/>
              </w:rPr>
              <w:fldChar w:fldCharType="end"/>
            </w:r>
          </w:hyperlink>
        </w:p>
        <w:p w14:paraId="1ABBE565" w14:textId="33AEC2E3" w:rsidR="008B59C1" w:rsidRPr="008B59C1" w:rsidRDefault="008B59C1">
          <w:pPr>
            <w:pStyle w:val="TOC2"/>
            <w:tabs>
              <w:tab w:val="right" w:leader="dot" w:pos="9350"/>
            </w:tabs>
            <w:rPr>
              <w:rFonts w:eastAsiaTheme="minorEastAsia"/>
              <w:b w:val="0"/>
              <w:bCs w:val="0"/>
              <w:noProof/>
              <w:sz w:val="24"/>
              <w:szCs w:val="24"/>
            </w:rPr>
          </w:pPr>
          <w:hyperlink w:anchor="_Toc216278902" w:history="1">
            <w:r w:rsidRPr="008B59C1">
              <w:rPr>
                <w:rStyle w:val="Hyperlink"/>
                <w:rFonts w:ascii="Arial" w:hAnsi="Arial" w:cs="Arial"/>
                <w:b w:val="0"/>
                <w:bCs w:val="0"/>
                <w:noProof/>
              </w:rPr>
              <w:t>Conclusion</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_Toc216278902 \h </w:instrText>
            </w:r>
            <w:r w:rsidRPr="008B59C1">
              <w:rPr>
                <w:b w:val="0"/>
                <w:bCs w:val="0"/>
                <w:noProof/>
                <w:webHidden/>
              </w:rPr>
            </w:r>
            <w:r w:rsidRPr="008B59C1">
              <w:rPr>
                <w:b w:val="0"/>
                <w:bCs w:val="0"/>
                <w:noProof/>
                <w:webHidden/>
              </w:rPr>
              <w:fldChar w:fldCharType="separate"/>
            </w:r>
            <w:r w:rsidRPr="008B59C1">
              <w:rPr>
                <w:b w:val="0"/>
                <w:bCs w:val="0"/>
                <w:noProof/>
                <w:webHidden/>
              </w:rPr>
              <w:t>17</w:t>
            </w:r>
            <w:r w:rsidRPr="008B59C1">
              <w:rPr>
                <w:b w:val="0"/>
                <w:bCs w:val="0"/>
                <w:noProof/>
                <w:webHidden/>
              </w:rPr>
              <w:fldChar w:fldCharType="end"/>
            </w:r>
          </w:hyperlink>
        </w:p>
        <w:p w14:paraId="355C1960" w14:textId="4402A25C" w:rsidR="008B59C1" w:rsidRPr="008B59C1" w:rsidRDefault="008B59C1">
          <w:pPr>
            <w:pStyle w:val="TOC2"/>
            <w:tabs>
              <w:tab w:val="right" w:leader="dot" w:pos="9350"/>
            </w:tabs>
            <w:rPr>
              <w:rFonts w:eastAsiaTheme="minorEastAsia"/>
              <w:b w:val="0"/>
              <w:bCs w:val="0"/>
              <w:noProof/>
              <w:sz w:val="24"/>
              <w:szCs w:val="24"/>
            </w:rPr>
          </w:pPr>
          <w:hyperlink w:anchor="_Toc216278903" w:history="1">
            <w:r w:rsidRPr="008B59C1">
              <w:rPr>
                <w:rStyle w:val="Hyperlink"/>
                <w:rFonts w:ascii="Arial" w:hAnsi="Arial" w:cs="Arial"/>
                <w:b w:val="0"/>
                <w:bCs w:val="0"/>
                <w:noProof/>
              </w:rPr>
              <w:t>Recommendations</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_Toc216278903 \h </w:instrText>
            </w:r>
            <w:r w:rsidRPr="008B59C1">
              <w:rPr>
                <w:b w:val="0"/>
                <w:bCs w:val="0"/>
                <w:noProof/>
                <w:webHidden/>
              </w:rPr>
            </w:r>
            <w:r w:rsidRPr="008B59C1">
              <w:rPr>
                <w:b w:val="0"/>
                <w:bCs w:val="0"/>
                <w:noProof/>
                <w:webHidden/>
              </w:rPr>
              <w:fldChar w:fldCharType="separate"/>
            </w:r>
            <w:r w:rsidRPr="008B59C1">
              <w:rPr>
                <w:b w:val="0"/>
                <w:bCs w:val="0"/>
                <w:noProof/>
                <w:webHidden/>
              </w:rPr>
              <w:t>18</w:t>
            </w:r>
            <w:r w:rsidRPr="008B59C1">
              <w:rPr>
                <w:b w:val="0"/>
                <w:bCs w:val="0"/>
                <w:noProof/>
                <w:webHidden/>
              </w:rPr>
              <w:fldChar w:fldCharType="end"/>
            </w:r>
          </w:hyperlink>
        </w:p>
        <w:p w14:paraId="29464EDE" w14:textId="1AC725DD" w:rsidR="008B59C1" w:rsidRPr="008B59C1" w:rsidRDefault="008B59C1">
          <w:pPr>
            <w:pStyle w:val="TOC2"/>
            <w:tabs>
              <w:tab w:val="right" w:leader="dot" w:pos="9350"/>
            </w:tabs>
            <w:rPr>
              <w:rFonts w:eastAsiaTheme="minorEastAsia"/>
              <w:b w:val="0"/>
              <w:bCs w:val="0"/>
              <w:noProof/>
              <w:sz w:val="24"/>
              <w:szCs w:val="24"/>
            </w:rPr>
          </w:pPr>
          <w:hyperlink w:anchor="_Toc216278904" w:history="1">
            <w:r w:rsidRPr="008B59C1">
              <w:rPr>
                <w:rStyle w:val="Hyperlink"/>
                <w:rFonts w:ascii="Arial" w:hAnsi="Arial" w:cs="Arial"/>
                <w:b w:val="0"/>
                <w:bCs w:val="0"/>
                <w:noProof/>
              </w:rPr>
              <w:t>Bibliography</w:t>
            </w:r>
            <w:r w:rsidRPr="008B59C1">
              <w:rPr>
                <w:b w:val="0"/>
                <w:bCs w:val="0"/>
                <w:noProof/>
                <w:webHidden/>
              </w:rPr>
              <w:tab/>
            </w:r>
            <w:r w:rsidRPr="008B59C1">
              <w:rPr>
                <w:b w:val="0"/>
                <w:bCs w:val="0"/>
                <w:noProof/>
                <w:webHidden/>
              </w:rPr>
              <w:fldChar w:fldCharType="begin"/>
            </w:r>
            <w:r w:rsidRPr="008B59C1">
              <w:rPr>
                <w:b w:val="0"/>
                <w:bCs w:val="0"/>
                <w:noProof/>
                <w:webHidden/>
              </w:rPr>
              <w:instrText xml:space="preserve"> PAGEREF _Toc216278904 \h </w:instrText>
            </w:r>
            <w:r w:rsidRPr="008B59C1">
              <w:rPr>
                <w:b w:val="0"/>
                <w:bCs w:val="0"/>
                <w:noProof/>
                <w:webHidden/>
              </w:rPr>
            </w:r>
            <w:r w:rsidRPr="008B59C1">
              <w:rPr>
                <w:b w:val="0"/>
                <w:bCs w:val="0"/>
                <w:noProof/>
                <w:webHidden/>
              </w:rPr>
              <w:fldChar w:fldCharType="separate"/>
            </w:r>
            <w:r w:rsidRPr="008B59C1">
              <w:rPr>
                <w:b w:val="0"/>
                <w:bCs w:val="0"/>
                <w:noProof/>
                <w:webHidden/>
              </w:rPr>
              <w:t>20</w:t>
            </w:r>
            <w:r w:rsidRPr="008B59C1">
              <w:rPr>
                <w:b w:val="0"/>
                <w:bCs w:val="0"/>
                <w:noProof/>
                <w:webHidden/>
              </w:rPr>
              <w:fldChar w:fldCharType="end"/>
            </w:r>
          </w:hyperlink>
        </w:p>
        <w:p w14:paraId="165E2F18" w14:textId="094C7012" w:rsidR="00BC7015" w:rsidRDefault="00BC7015" w:rsidP="00BC7015">
          <w:pPr>
            <w:spacing w:line="360" w:lineRule="auto"/>
          </w:pPr>
          <w:r w:rsidRPr="008B59C1">
            <w:rPr>
              <w:rFonts w:ascii="Arial" w:hAnsi="Arial" w:cs="Arial"/>
              <w:noProof/>
              <w:sz w:val="22"/>
              <w:szCs w:val="22"/>
            </w:rPr>
            <w:fldChar w:fldCharType="end"/>
          </w:r>
        </w:p>
      </w:sdtContent>
    </w:sdt>
    <w:p w14:paraId="5DC246C8" w14:textId="77777777" w:rsidR="00BC7015" w:rsidRDefault="00BC7015" w:rsidP="00731E12">
      <w:pPr>
        <w:pStyle w:val="Heading2"/>
        <w:rPr>
          <w:rFonts w:ascii="Arial" w:hAnsi="Arial" w:cs="Arial"/>
          <w:color w:val="000000" w:themeColor="text1"/>
        </w:rPr>
      </w:pPr>
    </w:p>
    <w:p w14:paraId="124F73F5" w14:textId="77777777" w:rsidR="00BC7015" w:rsidRDefault="00BC7015" w:rsidP="00BC7015"/>
    <w:p w14:paraId="219B7855" w14:textId="77777777" w:rsidR="008B59C1" w:rsidRPr="00BC7015" w:rsidRDefault="008B59C1" w:rsidP="00BC7015"/>
    <w:p w14:paraId="2F8A1F05" w14:textId="73CB6A84" w:rsidR="00E75805" w:rsidRDefault="00E75805" w:rsidP="00731E12">
      <w:pPr>
        <w:pStyle w:val="Heading2"/>
        <w:rPr>
          <w:rFonts w:ascii="Arial" w:hAnsi="Arial" w:cs="Arial"/>
          <w:color w:val="000000" w:themeColor="text1"/>
        </w:rPr>
      </w:pPr>
      <w:bookmarkStart w:id="0" w:name="_Toc216278884"/>
      <w:r w:rsidRPr="00731E12">
        <w:rPr>
          <w:rFonts w:ascii="Arial" w:hAnsi="Arial" w:cs="Arial"/>
          <w:color w:val="000000" w:themeColor="text1"/>
        </w:rPr>
        <w:lastRenderedPageBreak/>
        <w:t>Executive Summary</w:t>
      </w:r>
      <w:bookmarkEnd w:id="0"/>
      <w:r w:rsidRPr="00731E12">
        <w:rPr>
          <w:rFonts w:ascii="Arial" w:hAnsi="Arial" w:cs="Arial"/>
          <w:color w:val="000000" w:themeColor="text1"/>
        </w:rPr>
        <w:t xml:space="preserve"> </w:t>
      </w:r>
    </w:p>
    <w:p w14:paraId="5303B044" w14:textId="77777777" w:rsidR="00731E12" w:rsidRPr="00731E12" w:rsidRDefault="00731E12" w:rsidP="00731E12"/>
    <w:p w14:paraId="67AE1B05" w14:textId="2139C803" w:rsidR="00231566" w:rsidRPr="00731E12" w:rsidRDefault="00C33209" w:rsidP="00731E12">
      <w:pPr>
        <w:spacing w:line="360" w:lineRule="auto"/>
        <w:jc w:val="both"/>
        <w:rPr>
          <w:rFonts w:ascii="Arial" w:hAnsi="Arial" w:cs="Arial"/>
          <w:sz w:val="22"/>
          <w:szCs w:val="22"/>
        </w:rPr>
      </w:pPr>
      <w:r w:rsidRPr="00731E12">
        <w:rPr>
          <w:rFonts w:ascii="Arial" w:hAnsi="Arial" w:cs="Arial"/>
          <w:sz w:val="22"/>
          <w:szCs w:val="22"/>
        </w:rPr>
        <w:t xml:space="preserve">The FMCG sector is characterised by intense competition, rapid technological change, vulnerability to geopolitical </w:t>
      </w:r>
      <w:r w:rsidR="000724A1" w:rsidRPr="00731E12">
        <w:rPr>
          <w:rFonts w:ascii="Arial" w:hAnsi="Arial" w:cs="Arial"/>
          <w:sz w:val="22"/>
          <w:szCs w:val="22"/>
        </w:rPr>
        <w:t>instability and supply chain</w:t>
      </w:r>
      <w:r w:rsidRPr="00731E12">
        <w:rPr>
          <w:rFonts w:ascii="Arial" w:hAnsi="Arial" w:cs="Arial"/>
          <w:sz w:val="22"/>
          <w:szCs w:val="22"/>
        </w:rPr>
        <w:t xml:space="preserve"> disruption, and price-sensitive </w:t>
      </w:r>
      <w:r w:rsidR="000724A1" w:rsidRPr="00731E12">
        <w:rPr>
          <w:rFonts w:ascii="Arial" w:hAnsi="Arial" w:cs="Arial"/>
          <w:sz w:val="22"/>
          <w:szCs w:val="22"/>
        </w:rPr>
        <w:t>consumer</w:t>
      </w:r>
      <w:r w:rsidRPr="00731E12">
        <w:rPr>
          <w:rFonts w:ascii="Arial" w:hAnsi="Arial" w:cs="Arial"/>
          <w:sz w:val="22"/>
          <w:szCs w:val="22"/>
        </w:rPr>
        <w:t xml:space="preserve"> behaviour</w:t>
      </w:r>
      <w:r w:rsidR="00EE706A" w:rsidRPr="00731E12">
        <w:rPr>
          <w:rFonts w:ascii="Arial" w:hAnsi="Arial" w:cs="Arial"/>
          <w:sz w:val="22"/>
          <w:szCs w:val="22"/>
        </w:rPr>
        <w:t xml:space="preserve"> (</w:t>
      </w:r>
      <w:r w:rsidR="00EE706A" w:rsidRPr="00731E12">
        <w:rPr>
          <w:rStyle w:val="text"/>
          <w:rFonts w:ascii="Arial" w:hAnsi="Arial" w:cs="Arial"/>
          <w:sz w:val="22"/>
          <w:szCs w:val="22"/>
        </w:rPr>
        <w:t>Wu</w:t>
      </w:r>
      <w:r w:rsidR="00731E12" w:rsidRPr="00731E12">
        <w:rPr>
          <w:rStyle w:val="text"/>
          <w:rFonts w:ascii="Arial" w:hAnsi="Arial" w:cs="Arial"/>
          <w:sz w:val="22"/>
          <w:szCs w:val="22"/>
        </w:rPr>
        <w:t xml:space="preserve">&amp; </w:t>
      </w:r>
      <w:r w:rsidR="00EE706A" w:rsidRPr="00731E12">
        <w:rPr>
          <w:rStyle w:val="text"/>
          <w:rFonts w:ascii="Arial" w:hAnsi="Arial" w:cs="Arial"/>
          <w:sz w:val="22"/>
          <w:szCs w:val="22"/>
        </w:rPr>
        <w:t>Lam</w:t>
      </w:r>
      <w:r w:rsidR="00EE706A" w:rsidRPr="00731E12">
        <w:rPr>
          <w:rStyle w:val="apple-converted-space"/>
          <w:rFonts w:ascii="Arial" w:hAnsi="Arial" w:cs="Arial"/>
          <w:sz w:val="22"/>
          <w:szCs w:val="22"/>
        </w:rPr>
        <w:t>, 2025)</w:t>
      </w:r>
      <w:r w:rsidR="002557C2" w:rsidRPr="00731E12">
        <w:rPr>
          <w:rFonts w:ascii="Arial" w:hAnsi="Arial" w:cs="Arial"/>
          <w:sz w:val="22"/>
          <w:szCs w:val="22"/>
        </w:rPr>
        <w:t>.</w:t>
      </w:r>
      <w:r w:rsidR="000724A1" w:rsidRPr="00731E12">
        <w:rPr>
          <w:rFonts w:ascii="Arial" w:hAnsi="Arial" w:cs="Arial"/>
          <w:sz w:val="22"/>
          <w:szCs w:val="22"/>
        </w:rPr>
        <w:t xml:space="preserve"> </w:t>
      </w:r>
      <w:r w:rsidR="002D1F45" w:rsidRPr="00731E12">
        <w:rPr>
          <w:rFonts w:ascii="Arial" w:hAnsi="Arial" w:cs="Arial"/>
          <w:sz w:val="22"/>
          <w:szCs w:val="22"/>
        </w:rPr>
        <w:t xml:space="preserve">The fast-moving </w:t>
      </w:r>
      <w:r w:rsidR="000724A1" w:rsidRPr="00731E12">
        <w:rPr>
          <w:rFonts w:ascii="Arial" w:hAnsi="Arial" w:cs="Arial"/>
          <w:sz w:val="22"/>
          <w:szCs w:val="22"/>
        </w:rPr>
        <w:t>consumer</w:t>
      </w:r>
      <w:r w:rsidR="002D1F45" w:rsidRPr="00731E12">
        <w:rPr>
          <w:rFonts w:ascii="Arial" w:hAnsi="Arial" w:cs="Arial"/>
          <w:sz w:val="22"/>
          <w:szCs w:val="22"/>
        </w:rPr>
        <w:t xml:space="preserve"> </w:t>
      </w:r>
      <w:r w:rsidR="000724A1" w:rsidRPr="00731E12">
        <w:rPr>
          <w:rFonts w:ascii="Arial" w:hAnsi="Arial" w:cs="Arial"/>
          <w:sz w:val="22"/>
          <w:szCs w:val="22"/>
        </w:rPr>
        <w:t xml:space="preserve">goods market </w:t>
      </w:r>
      <w:r w:rsidR="002D1F45" w:rsidRPr="00731E12">
        <w:rPr>
          <w:rFonts w:ascii="Arial" w:hAnsi="Arial" w:cs="Arial"/>
          <w:sz w:val="22"/>
          <w:szCs w:val="22"/>
        </w:rPr>
        <w:t xml:space="preserve">is </w:t>
      </w:r>
      <w:r w:rsidR="000724A1" w:rsidRPr="00731E12">
        <w:rPr>
          <w:rFonts w:ascii="Arial" w:hAnsi="Arial" w:cs="Arial"/>
          <w:sz w:val="22"/>
          <w:szCs w:val="22"/>
        </w:rPr>
        <w:t>highly</w:t>
      </w:r>
      <w:r w:rsidR="002D1F45" w:rsidRPr="00731E12">
        <w:rPr>
          <w:rFonts w:ascii="Arial" w:hAnsi="Arial" w:cs="Arial"/>
          <w:sz w:val="22"/>
          <w:szCs w:val="22"/>
        </w:rPr>
        <w:t xml:space="preserve"> competitive, with </w:t>
      </w:r>
      <w:r w:rsidR="000724A1" w:rsidRPr="00731E12">
        <w:rPr>
          <w:rFonts w:ascii="Arial" w:hAnsi="Arial" w:cs="Arial"/>
          <w:sz w:val="22"/>
          <w:szCs w:val="22"/>
        </w:rPr>
        <w:t>consumers</w:t>
      </w:r>
      <w:r w:rsidR="002D1F45" w:rsidRPr="00731E12">
        <w:rPr>
          <w:rFonts w:ascii="Arial" w:hAnsi="Arial" w:cs="Arial"/>
          <w:sz w:val="22"/>
          <w:szCs w:val="22"/>
        </w:rPr>
        <w:t xml:space="preserve"> </w:t>
      </w:r>
      <w:r w:rsidR="000724A1" w:rsidRPr="00731E12">
        <w:rPr>
          <w:rFonts w:ascii="Arial" w:hAnsi="Arial" w:cs="Arial"/>
          <w:sz w:val="22"/>
          <w:szCs w:val="22"/>
        </w:rPr>
        <w:t>constantly seeking</w:t>
      </w:r>
      <w:r w:rsidR="002D1F45" w:rsidRPr="00731E12">
        <w:rPr>
          <w:rFonts w:ascii="Arial" w:hAnsi="Arial" w:cs="Arial"/>
          <w:sz w:val="22"/>
          <w:szCs w:val="22"/>
        </w:rPr>
        <w:t xml:space="preserve"> new product ideas </w:t>
      </w:r>
      <w:r w:rsidR="000724A1" w:rsidRPr="00731E12">
        <w:rPr>
          <w:rFonts w:ascii="Arial" w:hAnsi="Arial" w:cs="Arial"/>
          <w:sz w:val="22"/>
          <w:szCs w:val="22"/>
        </w:rPr>
        <w:t>and innovations</w:t>
      </w:r>
      <w:r w:rsidR="002D1F45" w:rsidRPr="00731E12">
        <w:rPr>
          <w:rFonts w:ascii="Arial" w:hAnsi="Arial" w:cs="Arial"/>
          <w:sz w:val="22"/>
          <w:szCs w:val="22"/>
        </w:rPr>
        <w:t xml:space="preserve"> to </w:t>
      </w:r>
      <w:r w:rsidR="000724A1" w:rsidRPr="00731E12">
        <w:rPr>
          <w:rFonts w:ascii="Arial" w:hAnsi="Arial" w:cs="Arial"/>
          <w:sz w:val="22"/>
          <w:szCs w:val="22"/>
        </w:rPr>
        <w:t>meet</w:t>
      </w:r>
      <w:r w:rsidR="002D1F45" w:rsidRPr="00731E12">
        <w:rPr>
          <w:rFonts w:ascii="Arial" w:hAnsi="Arial" w:cs="Arial"/>
          <w:sz w:val="22"/>
          <w:szCs w:val="22"/>
        </w:rPr>
        <w:t xml:space="preserve"> customer demands.</w:t>
      </w:r>
      <w:r w:rsidR="000724A1" w:rsidRPr="00731E12">
        <w:rPr>
          <w:rFonts w:ascii="Arial" w:hAnsi="Arial" w:cs="Arial"/>
          <w:sz w:val="22"/>
          <w:szCs w:val="22"/>
        </w:rPr>
        <w:t xml:space="preserve"> </w:t>
      </w:r>
      <w:r w:rsidR="002D1F45" w:rsidRPr="00731E12">
        <w:rPr>
          <w:rFonts w:ascii="Arial" w:hAnsi="Arial" w:cs="Arial"/>
          <w:sz w:val="22"/>
          <w:szCs w:val="22"/>
        </w:rPr>
        <w:t>Major companies operating in this market include Nestlé, Procter</w:t>
      </w:r>
      <w:r w:rsidR="00731E12" w:rsidRPr="00731E12">
        <w:rPr>
          <w:rFonts w:ascii="Arial" w:hAnsi="Arial" w:cs="Arial"/>
          <w:sz w:val="22"/>
          <w:szCs w:val="22"/>
        </w:rPr>
        <w:t xml:space="preserve">&amp; </w:t>
      </w:r>
      <w:r w:rsidR="002D1F45" w:rsidRPr="00731E12">
        <w:rPr>
          <w:rFonts w:ascii="Arial" w:hAnsi="Arial" w:cs="Arial"/>
          <w:sz w:val="22"/>
          <w:szCs w:val="22"/>
        </w:rPr>
        <w:t>Gamble (P&amp;G), Unilever, PepsiCo, and The Coca-Cola Company (Statista, 2025)</w:t>
      </w:r>
      <w:r w:rsidR="00731E12" w:rsidRPr="00731E12">
        <w:rPr>
          <w:rFonts w:ascii="Arial" w:hAnsi="Arial" w:cs="Arial"/>
          <w:sz w:val="22"/>
          <w:szCs w:val="22"/>
        </w:rPr>
        <w:t>.</w:t>
      </w:r>
    </w:p>
    <w:p w14:paraId="3D65EF30" w14:textId="3D8AE13C" w:rsidR="00C15BA2" w:rsidRPr="00731E12" w:rsidRDefault="00E75805" w:rsidP="00731E12">
      <w:pPr>
        <w:spacing w:line="360" w:lineRule="auto"/>
        <w:jc w:val="both"/>
        <w:rPr>
          <w:rFonts w:ascii="Arial" w:hAnsi="Arial" w:cs="Arial"/>
          <w:sz w:val="22"/>
          <w:szCs w:val="22"/>
        </w:rPr>
      </w:pPr>
      <w:r w:rsidRPr="00731E12">
        <w:rPr>
          <w:rFonts w:ascii="Arial" w:hAnsi="Arial" w:cs="Arial"/>
          <w:sz w:val="22"/>
          <w:szCs w:val="22"/>
        </w:rPr>
        <w:t>Procter</w:t>
      </w:r>
      <w:r w:rsidR="00731E12" w:rsidRPr="00731E12">
        <w:rPr>
          <w:rFonts w:ascii="Arial" w:hAnsi="Arial" w:cs="Arial"/>
          <w:sz w:val="22"/>
          <w:szCs w:val="22"/>
        </w:rPr>
        <w:t xml:space="preserve">&amp; </w:t>
      </w:r>
      <w:r w:rsidRPr="00731E12">
        <w:rPr>
          <w:rFonts w:ascii="Arial" w:hAnsi="Arial" w:cs="Arial"/>
          <w:sz w:val="22"/>
          <w:szCs w:val="22"/>
        </w:rPr>
        <w:t>Gamble (P&amp;G) is one of the largest fast-moving consumer goods (FMCG) companies in the world, with products sold across more than 180 countries</w:t>
      </w:r>
      <w:r w:rsidR="000724A1" w:rsidRPr="00731E12">
        <w:rPr>
          <w:rFonts w:ascii="Arial" w:hAnsi="Arial" w:cs="Arial"/>
          <w:sz w:val="22"/>
          <w:szCs w:val="22"/>
        </w:rPr>
        <w:t xml:space="preserve"> </w:t>
      </w:r>
      <w:r w:rsidR="00EE706A" w:rsidRPr="00731E12">
        <w:rPr>
          <w:rFonts w:ascii="Arial" w:hAnsi="Arial" w:cs="Arial"/>
          <w:sz w:val="22"/>
          <w:szCs w:val="22"/>
        </w:rPr>
        <w:t>(Dividend One, 2025)</w:t>
      </w:r>
      <w:r w:rsidR="000724A1" w:rsidRPr="00731E12">
        <w:rPr>
          <w:rFonts w:ascii="Arial" w:hAnsi="Arial" w:cs="Arial"/>
          <w:sz w:val="22"/>
          <w:szCs w:val="22"/>
        </w:rPr>
        <w:t>. The company</w:t>
      </w:r>
      <w:r w:rsidR="00C15BA2" w:rsidRPr="00731E12">
        <w:rPr>
          <w:rFonts w:ascii="Arial" w:hAnsi="Arial" w:cs="Arial"/>
          <w:sz w:val="22"/>
          <w:szCs w:val="22"/>
        </w:rPr>
        <w:t xml:space="preserve"> is renowned for its diverse product portfolio and commitment to delivering high-quality, safe, and reliable products to </w:t>
      </w:r>
      <w:r w:rsidR="000724A1" w:rsidRPr="00731E12">
        <w:rPr>
          <w:rFonts w:ascii="Arial" w:hAnsi="Arial" w:cs="Arial"/>
          <w:sz w:val="22"/>
          <w:szCs w:val="22"/>
        </w:rPr>
        <w:t>consumers</w:t>
      </w:r>
      <w:r w:rsidR="00C15BA2" w:rsidRPr="00731E12">
        <w:rPr>
          <w:rFonts w:ascii="Arial" w:hAnsi="Arial" w:cs="Arial"/>
          <w:sz w:val="22"/>
          <w:szCs w:val="22"/>
        </w:rPr>
        <w:t>.</w:t>
      </w:r>
      <w:r w:rsidR="000724A1" w:rsidRPr="00731E12">
        <w:rPr>
          <w:rFonts w:ascii="Arial" w:hAnsi="Arial" w:cs="Arial"/>
          <w:sz w:val="22"/>
          <w:szCs w:val="22"/>
        </w:rPr>
        <w:t xml:space="preserve"> </w:t>
      </w:r>
      <w:r w:rsidRPr="00731E12">
        <w:rPr>
          <w:rFonts w:ascii="Arial" w:hAnsi="Arial" w:cs="Arial"/>
          <w:sz w:val="22"/>
          <w:szCs w:val="22"/>
        </w:rPr>
        <w:t>As a global organisation, P&amp;G is continuously exposed to complex environmental forces that shape its strategic decisions, operational outcomes and long-term competitiveness.</w:t>
      </w:r>
      <w:r w:rsidR="000724A1" w:rsidRPr="00731E12">
        <w:rPr>
          <w:rFonts w:ascii="Arial" w:hAnsi="Arial" w:cs="Arial"/>
          <w:sz w:val="22"/>
          <w:szCs w:val="22"/>
        </w:rPr>
        <w:t xml:space="preserve"> </w:t>
      </w:r>
      <w:r w:rsidRPr="00731E12">
        <w:rPr>
          <w:rFonts w:ascii="Arial" w:hAnsi="Arial" w:cs="Arial"/>
          <w:sz w:val="22"/>
          <w:szCs w:val="22"/>
        </w:rPr>
        <w:t>This report critically evaluates the macroeconomic, industry</w:t>
      </w:r>
      <w:r w:rsidR="00C33209" w:rsidRPr="00731E12">
        <w:rPr>
          <w:rFonts w:ascii="Arial" w:hAnsi="Arial" w:cs="Arial"/>
          <w:sz w:val="22"/>
          <w:szCs w:val="22"/>
        </w:rPr>
        <w:t>,</w:t>
      </w:r>
      <w:r w:rsidRPr="00731E12">
        <w:rPr>
          <w:rFonts w:ascii="Arial" w:hAnsi="Arial" w:cs="Arial"/>
          <w:sz w:val="22"/>
          <w:szCs w:val="22"/>
        </w:rPr>
        <w:t xml:space="preserve"> and competitive factors influencing P&amp;G and explores how the organisation can maintain a strong position in an increasingly dynamic and uncertain international environment.</w:t>
      </w:r>
    </w:p>
    <w:p w14:paraId="60C5EED7" w14:textId="7DC105D8" w:rsidR="00E75805" w:rsidRPr="00731E12" w:rsidRDefault="00E75805" w:rsidP="00731E12">
      <w:pPr>
        <w:spacing w:line="360" w:lineRule="auto"/>
        <w:jc w:val="both"/>
        <w:rPr>
          <w:rFonts w:ascii="Arial" w:hAnsi="Arial" w:cs="Arial"/>
          <w:sz w:val="22"/>
          <w:szCs w:val="22"/>
        </w:rPr>
      </w:pPr>
      <w:r w:rsidRPr="00731E12">
        <w:rPr>
          <w:rFonts w:ascii="Arial" w:hAnsi="Arial" w:cs="Arial"/>
          <w:sz w:val="22"/>
          <w:szCs w:val="22"/>
        </w:rPr>
        <w:t>A PESTEL analysis demonstrates that P&amp;G is highly affected by political and regulatory pressures, particularly re</w:t>
      </w:r>
      <w:r w:rsidR="00C33209" w:rsidRPr="00731E12">
        <w:rPr>
          <w:rFonts w:ascii="Arial" w:hAnsi="Arial" w:cs="Arial"/>
          <w:sz w:val="22"/>
          <w:szCs w:val="22"/>
        </w:rPr>
        <w:t>garding</w:t>
      </w:r>
      <w:r w:rsidRPr="00731E12">
        <w:rPr>
          <w:rFonts w:ascii="Arial" w:hAnsi="Arial" w:cs="Arial"/>
          <w:sz w:val="22"/>
          <w:szCs w:val="22"/>
        </w:rPr>
        <w:t xml:space="preserve"> environmental standards, product safety, packaging waste</w:t>
      </w:r>
      <w:r w:rsidR="00C33209" w:rsidRPr="00731E12">
        <w:rPr>
          <w:rFonts w:ascii="Arial" w:hAnsi="Arial" w:cs="Arial"/>
          <w:sz w:val="22"/>
          <w:szCs w:val="22"/>
        </w:rPr>
        <w:t>,</w:t>
      </w:r>
      <w:r w:rsidRPr="00731E12">
        <w:rPr>
          <w:rFonts w:ascii="Arial" w:hAnsi="Arial" w:cs="Arial"/>
          <w:sz w:val="22"/>
          <w:szCs w:val="22"/>
        </w:rPr>
        <w:t xml:space="preserve"> and trade restrictions.</w:t>
      </w:r>
      <w:r w:rsidR="000724A1" w:rsidRPr="00731E12">
        <w:rPr>
          <w:rFonts w:ascii="Arial" w:hAnsi="Arial" w:cs="Arial"/>
          <w:sz w:val="22"/>
          <w:szCs w:val="22"/>
        </w:rPr>
        <w:t xml:space="preserve"> </w:t>
      </w:r>
      <w:r w:rsidR="00EE706A" w:rsidRPr="00731E12">
        <w:rPr>
          <w:rFonts w:ascii="Arial" w:hAnsi="Arial" w:cs="Arial"/>
          <w:sz w:val="22"/>
          <w:szCs w:val="22"/>
        </w:rPr>
        <w:t xml:space="preserve">These external pressures demand strategic agility and continuous innovation from organisations operating at </w:t>
      </w:r>
      <w:r w:rsidR="000724A1" w:rsidRPr="00731E12">
        <w:rPr>
          <w:rFonts w:ascii="Arial" w:hAnsi="Arial" w:cs="Arial"/>
          <w:sz w:val="22"/>
          <w:szCs w:val="22"/>
        </w:rPr>
        <w:t>P&amp;G's</w:t>
      </w:r>
      <w:r w:rsidR="00EE706A" w:rsidRPr="00731E12">
        <w:rPr>
          <w:rFonts w:ascii="Arial" w:hAnsi="Arial" w:cs="Arial"/>
          <w:sz w:val="22"/>
          <w:szCs w:val="22"/>
        </w:rPr>
        <w:t xml:space="preserve"> scale in order to protect market share and sustain profitability.</w:t>
      </w:r>
      <w:r w:rsidR="000724A1" w:rsidRPr="00731E12">
        <w:rPr>
          <w:rFonts w:ascii="Arial" w:hAnsi="Arial" w:cs="Arial"/>
          <w:sz w:val="22"/>
          <w:szCs w:val="22"/>
        </w:rPr>
        <w:t xml:space="preserve"> </w:t>
      </w:r>
      <w:r w:rsidRPr="00731E12">
        <w:rPr>
          <w:rFonts w:ascii="Arial" w:hAnsi="Arial" w:cs="Arial"/>
          <w:sz w:val="22"/>
          <w:szCs w:val="22"/>
        </w:rPr>
        <w:t>Economic uncertainty, cost inflation and fluctuations in consumer demand represent significant risks, especially when customers seek cheaper alternatives during recessions.</w:t>
      </w:r>
      <w:r w:rsidR="000724A1" w:rsidRPr="00731E12">
        <w:rPr>
          <w:rFonts w:ascii="Arial" w:hAnsi="Arial" w:cs="Arial"/>
          <w:sz w:val="22"/>
          <w:szCs w:val="22"/>
        </w:rPr>
        <w:t xml:space="preserve"> </w:t>
      </w:r>
      <w:r w:rsidRPr="00731E12">
        <w:rPr>
          <w:rFonts w:ascii="Arial" w:hAnsi="Arial" w:cs="Arial"/>
          <w:sz w:val="22"/>
          <w:szCs w:val="22"/>
        </w:rPr>
        <w:t>At the same time, shifting societal attitudes towards sustainability and natural ingredients have changed purchasing behaviour, creating both challenges and opportunities.</w:t>
      </w:r>
    </w:p>
    <w:p w14:paraId="24689848" w14:textId="05304551" w:rsidR="00E75805" w:rsidRPr="00731E12" w:rsidRDefault="000724A1" w:rsidP="00731E12">
      <w:pPr>
        <w:spacing w:line="360" w:lineRule="auto"/>
        <w:jc w:val="both"/>
        <w:rPr>
          <w:rFonts w:ascii="Arial" w:hAnsi="Arial" w:cs="Arial"/>
          <w:sz w:val="22"/>
          <w:szCs w:val="22"/>
        </w:rPr>
      </w:pPr>
      <w:r w:rsidRPr="00731E12">
        <w:rPr>
          <w:rFonts w:ascii="Arial" w:hAnsi="Arial" w:cs="Arial"/>
          <w:sz w:val="22"/>
          <w:szCs w:val="22"/>
        </w:rPr>
        <w:t>Porter's</w:t>
      </w:r>
      <w:r w:rsidR="00E75805" w:rsidRPr="00731E12">
        <w:rPr>
          <w:rFonts w:ascii="Arial" w:hAnsi="Arial" w:cs="Arial"/>
          <w:sz w:val="22"/>
          <w:szCs w:val="22"/>
        </w:rPr>
        <w:t xml:space="preserve"> Five Forces analysis reveals that competition in the FMCG industry is intense.</w:t>
      </w:r>
      <w:r w:rsidRPr="00731E12">
        <w:rPr>
          <w:rFonts w:ascii="Arial" w:hAnsi="Arial" w:cs="Arial"/>
          <w:sz w:val="22"/>
          <w:szCs w:val="22"/>
        </w:rPr>
        <w:t xml:space="preserve"> </w:t>
      </w:r>
      <w:r w:rsidR="00E75805" w:rsidRPr="00731E12">
        <w:rPr>
          <w:rFonts w:ascii="Arial" w:hAnsi="Arial" w:cs="Arial"/>
          <w:sz w:val="22"/>
          <w:szCs w:val="22"/>
        </w:rPr>
        <w:t>P&amp;G competes against large multinational corporations such as Unilever and Colgate-Palmolive, as well as rapidly growing private-label brands.</w:t>
      </w:r>
      <w:r w:rsidRPr="00731E12">
        <w:rPr>
          <w:rFonts w:ascii="Arial" w:hAnsi="Arial" w:cs="Arial"/>
          <w:sz w:val="22"/>
          <w:szCs w:val="22"/>
        </w:rPr>
        <w:t xml:space="preserve"> </w:t>
      </w:r>
      <w:r w:rsidR="00E75805" w:rsidRPr="00731E12">
        <w:rPr>
          <w:rFonts w:ascii="Arial" w:hAnsi="Arial" w:cs="Arial"/>
          <w:sz w:val="22"/>
          <w:szCs w:val="22"/>
        </w:rPr>
        <w:t>While barriers to new entrants are high, the threat of substitutes and increasing buyer power are prominent forces that put pressure on pricing and profit margins.</w:t>
      </w:r>
    </w:p>
    <w:p w14:paraId="5BA6C464" w14:textId="1A460F44" w:rsidR="00E75805" w:rsidRPr="00731E12" w:rsidRDefault="00E75805" w:rsidP="00731E12">
      <w:pPr>
        <w:spacing w:line="360" w:lineRule="auto"/>
        <w:jc w:val="both"/>
        <w:rPr>
          <w:rFonts w:ascii="Arial" w:hAnsi="Arial" w:cs="Arial"/>
          <w:sz w:val="22"/>
          <w:szCs w:val="22"/>
        </w:rPr>
      </w:pPr>
      <w:r w:rsidRPr="00731E12">
        <w:rPr>
          <w:rFonts w:ascii="Arial" w:hAnsi="Arial" w:cs="Arial"/>
          <w:sz w:val="22"/>
          <w:szCs w:val="22"/>
        </w:rPr>
        <w:lastRenderedPageBreak/>
        <w:t>A SWOT analysis shows that P&amp;G benefits from s</w:t>
      </w:r>
      <w:r w:rsidR="00C33209" w:rsidRPr="00731E12">
        <w:rPr>
          <w:rFonts w:ascii="Arial" w:hAnsi="Arial" w:cs="Arial"/>
          <w:sz w:val="22"/>
          <w:szCs w:val="22"/>
        </w:rPr>
        <w:t>ubstantial</w:t>
      </w:r>
      <w:r w:rsidRPr="00731E12">
        <w:rPr>
          <w:rFonts w:ascii="Arial" w:hAnsi="Arial" w:cs="Arial"/>
          <w:sz w:val="22"/>
          <w:szCs w:val="22"/>
        </w:rPr>
        <w:t xml:space="preserve"> brand equity, global reach, economies of scale, and ongoing investment in research and development.</w:t>
      </w:r>
      <w:r w:rsidR="000724A1" w:rsidRPr="00731E12">
        <w:rPr>
          <w:rFonts w:ascii="Arial" w:hAnsi="Arial" w:cs="Arial"/>
          <w:sz w:val="22"/>
          <w:szCs w:val="22"/>
        </w:rPr>
        <w:t xml:space="preserve"> </w:t>
      </w:r>
      <w:r w:rsidRPr="00731E12">
        <w:rPr>
          <w:rFonts w:ascii="Arial" w:hAnsi="Arial" w:cs="Arial"/>
          <w:sz w:val="22"/>
          <w:szCs w:val="22"/>
        </w:rPr>
        <w:t>However, weaknesses include dependency on mature markets, operational complexity, and slow responsiveness to some emerging trends.</w:t>
      </w:r>
      <w:r w:rsidR="000724A1" w:rsidRPr="00731E12">
        <w:rPr>
          <w:rFonts w:ascii="Arial" w:hAnsi="Arial" w:cs="Arial"/>
          <w:sz w:val="22"/>
          <w:szCs w:val="22"/>
        </w:rPr>
        <w:t xml:space="preserve"> </w:t>
      </w:r>
      <w:r w:rsidRPr="00731E12">
        <w:rPr>
          <w:rFonts w:ascii="Arial" w:hAnsi="Arial" w:cs="Arial"/>
          <w:sz w:val="22"/>
          <w:szCs w:val="22"/>
        </w:rPr>
        <w:t>Opportunities lie in digital transformation, expansion into emerging markets, and innovation through sustainable product development.</w:t>
      </w:r>
      <w:r w:rsidR="000724A1" w:rsidRPr="00731E12">
        <w:rPr>
          <w:rFonts w:ascii="Arial" w:hAnsi="Arial" w:cs="Arial"/>
          <w:sz w:val="22"/>
          <w:szCs w:val="22"/>
        </w:rPr>
        <w:t xml:space="preserve"> </w:t>
      </w:r>
      <w:r w:rsidRPr="00731E12">
        <w:rPr>
          <w:rFonts w:ascii="Arial" w:hAnsi="Arial" w:cs="Arial"/>
          <w:sz w:val="22"/>
          <w:szCs w:val="22"/>
        </w:rPr>
        <w:t>Threats include volatile supply chains, rising raw-material costs, and more environmentally conscious competitors.</w:t>
      </w:r>
    </w:p>
    <w:p w14:paraId="27C9200C" w14:textId="454152A2" w:rsidR="00E75805" w:rsidRPr="00731E12" w:rsidRDefault="00E75805" w:rsidP="00731E12">
      <w:pPr>
        <w:spacing w:line="360" w:lineRule="auto"/>
        <w:jc w:val="both"/>
        <w:rPr>
          <w:rFonts w:ascii="Arial" w:hAnsi="Arial" w:cs="Arial"/>
          <w:sz w:val="22"/>
          <w:szCs w:val="22"/>
        </w:rPr>
      </w:pPr>
      <w:r w:rsidRPr="00731E12">
        <w:rPr>
          <w:rFonts w:ascii="Arial" w:hAnsi="Arial" w:cs="Arial"/>
          <w:sz w:val="22"/>
          <w:szCs w:val="22"/>
        </w:rPr>
        <w:t>The report concludes that P&amp;G remains one of the most resilient and influential players in the industry, but the business environment is changing quickly.</w:t>
      </w:r>
      <w:r w:rsidR="000724A1" w:rsidRPr="00731E12">
        <w:rPr>
          <w:rFonts w:ascii="Arial" w:hAnsi="Arial" w:cs="Arial"/>
          <w:sz w:val="22"/>
          <w:szCs w:val="22"/>
        </w:rPr>
        <w:t xml:space="preserve"> </w:t>
      </w:r>
      <w:r w:rsidRPr="00731E12">
        <w:rPr>
          <w:rFonts w:ascii="Arial" w:hAnsi="Arial" w:cs="Arial"/>
          <w:sz w:val="22"/>
          <w:szCs w:val="22"/>
        </w:rPr>
        <w:t xml:space="preserve">To sustain growth, P&amp;G must accelerate organisational agility, deepen its </w:t>
      </w:r>
      <w:r w:rsidR="00C33209" w:rsidRPr="00731E12">
        <w:rPr>
          <w:rFonts w:ascii="Arial" w:hAnsi="Arial" w:cs="Arial"/>
          <w:sz w:val="22"/>
          <w:szCs w:val="22"/>
        </w:rPr>
        <w:t>sustainability</w:t>
      </w:r>
      <w:r w:rsidRPr="00731E12">
        <w:rPr>
          <w:rFonts w:ascii="Arial" w:hAnsi="Arial" w:cs="Arial"/>
          <w:sz w:val="22"/>
          <w:szCs w:val="22"/>
        </w:rPr>
        <w:t xml:space="preserve"> </w:t>
      </w:r>
      <w:r w:rsidR="00C33209" w:rsidRPr="00731E12">
        <w:rPr>
          <w:rFonts w:ascii="Arial" w:hAnsi="Arial" w:cs="Arial"/>
          <w:sz w:val="22"/>
          <w:szCs w:val="22"/>
        </w:rPr>
        <w:t>focus</w:t>
      </w:r>
      <w:r w:rsidRPr="00731E12">
        <w:rPr>
          <w:rFonts w:ascii="Arial" w:hAnsi="Arial" w:cs="Arial"/>
          <w:sz w:val="22"/>
          <w:szCs w:val="22"/>
        </w:rPr>
        <w:t xml:space="preserve">, and strengthen </w:t>
      </w:r>
      <w:r w:rsidR="00C33209" w:rsidRPr="00731E12">
        <w:rPr>
          <w:rFonts w:ascii="Arial" w:hAnsi="Arial" w:cs="Arial"/>
          <w:sz w:val="22"/>
          <w:szCs w:val="22"/>
        </w:rPr>
        <w:t xml:space="preserve">its </w:t>
      </w:r>
      <w:r w:rsidRPr="00731E12">
        <w:rPr>
          <w:rFonts w:ascii="Arial" w:hAnsi="Arial" w:cs="Arial"/>
          <w:sz w:val="22"/>
          <w:szCs w:val="22"/>
        </w:rPr>
        <w:t>digital and direct-to-consumer channels.</w:t>
      </w:r>
      <w:r w:rsidR="000724A1" w:rsidRPr="00731E12">
        <w:rPr>
          <w:rFonts w:ascii="Arial" w:hAnsi="Arial" w:cs="Arial"/>
          <w:sz w:val="22"/>
          <w:szCs w:val="22"/>
        </w:rPr>
        <w:t xml:space="preserve"> </w:t>
      </w:r>
      <w:r w:rsidRPr="00731E12">
        <w:rPr>
          <w:rFonts w:ascii="Arial" w:hAnsi="Arial" w:cs="Arial"/>
          <w:sz w:val="22"/>
          <w:szCs w:val="22"/>
        </w:rPr>
        <w:t>Past strategies based on large-scale manufacturing, mass marketing</w:t>
      </w:r>
      <w:r w:rsidR="00C33209" w:rsidRPr="00731E12">
        <w:rPr>
          <w:rFonts w:ascii="Arial" w:hAnsi="Arial" w:cs="Arial"/>
          <w:sz w:val="22"/>
          <w:szCs w:val="22"/>
        </w:rPr>
        <w:t>,</w:t>
      </w:r>
      <w:r w:rsidRPr="00731E12">
        <w:rPr>
          <w:rFonts w:ascii="Arial" w:hAnsi="Arial" w:cs="Arial"/>
          <w:sz w:val="22"/>
          <w:szCs w:val="22"/>
        </w:rPr>
        <w:t xml:space="preserve"> and traditional retail relationships remain </w:t>
      </w:r>
      <w:r w:rsidR="00C33209" w:rsidRPr="00731E12">
        <w:rPr>
          <w:rFonts w:ascii="Arial" w:hAnsi="Arial" w:cs="Arial"/>
          <w:sz w:val="22"/>
          <w:szCs w:val="22"/>
        </w:rPr>
        <w:t>essential</w:t>
      </w:r>
      <w:r w:rsidRPr="00731E12">
        <w:rPr>
          <w:rFonts w:ascii="Arial" w:hAnsi="Arial" w:cs="Arial"/>
          <w:sz w:val="22"/>
          <w:szCs w:val="22"/>
        </w:rPr>
        <w:t xml:space="preserve"> but are </w:t>
      </w:r>
      <w:r w:rsidR="00C33209" w:rsidRPr="00731E12">
        <w:rPr>
          <w:rFonts w:ascii="Arial" w:hAnsi="Arial" w:cs="Arial"/>
          <w:sz w:val="22"/>
          <w:szCs w:val="22"/>
        </w:rPr>
        <w:t>in</w:t>
      </w:r>
      <w:r w:rsidRPr="00731E12">
        <w:rPr>
          <w:rFonts w:ascii="Arial" w:hAnsi="Arial" w:cs="Arial"/>
          <w:sz w:val="22"/>
          <w:szCs w:val="22"/>
        </w:rPr>
        <w:t>sufficient for future growth.</w:t>
      </w:r>
    </w:p>
    <w:p w14:paraId="232E271E" w14:textId="42C0D4AA" w:rsidR="00E75805" w:rsidRPr="00731E12" w:rsidRDefault="00E75805" w:rsidP="00731E12">
      <w:pPr>
        <w:spacing w:line="360" w:lineRule="auto"/>
        <w:jc w:val="both"/>
        <w:rPr>
          <w:rFonts w:ascii="Arial" w:hAnsi="Arial" w:cs="Arial"/>
          <w:sz w:val="22"/>
          <w:szCs w:val="22"/>
        </w:rPr>
      </w:pPr>
      <w:r w:rsidRPr="00731E12">
        <w:rPr>
          <w:rFonts w:ascii="Arial" w:hAnsi="Arial" w:cs="Arial"/>
          <w:sz w:val="22"/>
          <w:szCs w:val="22"/>
        </w:rPr>
        <w:t xml:space="preserve">Recommendations include expanding </w:t>
      </w:r>
      <w:r w:rsidR="000724A1" w:rsidRPr="00731E12">
        <w:rPr>
          <w:rFonts w:ascii="Arial" w:hAnsi="Arial" w:cs="Arial"/>
          <w:sz w:val="22"/>
          <w:szCs w:val="22"/>
        </w:rPr>
        <w:t>into</w:t>
      </w:r>
      <w:r w:rsidRPr="00731E12">
        <w:rPr>
          <w:rFonts w:ascii="Arial" w:hAnsi="Arial" w:cs="Arial"/>
          <w:sz w:val="22"/>
          <w:szCs w:val="22"/>
        </w:rPr>
        <w:t xml:space="preserve"> emerging markets, optimising the product portfolio, innovating sustainable packaging and formulations, and creating a more agile decision-making structure.</w:t>
      </w:r>
      <w:r w:rsidR="000724A1" w:rsidRPr="00731E12">
        <w:rPr>
          <w:rFonts w:ascii="Arial" w:hAnsi="Arial" w:cs="Arial"/>
          <w:sz w:val="22"/>
          <w:szCs w:val="22"/>
        </w:rPr>
        <w:t xml:space="preserve"> </w:t>
      </w:r>
      <w:r w:rsidRPr="00731E12">
        <w:rPr>
          <w:rFonts w:ascii="Arial" w:hAnsi="Arial" w:cs="Arial"/>
          <w:sz w:val="22"/>
          <w:szCs w:val="22"/>
        </w:rPr>
        <w:t>Digital investment, supply chain resilience and strategic cost management are also essential.</w:t>
      </w:r>
      <w:r w:rsidR="000724A1" w:rsidRPr="00731E12">
        <w:rPr>
          <w:rFonts w:ascii="Arial" w:hAnsi="Arial" w:cs="Arial"/>
          <w:sz w:val="22"/>
          <w:szCs w:val="22"/>
        </w:rPr>
        <w:t xml:space="preserve"> </w:t>
      </w:r>
      <w:r w:rsidRPr="00731E12">
        <w:rPr>
          <w:rFonts w:ascii="Arial" w:hAnsi="Arial" w:cs="Arial"/>
          <w:sz w:val="22"/>
          <w:szCs w:val="22"/>
        </w:rPr>
        <w:t xml:space="preserve">By adapting to environmental forces and </w:t>
      </w:r>
      <w:r w:rsidR="000724A1" w:rsidRPr="00731E12">
        <w:rPr>
          <w:rFonts w:ascii="Arial" w:hAnsi="Arial" w:cs="Arial"/>
          <w:sz w:val="22"/>
          <w:szCs w:val="22"/>
        </w:rPr>
        <w:t>anticipating future market changes</w:t>
      </w:r>
      <w:r w:rsidRPr="00731E12">
        <w:rPr>
          <w:rFonts w:ascii="Arial" w:hAnsi="Arial" w:cs="Arial"/>
          <w:sz w:val="22"/>
          <w:szCs w:val="22"/>
        </w:rPr>
        <w:t xml:space="preserve">, P&amp;G can maintain </w:t>
      </w:r>
      <w:r w:rsidR="00C33209" w:rsidRPr="00731E12">
        <w:rPr>
          <w:rFonts w:ascii="Arial" w:hAnsi="Arial" w:cs="Arial"/>
          <w:sz w:val="22"/>
          <w:szCs w:val="22"/>
        </w:rPr>
        <w:t xml:space="preserve">a </w:t>
      </w:r>
      <w:r w:rsidRPr="00731E12">
        <w:rPr>
          <w:rFonts w:ascii="Arial" w:hAnsi="Arial" w:cs="Arial"/>
          <w:sz w:val="22"/>
          <w:szCs w:val="22"/>
        </w:rPr>
        <w:t>competitive advantage and secure long-term international success.</w:t>
      </w:r>
    </w:p>
    <w:p w14:paraId="0772CE2D" w14:textId="77777777" w:rsidR="008218A8" w:rsidRPr="00731E12" w:rsidRDefault="008218A8" w:rsidP="008218A8">
      <w:pPr>
        <w:rPr>
          <w:rFonts w:ascii="Arial" w:hAnsi="Arial" w:cs="Arial"/>
          <w:sz w:val="22"/>
          <w:szCs w:val="22"/>
        </w:rPr>
      </w:pPr>
    </w:p>
    <w:p w14:paraId="6B175925" w14:textId="77777777" w:rsidR="008218A8" w:rsidRPr="00731E12" w:rsidRDefault="008218A8" w:rsidP="00E75805">
      <w:pPr>
        <w:rPr>
          <w:rFonts w:ascii="Arial" w:hAnsi="Arial" w:cs="Arial"/>
        </w:rPr>
      </w:pPr>
    </w:p>
    <w:p w14:paraId="681E27D3" w14:textId="77777777" w:rsidR="008218A8" w:rsidRPr="00731E12" w:rsidRDefault="008218A8" w:rsidP="00E75805">
      <w:pPr>
        <w:rPr>
          <w:rFonts w:ascii="Arial" w:hAnsi="Arial" w:cs="Arial"/>
        </w:rPr>
      </w:pPr>
    </w:p>
    <w:p w14:paraId="33603E7A" w14:textId="77777777" w:rsidR="008218A8" w:rsidRPr="00731E12" w:rsidRDefault="008218A8" w:rsidP="00E75805">
      <w:pPr>
        <w:rPr>
          <w:rFonts w:ascii="Arial" w:hAnsi="Arial" w:cs="Arial"/>
        </w:rPr>
      </w:pPr>
    </w:p>
    <w:p w14:paraId="37B16201" w14:textId="77777777" w:rsidR="008218A8" w:rsidRPr="00731E12" w:rsidRDefault="008218A8" w:rsidP="00E75805">
      <w:pPr>
        <w:rPr>
          <w:rFonts w:ascii="Arial" w:hAnsi="Arial" w:cs="Arial"/>
        </w:rPr>
      </w:pPr>
    </w:p>
    <w:p w14:paraId="271AB4D8" w14:textId="77777777" w:rsidR="008218A8" w:rsidRPr="00731E12" w:rsidRDefault="008218A8" w:rsidP="00E75805">
      <w:pPr>
        <w:rPr>
          <w:rFonts w:ascii="Arial" w:hAnsi="Arial" w:cs="Arial"/>
        </w:rPr>
      </w:pPr>
    </w:p>
    <w:p w14:paraId="66752298" w14:textId="77777777" w:rsidR="008218A8" w:rsidRPr="00731E12" w:rsidRDefault="008218A8" w:rsidP="00E75805">
      <w:pPr>
        <w:rPr>
          <w:rFonts w:ascii="Arial" w:hAnsi="Arial" w:cs="Arial"/>
        </w:rPr>
      </w:pPr>
    </w:p>
    <w:p w14:paraId="0F988AD8" w14:textId="77777777" w:rsidR="008218A8" w:rsidRPr="00731E12" w:rsidRDefault="008218A8" w:rsidP="00E75805">
      <w:pPr>
        <w:rPr>
          <w:rFonts w:ascii="Arial" w:hAnsi="Arial" w:cs="Arial"/>
        </w:rPr>
      </w:pPr>
    </w:p>
    <w:p w14:paraId="7C2FEE6E" w14:textId="77777777" w:rsidR="008218A8" w:rsidRPr="00731E12" w:rsidRDefault="008218A8" w:rsidP="00E75805">
      <w:pPr>
        <w:rPr>
          <w:rFonts w:ascii="Arial" w:hAnsi="Arial" w:cs="Arial"/>
        </w:rPr>
      </w:pPr>
    </w:p>
    <w:p w14:paraId="4A75136B" w14:textId="77777777" w:rsidR="008218A8" w:rsidRPr="00731E12" w:rsidRDefault="008218A8" w:rsidP="00E75805">
      <w:pPr>
        <w:rPr>
          <w:rFonts w:ascii="Arial" w:hAnsi="Arial" w:cs="Arial"/>
        </w:rPr>
      </w:pPr>
    </w:p>
    <w:p w14:paraId="52EB1CD8" w14:textId="77777777" w:rsidR="008218A8" w:rsidRPr="00731E12" w:rsidRDefault="008218A8" w:rsidP="00E75805">
      <w:pPr>
        <w:rPr>
          <w:rFonts w:ascii="Arial" w:hAnsi="Arial" w:cs="Arial"/>
        </w:rPr>
      </w:pPr>
    </w:p>
    <w:p w14:paraId="0E25A3A9" w14:textId="287B8B3B" w:rsidR="003D3B2B" w:rsidRPr="00731E12" w:rsidRDefault="00E75805" w:rsidP="00731E12">
      <w:pPr>
        <w:pStyle w:val="Heading2"/>
        <w:rPr>
          <w:rFonts w:ascii="Arial" w:hAnsi="Arial" w:cs="Arial"/>
          <w:color w:val="000000" w:themeColor="text1"/>
        </w:rPr>
      </w:pPr>
      <w:bookmarkStart w:id="1" w:name="_Toc216278885"/>
      <w:r w:rsidRPr="00731E12">
        <w:rPr>
          <w:rFonts w:ascii="Arial" w:hAnsi="Arial" w:cs="Arial"/>
          <w:color w:val="000000" w:themeColor="text1"/>
        </w:rPr>
        <w:lastRenderedPageBreak/>
        <w:t>I</w:t>
      </w:r>
      <w:r w:rsidR="00731E12">
        <w:rPr>
          <w:rFonts w:ascii="Arial" w:hAnsi="Arial" w:cs="Arial"/>
          <w:color w:val="000000" w:themeColor="text1"/>
        </w:rPr>
        <w:t>ntroduction</w:t>
      </w:r>
      <w:bookmarkEnd w:id="1"/>
    </w:p>
    <w:p w14:paraId="613C7907" w14:textId="5504351A" w:rsidR="00E75805" w:rsidRPr="00731E12" w:rsidRDefault="00E75805" w:rsidP="00257B7C">
      <w:pPr>
        <w:pStyle w:val="Heading2"/>
        <w:spacing w:line="360" w:lineRule="auto"/>
        <w:jc w:val="both"/>
        <w:rPr>
          <w:rFonts w:ascii="Arial" w:hAnsi="Arial" w:cs="Arial"/>
        </w:rPr>
      </w:pPr>
    </w:p>
    <w:p w14:paraId="1178C65E" w14:textId="3F6DFB2A"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Procter</w:t>
      </w:r>
      <w:r w:rsidR="00731E12" w:rsidRPr="00731E12">
        <w:rPr>
          <w:rFonts w:ascii="Arial" w:hAnsi="Arial" w:cs="Arial"/>
          <w:sz w:val="22"/>
          <w:szCs w:val="22"/>
        </w:rPr>
        <w:t xml:space="preserve">&amp; </w:t>
      </w:r>
      <w:r w:rsidRPr="00731E12">
        <w:rPr>
          <w:rFonts w:ascii="Arial" w:hAnsi="Arial" w:cs="Arial"/>
          <w:sz w:val="22"/>
          <w:szCs w:val="22"/>
        </w:rPr>
        <w:t>Gamble (P&amp;G) is one of the most established and globally influential organisations within the fast-moving consumer goods (FMCG) industry. Founded in 1837 in Cincinnati, the company grew from a small soap and candle manufacturer into a multinational enterprise with annual revenues exceeding $80 billion and a portfolio of market-leading brands across personal care, household care, baby care, fabric care and health products (Procter</w:t>
      </w:r>
      <w:r w:rsidR="00731E12" w:rsidRPr="00731E12">
        <w:rPr>
          <w:rFonts w:ascii="Arial" w:hAnsi="Arial" w:cs="Arial"/>
          <w:sz w:val="22"/>
          <w:szCs w:val="22"/>
        </w:rPr>
        <w:t xml:space="preserve">&amp; </w:t>
      </w:r>
      <w:r w:rsidRPr="00731E12">
        <w:rPr>
          <w:rFonts w:ascii="Arial" w:hAnsi="Arial" w:cs="Arial"/>
          <w:sz w:val="22"/>
          <w:szCs w:val="22"/>
        </w:rPr>
        <w:t>Gamble, 2025; Encyclopaedia Britannica, 2025). Operating in more than 180 countries, P&amp;G has become a household name and a dominant force within international consumer markets. However, as with all large global organisations, its continued success depends on its ability to recognise, interpret and respond to a rapidly changing external environment.</w:t>
      </w:r>
    </w:p>
    <w:p w14:paraId="615EAE1B" w14:textId="77777777"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The business environment in which P&amp;G operates is increasingly volatile. Global supply chains are more fragile, geopolitical tensions are more frequent, economic cycles are less predictable, and consumer expectations are evolving at unprecedented speed (Panmore, 2024). The FMCG sector is subject to particularly intense competitive pressure, as products are widely substitutable and brand loyalty can quickly diminish if an organisation fails to keep pace with trends and market demands (Free PESTEL Analysis, 2023). In this context, strategic agility and environmental awareness are vital in maintaining market share and organisational resilience.</w:t>
      </w:r>
    </w:p>
    <w:p w14:paraId="084A373A" w14:textId="77777777"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The objective of this report is to critically evaluate the environmental forces currently affecting P&amp;G and assess their likely impact on organisational performance. The analysis draws on established strategic frameworks, including PESTEL, Porter's Five Forces and SWOT analysis (Johnson et al., 2017; Porter, 1980). These tools enable a systematic examination of the macro-environment, competitive dynamics and internal capabilities. They also support the development of conclusions and recommendations grounded in credible theory and applicable evidence.</w:t>
      </w:r>
    </w:p>
    <w:p w14:paraId="22355163" w14:textId="77777777"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 xml:space="preserve">The PESTEL framework is used to consider the broader political, economic, social, technological, environmental, and legal factors influencing P&amp;G. These factors range from global inflationary pressures and fluctuating commodity prices to regulatory changes in packaging, emissions, and product safety (Hivelr, 2024). The FMCG sector is often heavily affected by shifts in consumer sentiment; therefore, social forces such as demographic change, sustainability awareness, health consciousness, and cultural values are highly relevant to the company's future positioning. At the </w:t>
      </w:r>
      <w:r w:rsidRPr="00731E12">
        <w:rPr>
          <w:rFonts w:ascii="Arial" w:hAnsi="Arial" w:cs="Arial"/>
          <w:sz w:val="22"/>
          <w:szCs w:val="22"/>
        </w:rPr>
        <w:lastRenderedPageBreak/>
        <w:t>same time, technological change is transforming product development, manufacturing, logistics and communication. Digital channels, artificial intelligence, data analytics and online retailing have all become strategic imperatives that can either support competitive advantage or expose weaknesses if neglected (Panmore, 2024).</w:t>
      </w:r>
    </w:p>
    <w:p w14:paraId="728007F9" w14:textId="0C4BDED8"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While the macro-environment shapes opportunities and threats, competition within the FMCG marketplace is another critical factor. Porter's Five Forces model provides a structured way of assessing competitive intensity. Rivalry within the sector is exceptionally high, with P&amp;G competing against global corporations such as Unilever, Colgate-Palmolive and Johnson</w:t>
      </w:r>
      <w:r w:rsidR="00731E12" w:rsidRPr="00731E12">
        <w:rPr>
          <w:rFonts w:ascii="Arial" w:hAnsi="Arial" w:cs="Arial"/>
          <w:sz w:val="22"/>
          <w:szCs w:val="22"/>
        </w:rPr>
        <w:t xml:space="preserve">&amp; </w:t>
      </w:r>
      <w:r w:rsidRPr="00731E12">
        <w:rPr>
          <w:rFonts w:ascii="Arial" w:hAnsi="Arial" w:cs="Arial"/>
          <w:sz w:val="22"/>
          <w:szCs w:val="22"/>
        </w:rPr>
        <w:t>Johnson, as well as a growing number of private-label and value brands (Business Model Analyst, 2025; Nasdaq, 2025). The threat of substitutes is also increasing, particularly in product categories where cheaper alternatives, niche organic products or supermarket-owned brands offer comparable functionality. Meanwhile, bargaining power is strengthened among major retail chains and distributors, enabling them to demand favourable terms and influence shelf positioning (MBA Skool, 2025). These dynamics shape pricing strategies, brand investment and product innovation.</w:t>
      </w:r>
    </w:p>
    <w:p w14:paraId="34BEC076" w14:textId="77777777"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Complementing the external analysis, a SWOT analysis is conducted to identify P&amp;G's internal strengths and weaknesses in relation to external opportunities and threats. Despite operating within a highly competitive and dynamic environment, the company continues to benefit from distinctive assets. These include its extensive brand portfolio, economies of scale, research capabilities, long-established distribution networks and strong consumer recognition (SWOT Analysis, 2025). Nonetheless, weaknesses such as organisational complexity, exposure to mature markets, and slower reaction to emerging trends can hinder responsiveness (Marketing91, 2024). The SWOT analysis highlights that aligning strengths and opportunities, and mitigating threats through innovation and strategic adjustments, will be essential to safeguard future performance.</w:t>
      </w:r>
    </w:p>
    <w:p w14:paraId="14EA4304" w14:textId="6763FB12"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 xml:space="preserve">This report does not merely aim to describe the environment, but rather to critically assess how environmental forces influence current decisions and future strategies. In doing so, the report considers micro-economic decisions made by P&amp;G in recent years, such as brand streamlining, investment in sustainable innovation and adjustments to pricing strategies (Business News Today, 2025). These decisions are evaluated in relation to the external context to determine whether they remain appropriate or require alternative approaches. The discussion recognises that P&amp;G's </w:t>
      </w:r>
      <w:r w:rsidRPr="00731E12">
        <w:rPr>
          <w:rFonts w:ascii="Arial" w:hAnsi="Arial" w:cs="Arial"/>
          <w:sz w:val="22"/>
          <w:szCs w:val="22"/>
        </w:rPr>
        <w:lastRenderedPageBreak/>
        <w:t xml:space="preserve">previous strategic formula </w:t>
      </w:r>
      <w:r w:rsidR="00BC7015">
        <w:rPr>
          <w:rFonts w:ascii="Arial" w:hAnsi="Arial" w:cs="Arial"/>
          <w:sz w:val="22"/>
          <w:szCs w:val="22"/>
        </w:rPr>
        <w:t xml:space="preserve"> </w:t>
      </w:r>
      <w:r w:rsidRPr="00731E12">
        <w:rPr>
          <w:rFonts w:ascii="Arial" w:hAnsi="Arial" w:cs="Arial"/>
          <w:sz w:val="22"/>
          <w:szCs w:val="22"/>
        </w:rPr>
        <w:t xml:space="preserve"> mainly based on mass advertising, broad distribution and continuous product improvement </w:t>
      </w:r>
      <w:r w:rsidR="00BC7015">
        <w:rPr>
          <w:rFonts w:ascii="Arial" w:hAnsi="Arial" w:cs="Arial"/>
          <w:sz w:val="22"/>
          <w:szCs w:val="22"/>
        </w:rPr>
        <w:t xml:space="preserve"> </w:t>
      </w:r>
      <w:r w:rsidRPr="00731E12">
        <w:rPr>
          <w:rFonts w:ascii="Arial" w:hAnsi="Arial" w:cs="Arial"/>
          <w:sz w:val="22"/>
          <w:szCs w:val="22"/>
        </w:rPr>
        <w:t xml:space="preserve"> may not be sufficient in the future if markets become more fragmented and sustainability expectations more stringent.</w:t>
      </w:r>
    </w:p>
    <w:p w14:paraId="7A19A340" w14:textId="77777777" w:rsidR="00A56038" w:rsidRPr="00731E12" w:rsidRDefault="00A56038" w:rsidP="00257B7C">
      <w:pPr>
        <w:spacing w:line="360" w:lineRule="auto"/>
        <w:jc w:val="both"/>
        <w:rPr>
          <w:rFonts w:ascii="Arial" w:hAnsi="Arial" w:cs="Arial"/>
          <w:sz w:val="22"/>
          <w:szCs w:val="22"/>
        </w:rPr>
      </w:pPr>
      <w:r w:rsidRPr="00731E12">
        <w:rPr>
          <w:rFonts w:ascii="Arial" w:hAnsi="Arial" w:cs="Arial"/>
          <w:sz w:val="22"/>
          <w:szCs w:val="22"/>
        </w:rPr>
        <w:t>The remainder of the report is structured as follows. First, a detailed PESTEL analysis examines the macro-environmental factors influencing P&amp;G in both national and international markets. This is followed by an application of Porter's Five Forces to evaluate the competitive environment within the FMCG sector. A SWOT analysis then brings together internal and external considerations to form a holistic view of the organisation's strategic position. Based on these evaluations, the report presents a comprehensive conclusion regarding P&amp;G's current standing within the international market and identifies potential strategic paths. Finally, a set of recommendations is offered to guide future development.</w:t>
      </w:r>
    </w:p>
    <w:p w14:paraId="1AF6727A" w14:textId="4498D44C" w:rsidR="008218A8" w:rsidRPr="00731E12" w:rsidRDefault="00A56038" w:rsidP="00257B7C">
      <w:pPr>
        <w:spacing w:line="360" w:lineRule="auto"/>
        <w:jc w:val="both"/>
        <w:rPr>
          <w:rFonts w:ascii="Arial" w:hAnsi="Arial" w:cs="Arial"/>
          <w:color w:val="EE0000"/>
          <w:sz w:val="22"/>
          <w:szCs w:val="22"/>
        </w:rPr>
      </w:pPr>
      <w:r w:rsidRPr="00731E12">
        <w:rPr>
          <w:rFonts w:ascii="Arial" w:hAnsi="Arial" w:cs="Arial"/>
          <w:sz w:val="22"/>
          <w:szCs w:val="22"/>
        </w:rPr>
        <w:t>Through critical examination, this report demonstrates that while P&amp;G remains a market leader, it operates in an increasingly complex environment where traditional sources of competitive advantage are under pressure. The ability to evolve, innovate and differentiate will determine how effectively the organisation navigates this landscape in the coming years.</w:t>
      </w:r>
    </w:p>
    <w:p w14:paraId="3A8332D8" w14:textId="77777777" w:rsidR="008218A8" w:rsidRPr="00731E12" w:rsidRDefault="008218A8" w:rsidP="008218A8">
      <w:pPr>
        <w:rPr>
          <w:rFonts w:ascii="Arial" w:hAnsi="Arial" w:cs="Arial"/>
          <w:color w:val="EE0000"/>
          <w:sz w:val="22"/>
          <w:szCs w:val="22"/>
        </w:rPr>
      </w:pPr>
    </w:p>
    <w:p w14:paraId="714C7C8B" w14:textId="77777777" w:rsidR="004F0900" w:rsidRPr="00731E12" w:rsidRDefault="004F0900" w:rsidP="00086D38">
      <w:pPr>
        <w:pStyle w:val="Heading2"/>
        <w:rPr>
          <w:rFonts w:ascii="Arial" w:hAnsi="Arial" w:cs="Arial"/>
        </w:rPr>
      </w:pPr>
    </w:p>
    <w:p w14:paraId="68A07185" w14:textId="77777777" w:rsidR="004F0900" w:rsidRDefault="004F0900" w:rsidP="00086D38">
      <w:pPr>
        <w:pStyle w:val="Heading2"/>
        <w:rPr>
          <w:rFonts w:ascii="Arial" w:hAnsi="Arial" w:cs="Arial"/>
        </w:rPr>
      </w:pPr>
    </w:p>
    <w:p w14:paraId="321E3A6D" w14:textId="77777777" w:rsidR="00257B7C" w:rsidRDefault="00257B7C" w:rsidP="00257B7C"/>
    <w:p w14:paraId="3A42173B" w14:textId="77777777" w:rsidR="00257B7C" w:rsidRDefault="00257B7C" w:rsidP="00257B7C"/>
    <w:p w14:paraId="5B6E52FD" w14:textId="77777777" w:rsidR="00257B7C" w:rsidRDefault="00257B7C" w:rsidP="00257B7C"/>
    <w:p w14:paraId="72D10C99" w14:textId="77777777" w:rsidR="00257B7C" w:rsidRDefault="00257B7C" w:rsidP="00257B7C"/>
    <w:p w14:paraId="37FAC8AB" w14:textId="77777777" w:rsidR="00257B7C" w:rsidRDefault="00257B7C" w:rsidP="00257B7C"/>
    <w:p w14:paraId="7D35689E" w14:textId="77777777" w:rsidR="00257B7C" w:rsidRDefault="00257B7C" w:rsidP="00257B7C"/>
    <w:p w14:paraId="7885B30F" w14:textId="77777777" w:rsidR="00257B7C" w:rsidRDefault="00257B7C" w:rsidP="00731E12">
      <w:pPr>
        <w:pStyle w:val="Heading2"/>
        <w:rPr>
          <w:rFonts w:ascii="Arial" w:hAnsi="Arial" w:cs="Arial"/>
        </w:rPr>
      </w:pPr>
    </w:p>
    <w:p w14:paraId="24D5E961" w14:textId="77777777" w:rsidR="00257B7C" w:rsidRPr="00257B7C" w:rsidRDefault="00257B7C" w:rsidP="00257B7C"/>
    <w:p w14:paraId="1F70338D" w14:textId="3C334707" w:rsidR="00DA2B5E" w:rsidRDefault="00E75805" w:rsidP="00731E12">
      <w:pPr>
        <w:pStyle w:val="Heading2"/>
        <w:rPr>
          <w:rFonts w:ascii="Arial" w:hAnsi="Arial" w:cs="Arial"/>
          <w:color w:val="000000" w:themeColor="text1"/>
        </w:rPr>
      </w:pPr>
      <w:bookmarkStart w:id="2" w:name="_Toc216278886"/>
      <w:r w:rsidRPr="00731E12">
        <w:rPr>
          <w:rFonts w:ascii="Arial" w:hAnsi="Arial" w:cs="Arial"/>
          <w:color w:val="000000" w:themeColor="text1"/>
        </w:rPr>
        <w:lastRenderedPageBreak/>
        <w:t>PESTEL Analysis</w:t>
      </w:r>
      <w:bookmarkEnd w:id="2"/>
    </w:p>
    <w:p w14:paraId="4A622929" w14:textId="77777777" w:rsidR="00257B7C" w:rsidRPr="00257B7C" w:rsidRDefault="00257B7C" w:rsidP="00257B7C"/>
    <w:p w14:paraId="40BACEB5" w14:textId="128D0024" w:rsidR="004F0900" w:rsidRPr="00737429" w:rsidRDefault="004F0900" w:rsidP="00257B7C">
      <w:pPr>
        <w:pStyle w:val="Heading2"/>
        <w:spacing w:line="360" w:lineRule="auto"/>
        <w:jc w:val="both"/>
        <w:rPr>
          <w:rFonts w:ascii="Arial" w:hAnsi="Arial" w:cs="Arial"/>
          <w:b/>
          <w:bCs/>
          <w:color w:val="000000" w:themeColor="text1"/>
          <w:sz w:val="24"/>
          <w:szCs w:val="24"/>
        </w:rPr>
      </w:pPr>
      <w:bookmarkStart w:id="3" w:name="_Toc216278887"/>
      <w:r w:rsidRPr="00737429">
        <w:rPr>
          <w:rFonts w:ascii="Arial" w:hAnsi="Arial" w:cs="Arial"/>
          <w:b/>
          <w:bCs/>
          <w:color w:val="000000" w:themeColor="text1"/>
          <w:sz w:val="24"/>
          <w:szCs w:val="24"/>
        </w:rPr>
        <w:t>Political</w:t>
      </w:r>
      <w:bookmarkEnd w:id="3"/>
    </w:p>
    <w:p w14:paraId="5998D4FD" w14:textId="09BC17F4"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Procter</w:t>
      </w:r>
      <w:r w:rsidR="00731E12" w:rsidRPr="00731E12">
        <w:rPr>
          <w:rFonts w:ascii="Arial" w:hAnsi="Arial" w:cs="Arial"/>
          <w:sz w:val="22"/>
          <w:szCs w:val="22"/>
        </w:rPr>
        <w:t xml:space="preserve">&amp; </w:t>
      </w:r>
      <w:r w:rsidRPr="00731E12">
        <w:rPr>
          <w:rFonts w:ascii="Arial" w:hAnsi="Arial" w:cs="Arial"/>
          <w:sz w:val="22"/>
          <w:szCs w:val="22"/>
        </w:rPr>
        <w:t>Gamble (P&amp;G) operates in more than 180 countries, which means political stability, regulatory frameworks, and government priorities significantly influence its supply chains, pricing, and strategic decisions (Dividend One, 2025).</w:t>
      </w:r>
    </w:p>
    <w:p w14:paraId="572FC294" w14:textId="311036EC"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A major driver within the political landscape is government regulation of consumer goods. According to the Council of the European Union (2025), national and regional governments increasingly impose standards around safety, labelling, product composition, and environmental performance. For example, regulations on chemical use in detergents and personal care products require P&amp;G to continuously invest in reformulation and compliance. The company benefits from operating in largely stable political markets such as North America and Western Europe. However, it must also navigate volatile markets in emerging economies where currency controls, trade tariffs, or sudden policy changes may affect operations, logistics, or profitability.</w:t>
      </w:r>
    </w:p>
    <w:p w14:paraId="5E488B58" w14:textId="706B91F6"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International trade policies also play a significant role. When nations impose tariffs on imported goods, P&amp;G often responds by localising manufacturing to avoid the associated costs. This approach has enabled the company to maintain competitiveness while supporting local job creation. However, global tensions</w:t>
      </w:r>
      <w:r w:rsidR="00BC7015">
        <w:rPr>
          <w:rFonts w:ascii="Arial" w:hAnsi="Arial" w:cs="Arial"/>
          <w:sz w:val="22"/>
          <w:szCs w:val="22"/>
        </w:rPr>
        <w:t xml:space="preserve"> </w:t>
      </w:r>
      <w:r w:rsidRPr="00731E12">
        <w:rPr>
          <w:rFonts w:ascii="Arial" w:hAnsi="Arial" w:cs="Arial"/>
          <w:sz w:val="22"/>
          <w:szCs w:val="22"/>
        </w:rPr>
        <w:t>such as the US–China trade relationship</w:t>
      </w:r>
      <w:r w:rsidR="00BC7015">
        <w:rPr>
          <w:rFonts w:ascii="Arial" w:hAnsi="Arial" w:cs="Arial"/>
          <w:sz w:val="22"/>
          <w:szCs w:val="22"/>
        </w:rPr>
        <w:t xml:space="preserve"> </w:t>
      </w:r>
      <w:r w:rsidRPr="00731E12">
        <w:rPr>
          <w:rFonts w:ascii="Arial" w:hAnsi="Arial" w:cs="Arial"/>
          <w:sz w:val="22"/>
          <w:szCs w:val="22"/>
        </w:rPr>
        <w:t>have created uncertainty in P&amp;G’s sourcing and distribution networks. Similarly, the aftermath of Brexit has impacted supply chains across Europe, requiring careful planning to maintain product flow between the UK and the EU  (Priestman, 2024).</w:t>
      </w:r>
    </w:p>
    <w:p w14:paraId="05594669" w14:textId="77777777" w:rsidR="00257B7C" w:rsidRDefault="004F0900" w:rsidP="00257B7C">
      <w:pPr>
        <w:spacing w:line="360" w:lineRule="auto"/>
        <w:jc w:val="both"/>
        <w:rPr>
          <w:rFonts w:ascii="Arial" w:hAnsi="Arial" w:cs="Arial"/>
          <w:sz w:val="22"/>
          <w:szCs w:val="22"/>
        </w:rPr>
      </w:pPr>
      <w:r w:rsidRPr="00731E12">
        <w:rPr>
          <w:rFonts w:ascii="Arial" w:hAnsi="Arial" w:cs="Arial"/>
          <w:sz w:val="22"/>
          <w:szCs w:val="22"/>
        </w:rPr>
        <w:t>Finally, governments are increasingly imposing regulations on packaging and plastic waste, which pushes companies like P&amp;G to redesign their packaging and adopt circular economy principles (European Union, 2025). These policies create significant compliance costs but simultaneously open strategic opportunities for innovation and brand differentiation.</w:t>
      </w:r>
    </w:p>
    <w:p w14:paraId="1DD8845D" w14:textId="58CA03F9" w:rsidR="004F0900" w:rsidRPr="00737429" w:rsidRDefault="004F0900" w:rsidP="00737429">
      <w:r w:rsidRPr="00737429">
        <w:rPr>
          <w:rFonts w:ascii="Arial" w:eastAsiaTheme="majorEastAsia" w:hAnsi="Arial" w:cs="Arial"/>
          <w:b/>
          <w:bCs/>
          <w:color w:val="000000" w:themeColor="text1"/>
        </w:rPr>
        <w:t>Economic</w:t>
      </w:r>
      <w:r w:rsidR="00BC7015" w:rsidRPr="00737429">
        <w:rPr>
          <w:rFonts w:ascii="Arial" w:eastAsiaTheme="majorEastAsia" w:hAnsi="Arial" w:cs="Arial"/>
          <w:b/>
          <w:bCs/>
          <w:color w:val="000000" w:themeColor="text1"/>
        </w:rPr>
        <w:t>al</w:t>
      </w:r>
    </w:p>
    <w:p w14:paraId="165A95FD"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The economic environment directly affects consumer purchasing behaviour, raw material costs, manufacturing expenses, and global profitability. P&amp;G produces everyday essentials such as detergents, diapers, and personal care products: demand for these goods is generally resilient, but not immune to economic fluctuations.</w:t>
      </w:r>
    </w:p>
    <w:p w14:paraId="2C38D936"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lastRenderedPageBreak/>
        <w:t>Research shows that during economic downturns, consumers tend to shift toward value-oriented or private-label products (Lamey et al., 2007). In response, P&amp;G, despite its portfolio of premium brands, has strategically developed value options or repositioned existing brands to remain competitive, while leveraging substantial brand equity to maintain pricing power even in inflationary periods.</w:t>
      </w:r>
    </w:p>
    <w:p w14:paraId="1BF1BF57"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Over the past decade, prices for key raw materials, including pulp, oil, and chemicals, have fluctuated significantly. Such volatility forces companies like P&amp;G to choose between absorbing higher input costs, which can compress profit margins, or passing those costs on to consumers through higher retail prices, which may affect demand. Historically, P&amp;G has managed these challenges through a combination of cost-efficiency measures, strategic sourcing, and gradual price adjustments, thereby maintaining competitiveness despite market uncertainty (BTG Advisory, 2025).</w:t>
      </w:r>
    </w:p>
    <w:p w14:paraId="24463477"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Currency exchange rates also affect earnings. Operating in many countries means revenues may be generated in weaker currencies but reported in stronger ones, which can affect financial results. P&amp;G limits risk through hedging strategies and by locating production facilities close to major markets.</w:t>
      </w:r>
    </w:p>
    <w:p w14:paraId="34577420"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Economic expansion in emerging regions such as Latin America, Africa, and Asia is driving higher disposable incomes and a growing middle class. Consequently, more consumers can afford branded hygiene and personal care products, leading to increased market demand. This environment creates opportunities for companies like P&amp;G to capture growth by localising products, expanding distribution channels, and implementing targeted marketing strategies (Emergen Research, 2025).</w:t>
      </w:r>
    </w:p>
    <w:p w14:paraId="43007B2A" w14:textId="3BF3C9AF" w:rsidR="004F0900" w:rsidRPr="00737429" w:rsidRDefault="004F0900" w:rsidP="00257B7C">
      <w:pPr>
        <w:pStyle w:val="Heading2"/>
        <w:spacing w:line="360" w:lineRule="auto"/>
        <w:jc w:val="both"/>
        <w:rPr>
          <w:rFonts w:ascii="Arial" w:hAnsi="Arial" w:cs="Arial"/>
          <w:b/>
          <w:bCs/>
          <w:color w:val="000000" w:themeColor="text1"/>
          <w:sz w:val="24"/>
          <w:szCs w:val="24"/>
        </w:rPr>
      </w:pPr>
      <w:bookmarkStart w:id="4" w:name="_Toc216278888"/>
      <w:r w:rsidRPr="00737429">
        <w:rPr>
          <w:rFonts w:ascii="Arial" w:hAnsi="Arial" w:cs="Arial"/>
          <w:b/>
          <w:bCs/>
          <w:color w:val="000000" w:themeColor="text1"/>
          <w:sz w:val="24"/>
          <w:szCs w:val="24"/>
        </w:rPr>
        <w:t>Social</w:t>
      </w:r>
      <w:bookmarkEnd w:id="4"/>
    </w:p>
    <w:p w14:paraId="0481C737"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Social forces profoundly shape consumer tastes, product development, and brand strategy. One of the strongest trends relevant to P&amp;G is the increasing focus on health, hygiene, and well-being. Demand for cleaning products surged during and after the pandemic, reinforcing long-term habits of frequent household cleaning, hand washing, and personal care. These behavioural changes support sustained demand for P&amp;G’s portfolio across detergents and health-related brands.</w:t>
      </w:r>
    </w:p>
    <w:p w14:paraId="01C42B01"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 xml:space="preserve">At the same time, consumer expectations regarding ethical business, diversity, and transparency have grown significantly. Many consumers favour brands that reflect their values, prompting P&amp;G </w:t>
      </w:r>
      <w:r w:rsidRPr="00731E12">
        <w:rPr>
          <w:rFonts w:ascii="Arial" w:hAnsi="Arial" w:cs="Arial"/>
          <w:sz w:val="22"/>
          <w:szCs w:val="22"/>
        </w:rPr>
        <w:lastRenderedPageBreak/>
        <w:t>to develop campaigns that emphasise gender equality, community engagement and representation. The organisation has made diversity and inclusion central to marketing, talent management and brand communications, creating emotional connections with global audiences while addressing social expectations.</w:t>
      </w:r>
    </w:p>
    <w:p w14:paraId="1FBF0538" w14:textId="197066CF"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Social trends continue to strongly influence consumer preferences, product innovation, and brand strategies. One notable shift affecting P&amp;G is the heightened focus on health, hygiene, and overall well-being. During and following the COVID-19 pandemic, demand for household cleaning products, hand sanitisers, and personal care items surged, with many consumers maintaining these habits long-term, supporting ongoing demand for P&amp;G’s hygiene and health-focused portfolio (Grand View Research, 2023; Actual Market Research, 202</w:t>
      </w:r>
      <w:r w:rsidR="005D0F14">
        <w:rPr>
          <w:rFonts w:ascii="Arial" w:hAnsi="Arial" w:cs="Arial"/>
          <w:sz w:val="22"/>
          <w:szCs w:val="22"/>
        </w:rPr>
        <w:t>5</w:t>
      </w:r>
      <w:r w:rsidRPr="00731E12">
        <w:rPr>
          <w:rFonts w:ascii="Arial" w:hAnsi="Arial" w:cs="Arial"/>
          <w:sz w:val="22"/>
          <w:szCs w:val="22"/>
        </w:rPr>
        <w:t>).</w:t>
      </w:r>
      <w:r w:rsidR="00257B7C">
        <w:rPr>
          <w:rFonts w:ascii="Arial" w:hAnsi="Arial" w:cs="Arial"/>
          <w:sz w:val="22"/>
          <w:szCs w:val="22"/>
        </w:rPr>
        <w:t xml:space="preserve"> </w:t>
      </w:r>
      <w:r w:rsidRPr="00731E12">
        <w:rPr>
          <w:rFonts w:ascii="Arial" w:hAnsi="Arial" w:cs="Arial"/>
          <w:sz w:val="22"/>
          <w:szCs w:val="22"/>
        </w:rPr>
        <w:t>Simultaneously, consumer expectations regarding ethical business practices, diversity, and transparency have intensified. Modern buyers increasingly favour brands that align with their values, prompting P&amp;G to implement initiatives in gender equality, community engagement, and inclusive marketing. By prioritising diversity and inclusion in brand communications, marketing strategies, and talent management, P&amp;G strengthens emotional connections with global audiences while meeting social expectations (Research</w:t>
      </w:r>
      <w:r w:rsidR="00731E12" w:rsidRPr="00731E12">
        <w:rPr>
          <w:rFonts w:ascii="Arial" w:hAnsi="Arial" w:cs="Arial"/>
          <w:sz w:val="22"/>
          <w:szCs w:val="22"/>
        </w:rPr>
        <w:t xml:space="preserve">&amp; </w:t>
      </w:r>
      <w:r w:rsidRPr="00731E12">
        <w:rPr>
          <w:rFonts w:ascii="Arial" w:hAnsi="Arial" w:cs="Arial"/>
          <w:sz w:val="22"/>
          <w:szCs w:val="22"/>
        </w:rPr>
        <w:t>Markets, 2022).</w:t>
      </w:r>
    </w:p>
    <w:p w14:paraId="7E37E9A4"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Society’s shift towards sustainable lifestyles also influences purchasing patterns. There is greater scrutiny of plastic packaging, chemical ingredients and corporate environmental footprints. Increasing numbers of consumers are willing to switch brands for products that are perceived as cleaner, greener, or cruelty-free. For P&amp;G, this has driven investment into plant-based formulations, recyclable packaging, and commitments to reduce waste.</w:t>
      </w:r>
    </w:p>
    <w:p w14:paraId="76AAA357" w14:textId="77777777" w:rsidR="00257B7C" w:rsidRDefault="004F0900" w:rsidP="00257B7C">
      <w:pPr>
        <w:spacing w:line="360" w:lineRule="auto"/>
        <w:jc w:val="both"/>
        <w:rPr>
          <w:rFonts w:ascii="Arial" w:hAnsi="Arial" w:cs="Arial"/>
          <w:sz w:val="22"/>
          <w:szCs w:val="22"/>
        </w:rPr>
      </w:pPr>
      <w:r w:rsidRPr="00731E12">
        <w:rPr>
          <w:rFonts w:ascii="Arial" w:hAnsi="Arial" w:cs="Arial"/>
          <w:sz w:val="22"/>
          <w:szCs w:val="22"/>
        </w:rPr>
        <w:t>Demographic dynamics are increasingly shaping demand patterns in global consumer goods. In many developed markets, population ageing is accelerating demand for products tailored to older adults, while in developing regions, especially in parts of Asia and sub-Saharan Africa, youthful, rapidly growing populations are creating significant demand for family and baby care brands (UN DESA, 2023). As a result, firms like P&amp;G have the opportunity to tailor their product mix and marketing strategies: ageing populations may increase demand for senior-oriented care products, whereas younger demographics in emerging markets expand the base for diapers, infant care, and family hygiene products (Mordor Intelligence, 2024).</w:t>
      </w:r>
    </w:p>
    <w:p w14:paraId="60B5C7A4" w14:textId="77777777" w:rsidR="00737429" w:rsidRDefault="00737429" w:rsidP="00257B7C">
      <w:pPr>
        <w:spacing w:line="360" w:lineRule="auto"/>
        <w:jc w:val="both"/>
        <w:rPr>
          <w:rFonts w:ascii="Arial" w:hAnsi="Arial" w:cs="Arial"/>
          <w:b/>
          <w:bCs/>
          <w:color w:val="000000" w:themeColor="text1"/>
        </w:rPr>
      </w:pPr>
    </w:p>
    <w:p w14:paraId="5C8929CD" w14:textId="5D033FDC" w:rsidR="004F0900" w:rsidRPr="00737429" w:rsidRDefault="004F0900" w:rsidP="00257B7C">
      <w:pPr>
        <w:spacing w:line="360" w:lineRule="auto"/>
        <w:jc w:val="both"/>
        <w:rPr>
          <w:rFonts w:ascii="Arial" w:hAnsi="Arial" w:cs="Arial"/>
        </w:rPr>
      </w:pPr>
      <w:r w:rsidRPr="00737429">
        <w:rPr>
          <w:rFonts w:ascii="Arial" w:hAnsi="Arial" w:cs="Arial"/>
          <w:b/>
          <w:bCs/>
          <w:color w:val="000000" w:themeColor="text1"/>
        </w:rPr>
        <w:lastRenderedPageBreak/>
        <w:t>Technological</w:t>
      </w:r>
    </w:p>
    <w:p w14:paraId="15158B18" w14:textId="443D8CF0"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Innovation is a central element of Procter</w:t>
      </w:r>
      <w:r w:rsidR="00731E12" w:rsidRPr="00731E12">
        <w:rPr>
          <w:rFonts w:ascii="Arial" w:hAnsi="Arial" w:cs="Arial"/>
          <w:sz w:val="22"/>
          <w:szCs w:val="22"/>
        </w:rPr>
        <w:t xml:space="preserve">&amp; </w:t>
      </w:r>
      <w:r w:rsidRPr="00731E12">
        <w:rPr>
          <w:rFonts w:ascii="Arial" w:hAnsi="Arial" w:cs="Arial"/>
          <w:sz w:val="22"/>
          <w:szCs w:val="22"/>
        </w:rPr>
        <w:t>Gamble’s (P&amp;G) strategic priorities, shaping the way products are developed, supply chains function, and marketing engages with consumers. The company invests heavily in research and development to drive new product formulations, sustainable packaging, and improvements in manufacturing processes. According to P&amp;G (2024), continuous investment in R&amp;D allows the company to differentiate its products in competitive markets where many similar offerings exist. Technology further supports this innovation by optimising manufacturing efficiency and enhancing supply-chain responsiveness (Forbes, 2021). P&amp;G has also adopted an “open innovation” approach, integrating insights across all business functions to maintain a competitive edge and consistently deliver products that meet evolving consumer needs (Strategy+Business, 2022).</w:t>
      </w:r>
    </w:p>
    <w:p w14:paraId="0271C5C6" w14:textId="13ACDDEF" w:rsidR="004F0900" w:rsidRDefault="004F0900" w:rsidP="00257B7C">
      <w:pPr>
        <w:spacing w:line="360" w:lineRule="auto"/>
        <w:jc w:val="both"/>
        <w:rPr>
          <w:rFonts w:ascii="Arial" w:hAnsi="Arial" w:cs="Arial"/>
          <w:sz w:val="22"/>
          <w:szCs w:val="22"/>
        </w:rPr>
      </w:pPr>
      <w:r w:rsidRPr="00731E12">
        <w:rPr>
          <w:rFonts w:ascii="Arial" w:hAnsi="Arial" w:cs="Arial"/>
          <w:sz w:val="22"/>
          <w:szCs w:val="22"/>
        </w:rPr>
        <w:t>Digital transformation is reshaping operations. Automation and advanced manufacturing technologies help reduce waste, improve accuracy, and increase efficiency. Smart factories incorporate robotics, predictive analytics, and real-time monitoring to optimise output and reduce downtime.</w:t>
      </w:r>
      <w:r w:rsidR="00257B7C">
        <w:rPr>
          <w:rFonts w:ascii="Arial" w:hAnsi="Arial" w:cs="Arial"/>
          <w:sz w:val="22"/>
          <w:szCs w:val="22"/>
        </w:rPr>
        <w:t xml:space="preserve"> </w:t>
      </w:r>
      <w:r w:rsidRPr="00731E12">
        <w:rPr>
          <w:rFonts w:ascii="Arial" w:hAnsi="Arial" w:cs="Arial"/>
          <w:sz w:val="22"/>
          <w:szCs w:val="22"/>
        </w:rPr>
        <w:t>Technology is increasingly shaping the retail experience at Procter</w:t>
      </w:r>
      <w:r w:rsidR="00731E12" w:rsidRPr="00731E12">
        <w:rPr>
          <w:rFonts w:ascii="Arial" w:hAnsi="Arial" w:cs="Arial"/>
          <w:sz w:val="22"/>
          <w:szCs w:val="22"/>
        </w:rPr>
        <w:t xml:space="preserve">&amp; </w:t>
      </w:r>
      <w:r w:rsidRPr="00731E12">
        <w:rPr>
          <w:rFonts w:ascii="Arial" w:hAnsi="Arial" w:cs="Arial"/>
          <w:sz w:val="22"/>
          <w:szCs w:val="22"/>
        </w:rPr>
        <w:t>Gamble (P&amp;G). The growth of e-commerce, subscription services, and digital marketplaces has led the company to allocate more marketing resources toward online platforms, influencer collaborations, and personalised digital advertising. Direct-to-consumer channels not only generate sales but also provide critical consumer insights, enabling faster innovation through feedback from reviews and analytics (Dow, 2023). Packaging innovation has been another strategic focus, with lightweight materials, refillable systems, and recyclable solutions helping P&amp;G meet regulatory and consumer expectations for sustainability, while also enhancing competitiveness (Procter</w:t>
      </w:r>
      <w:r w:rsidR="00731E12" w:rsidRPr="00731E12">
        <w:rPr>
          <w:rFonts w:ascii="Arial" w:hAnsi="Arial" w:cs="Arial"/>
          <w:sz w:val="22"/>
          <w:szCs w:val="22"/>
        </w:rPr>
        <w:t xml:space="preserve">&amp; </w:t>
      </w:r>
      <w:r w:rsidRPr="00731E12">
        <w:rPr>
          <w:rFonts w:ascii="Arial" w:hAnsi="Arial" w:cs="Arial"/>
          <w:sz w:val="22"/>
          <w:szCs w:val="22"/>
        </w:rPr>
        <w:t>Gamble, 2024).</w:t>
      </w:r>
    </w:p>
    <w:p w14:paraId="61BCE04B" w14:textId="0D202ECA" w:rsidR="004F0900" w:rsidRPr="00737429" w:rsidRDefault="004F0900" w:rsidP="00257B7C">
      <w:pPr>
        <w:pStyle w:val="Heading2"/>
        <w:spacing w:line="360" w:lineRule="auto"/>
        <w:jc w:val="both"/>
        <w:rPr>
          <w:rFonts w:ascii="Arial" w:hAnsi="Arial" w:cs="Arial"/>
          <w:b/>
          <w:bCs/>
          <w:color w:val="000000" w:themeColor="text1"/>
          <w:sz w:val="24"/>
          <w:szCs w:val="24"/>
        </w:rPr>
      </w:pPr>
      <w:bookmarkStart w:id="5" w:name="_Toc216278889"/>
      <w:r w:rsidRPr="00737429">
        <w:rPr>
          <w:rFonts w:ascii="Arial" w:hAnsi="Arial" w:cs="Arial"/>
          <w:b/>
          <w:bCs/>
          <w:color w:val="000000" w:themeColor="text1"/>
          <w:sz w:val="24"/>
          <w:szCs w:val="24"/>
        </w:rPr>
        <w:t>Environmental</w:t>
      </w:r>
      <w:bookmarkEnd w:id="5"/>
    </w:p>
    <w:p w14:paraId="25F59343"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Environmental pressures represent both a challenge and an opportunity. Governments, customers, and advocacy groups increasingly scrutinise the environmental behaviour of large manufacturers. P&amp;G faces expectations to reduce carbon emissions, water use, waste, and plastic pollution across its global operations.</w:t>
      </w:r>
    </w:p>
    <w:p w14:paraId="591F3F0A"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 xml:space="preserve">The company has committed to ambitious sustainability targets, including achieving net-zero greenhouse gas emissions, designing 100% recyclable or reusable packaging, and investing in renewable energy and waste reduction. While meeting these targets requires significant </w:t>
      </w:r>
      <w:r w:rsidRPr="00731E12">
        <w:rPr>
          <w:rFonts w:ascii="Arial" w:hAnsi="Arial" w:cs="Arial"/>
          <w:sz w:val="22"/>
          <w:szCs w:val="22"/>
        </w:rPr>
        <w:lastRenderedPageBreak/>
        <w:t>investment, failure to do so may risk reputational harm, regulatory penalties, or loss of market share to more sustainable brands.</w:t>
      </w:r>
    </w:p>
    <w:p w14:paraId="1EC24A56"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Water management is critical. Many P&amp;G products require water during manufacturing or consumer use. Droughts and water scarcity in certain regions highlight the need for responsible resource management, plant relocation, and product innovation (e.g., concentrated detergents that require less water).</w:t>
      </w:r>
    </w:p>
    <w:p w14:paraId="1517E77A" w14:textId="34DB5723"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There is also a broader environmental risk from climate change. Extreme weather events can disrupt supply chains, damage manufacturing sites, and alter logistics routes. Building resilient, flexible, and diversified supply networks is therefore essential to safeguard business continuity.</w:t>
      </w:r>
    </w:p>
    <w:p w14:paraId="20BB26B8" w14:textId="59074FAE" w:rsidR="004F0900" w:rsidRPr="00737429" w:rsidRDefault="004F0900" w:rsidP="00257B7C">
      <w:pPr>
        <w:pStyle w:val="Heading2"/>
        <w:spacing w:line="360" w:lineRule="auto"/>
        <w:jc w:val="both"/>
        <w:rPr>
          <w:rFonts w:ascii="Arial" w:hAnsi="Arial" w:cs="Arial"/>
          <w:b/>
          <w:bCs/>
          <w:color w:val="000000" w:themeColor="text1"/>
          <w:sz w:val="24"/>
          <w:szCs w:val="24"/>
        </w:rPr>
      </w:pPr>
      <w:bookmarkStart w:id="6" w:name="_Toc216278890"/>
      <w:r w:rsidRPr="00737429">
        <w:rPr>
          <w:rFonts w:ascii="Arial" w:hAnsi="Arial" w:cs="Arial"/>
          <w:b/>
          <w:bCs/>
          <w:color w:val="000000" w:themeColor="text1"/>
          <w:sz w:val="24"/>
          <w:szCs w:val="24"/>
        </w:rPr>
        <w:t>Legal</w:t>
      </w:r>
      <w:bookmarkEnd w:id="6"/>
    </w:p>
    <w:p w14:paraId="46C91CA3"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P&amp;G is subject to a wide range of legal requirements, including consumer protection and advertising legislation, competition law, worker safety, and data protection. Non-compliance can lead to fines, lawsuits, product recalls, and reputational loss.</w:t>
      </w:r>
    </w:p>
    <w:p w14:paraId="2C5C711B"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Product safety laws require extensive testing and documentation before products enter markets. Regulations on ingredients continue to evolve, particularly regarding fragrances, preservatives, and chemical agents. The organisation must continuously monitor legal developments, especially in highly regulated areas such as the EU, where chemical regulation under REACH is strict.</w:t>
      </w:r>
    </w:p>
    <w:p w14:paraId="716BF51E"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Intellectual property law is another critical area. P&amp;G invests heavily in innovation, and patents protect technological advances and product formulas. Protecting patents across global markets can be challenging, particularly in regions where enforcement may be weaker.</w:t>
      </w:r>
    </w:p>
    <w:p w14:paraId="55A777B5" w14:textId="77777777" w:rsidR="004F0900" w:rsidRPr="00731E12" w:rsidRDefault="004F0900" w:rsidP="00257B7C">
      <w:pPr>
        <w:spacing w:line="360" w:lineRule="auto"/>
        <w:jc w:val="both"/>
        <w:rPr>
          <w:rFonts w:ascii="Arial" w:hAnsi="Arial" w:cs="Arial"/>
          <w:sz w:val="22"/>
          <w:szCs w:val="22"/>
        </w:rPr>
      </w:pPr>
      <w:r w:rsidRPr="00731E12">
        <w:rPr>
          <w:rFonts w:ascii="Arial" w:hAnsi="Arial" w:cs="Arial"/>
          <w:sz w:val="22"/>
          <w:szCs w:val="22"/>
        </w:rPr>
        <w:t>Employment and labour laws must be respected across all territories, affecting working hours, pay, health and safety, and non-discrimination policies. Data protection legislation such as GDPR influences how customer data is collected, managed, and stored, particularly as e-commerce becomes increasingly central to operations.</w:t>
      </w:r>
    </w:p>
    <w:p w14:paraId="41963417" w14:textId="77777777" w:rsidR="00257B7C" w:rsidRDefault="00257B7C" w:rsidP="00257B7C">
      <w:pPr>
        <w:spacing w:line="360" w:lineRule="auto"/>
        <w:jc w:val="both"/>
        <w:rPr>
          <w:rFonts w:ascii="Arial" w:hAnsi="Arial" w:cs="Arial"/>
          <w:sz w:val="22"/>
          <w:szCs w:val="22"/>
        </w:rPr>
      </w:pPr>
    </w:p>
    <w:p w14:paraId="0B4E70E1" w14:textId="3D6705C1" w:rsidR="00257B7C" w:rsidRDefault="004F0900" w:rsidP="00257B7C">
      <w:pPr>
        <w:spacing w:line="360" w:lineRule="auto"/>
        <w:jc w:val="both"/>
        <w:rPr>
          <w:rFonts w:ascii="Arial" w:hAnsi="Arial" w:cs="Arial"/>
          <w:sz w:val="22"/>
          <w:szCs w:val="22"/>
        </w:rPr>
      </w:pPr>
      <w:r w:rsidRPr="00731E12">
        <w:rPr>
          <w:rFonts w:ascii="Arial" w:hAnsi="Arial" w:cs="Arial"/>
          <w:sz w:val="22"/>
          <w:szCs w:val="22"/>
        </w:rPr>
        <w:t xml:space="preserve">The PESTEL analysis reveals a complex environment where political regulation, economic fluctuations, social trends, technological advances, environmental priorities, and legal compliance all shape P&amp;G’s strategic decisions. The company benefits from substantial brand equity, global </w:t>
      </w:r>
      <w:r w:rsidRPr="00731E12">
        <w:rPr>
          <w:rFonts w:ascii="Arial" w:hAnsi="Arial" w:cs="Arial"/>
          <w:sz w:val="22"/>
          <w:szCs w:val="22"/>
        </w:rPr>
        <w:lastRenderedPageBreak/>
        <w:t>scale, and innovation capability, yet must remain agile to adapt to regulatory pressures, sustainability demands, consumer expectations and technological disruption.</w:t>
      </w:r>
    </w:p>
    <w:p w14:paraId="2D15D5F8" w14:textId="77777777" w:rsidR="00257B7C" w:rsidRPr="00257B7C" w:rsidRDefault="00257B7C" w:rsidP="00257B7C">
      <w:pPr>
        <w:spacing w:line="360" w:lineRule="auto"/>
        <w:jc w:val="both"/>
        <w:rPr>
          <w:rFonts w:ascii="Arial" w:hAnsi="Arial" w:cs="Arial"/>
          <w:sz w:val="22"/>
          <w:szCs w:val="22"/>
        </w:rPr>
      </w:pPr>
    </w:p>
    <w:p w14:paraId="1276FC5A" w14:textId="684D21BD" w:rsidR="00DA2B5E" w:rsidRPr="00731E12" w:rsidRDefault="000724A1" w:rsidP="00257B7C">
      <w:pPr>
        <w:pStyle w:val="Heading2"/>
        <w:spacing w:line="360" w:lineRule="auto"/>
        <w:rPr>
          <w:rFonts w:ascii="Arial" w:hAnsi="Arial" w:cs="Arial"/>
          <w:color w:val="000000" w:themeColor="text1"/>
        </w:rPr>
      </w:pPr>
      <w:bookmarkStart w:id="7" w:name="_Toc216278891"/>
      <w:r w:rsidRPr="00731E12">
        <w:rPr>
          <w:rFonts w:ascii="Arial" w:hAnsi="Arial" w:cs="Arial"/>
          <w:color w:val="000000" w:themeColor="text1"/>
        </w:rPr>
        <w:t>Porter's</w:t>
      </w:r>
      <w:r w:rsidR="00E75805" w:rsidRPr="00731E12">
        <w:rPr>
          <w:rFonts w:ascii="Arial" w:hAnsi="Arial" w:cs="Arial"/>
          <w:color w:val="000000" w:themeColor="text1"/>
        </w:rPr>
        <w:t xml:space="preserve"> Five Forces Analysis</w:t>
      </w:r>
      <w:bookmarkEnd w:id="7"/>
    </w:p>
    <w:p w14:paraId="4A23FAA1" w14:textId="68A5FBCB"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Porter’s Five Forces framework provides a structured approach to understanding competitive pressures within an industry. For Procter</w:t>
      </w:r>
      <w:r w:rsidR="00731E12" w:rsidRPr="00257B7C">
        <w:rPr>
          <w:rFonts w:ascii="Arial" w:hAnsi="Arial" w:cs="Arial"/>
          <w:sz w:val="22"/>
          <w:szCs w:val="22"/>
        </w:rPr>
        <w:t xml:space="preserve">&amp; </w:t>
      </w:r>
      <w:r w:rsidRPr="00257B7C">
        <w:rPr>
          <w:rFonts w:ascii="Arial" w:hAnsi="Arial" w:cs="Arial"/>
          <w:sz w:val="22"/>
          <w:szCs w:val="22"/>
        </w:rPr>
        <w:t>Gamble (P&amp;G), this analysis highlights the intensity of rivalry, the influence of suppliers and buyers, the threat of substitutes, and the likelihood of new entrants, all of which shape strategic decision</w:t>
      </w:r>
      <w:r w:rsidRPr="00257B7C">
        <w:rPr>
          <w:rFonts w:ascii="Cambria Math" w:hAnsi="Cambria Math" w:cs="Cambria Math"/>
          <w:sz w:val="22"/>
          <w:szCs w:val="22"/>
        </w:rPr>
        <w:t>‑</w:t>
      </w:r>
      <w:r w:rsidRPr="00257B7C">
        <w:rPr>
          <w:rFonts w:ascii="Arial" w:hAnsi="Arial" w:cs="Arial"/>
          <w:sz w:val="22"/>
          <w:szCs w:val="22"/>
        </w:rPr>
        <w:t>making and organisational performance (Porter, 1980; Johnson, Scholes and Whittington, 2017).</w:t>
      </w:r>
    </w:p>
    <w:p w14:paraId="6152C342" w14:textId="77777777" w:rsidR="00AB1606" w:rsidRPr="00737429" w:rsidRDefault="00AB1606" w:rsidP="00AE4505">
      <w:pPr>
        <w:pStyle w:val="Heading3"/>
        <w:jc w:val="both"/>
        <w:rPr>
          <w:rFonts w:ascii="Arial" w:hAnsi="Arial" w:cs="Arial"/>
          <w:b/>
          <w:bCs/>
          <w:color w:val="000000" w:themeColor="text1"/>
          <w:sz w:val="24"/>
          <w:szCs w:val="24"/>
        </w:rPr>
      </w:pPr>
      <w:bookmarkStart w:id="8" w:name="_Toc216278892"/>
      <w:r w:rsidRPr="00737429">
        <w:rPr>
          <w:rFonts w:ascii="Arial" w:hAnsi="Arial" w:cs="Arial"/>
          <w:b/>
          <w:bCs/>
          <w:color w:val="000000" w:themeColor="text1"/>
          <w:sz w:val="24"/>
          <w:szCs w:val="24"/>
        </w:rPr>
        <w:t>Competitive Rivalry</w:t>
      </w:r>
      <w:bookmarkEnd w:id="8"/>
    </w:p>
    <w:p w14:paraId="3F19B3D6" w14:textId="167B20C3"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The global fast</w:t>
      </w:r>
      <w:r w:rsidRPr="00257B7C">
        <w:rPr>
          <w:rFonts w:ascii="Cambria Math" w:hAnsi="Cambria Math" w:cs="Cambria Math"/>
          <w:sz w:val="22"/>
          <w:szCs w:val="22"/>
        </w:rPr>
        <w:t>‑</w:t>
      </w:r>
      <w:r w:rsidRPr="00257B7C">
        <w:rPr>
          <w:rFonts w:ascii="Arial" w:hAnsi="Arial" w:cs="Arial"/>
          <w:sz w:val="22"/>
          <w:szCs w:val="22"/>
        </w:rPr>
        <w:t>moving consumer goods (FMCG) sector is characterised by exceptionally intense rivalry. P&amp;G competes with multinational corporations such as Unilever, Colgate</w:t>
      </w:r>
      <w:r w:rsidRPr="00257B7C">
        <w:rPr>
          <w:rFonts w:ascii="Cambria Math" w:hAnsi="Cambria Math" w:cs="Cambria Math"/>
          <w:sz w:val="22"/>
          <w:szCs w:val="22"/>
        </w:rPr>
        <w:t>‑</w:t>
      </w:r>
      <w:r w:rsidRPr="00257B7C">
        <w:rPr>
          <w:rFonts w:ascii="Arial" w:hAnsi="Arial" w:cs="Arial"/>
          <w:sz w:val="22"/>
          <w:szCs w:val="22"/>
        </w:rPr>
        <w:t>Palmolive, Johnson</w:t>
      </w:r>
      <w:r w:rsidR="00731E12" w:rsidRPr="00257B7C">
        <w:rPr>
          <w:rFonts w:ascii="Arial" w:hAnsi="Arial" w:cs="Arial"/>
          <w:sz w:val="22"/>
          <w:szCs w:val="22"/>
        </w:rPr>
        <w:t xml:space="preserve">&amp; </w:t>
      </w:r>
      <w:r w:rsidRPr="00257B7C">
        <w:rPr>
          <w:rFonts w:ascii="Arial" w:hAnsi="Arial" w:cs="Arial"/>
          <w:sz w:val="22"/>
          <w:szCs w:val="22"/>
        </w:rPr>
        <w:t>Johnson, Reckitt Benckiser, and Kimberly</w:t>
      </w:r>
      <w:r w:rsidRPr="00257B7C">
        <w:rPr>
          <w:rFonts w:ascii="Cambria Math" w:hAnsi="Cambria Math" w:cs="Cambria Math"/>
          <w:sz w:val="22"/>
          <w:szCs w:val="22"/>
        </w:rPr>
        <w:t>‑</w:t>
      </w:r>
      <w:r w:rsidRPr="00257B7C">
        <w:rPr>
          <w:rFonts w:ascii="Arial" w:hAnsi="Arial" w:cs="Arial"/>
          <w:sz w:val="22"/>
          <w:szCs w:val="22"/>
        </w:rPr>
        <w:t>Clark, as well as regional and private</w:t>
      </w:r>
      <w:r w:rsidRPr="00257B7C">
        <w:rPr>
          <w:rFonts w:ascii="Cambria Math" w:hAnsi="Cambria Math" w:cs="Cambria Math"/>
          <w:sz w:val="22"/>
          <w:szCs w:val="22"/>
        </w:rPr>
        <w:t>‑</w:t>
      </w:r>
      <w:r w:rsidRPr="00257B7C">
        <w:rPr>
          <w:rFonts w:ascii="Arial" w:hAnsi="Arial" w:cs="Arial"/>
          <w:sz w:val="22"/>
          <w:szCs w:val="22"/>
        </w:rPr>
        <w:t>label brands (Grant, 2019). High product similarity, brand loyalty, and aggressive marketing campaigns contribute to price pressure and elevated advertising costs. P&amp;G has historically sought differentiation through branding, innovation, and quality, yet competitors increasingly replicate these advantages or offer lower</w:t>
      </w:r>
      <w:r w:rsidRPr="00257B7C">
        <w:rPr>
          <w:rFonts w:ascii="Cambria Math" w:hAnsi="Cambria Math" w:cs="Cambria Math"/>
          <w:sz w:val="22"/>
          <w:szCs w:val="22"/>
        </w:rPr>
        <w:t>‑</w:t>
      </w:r>
      <w:r w:rsidRPr="00257B7C">
        <w:rPr>
          <w:rFonts w:ascii="Arial" w:hAnsi="Arial" w:cs="Arial"/>
          <w:sz w:val="22"/>
          <w:szCs w:val="22"/>
        </w:rPr>
        <w:t>priced alternatives (Kotler</w:t>
      </w:r>
      <w:r w:rsidR="00731E12" w:rsidRPr="00257B7C">
        <w:rPr>
          <w:rFonts w:ascii="Arial" w:hAnsi="Arial" w:cs="Arial"/>
          <w:sz w:val="22"/>
          <w:szCs w:val="22"/>
        </w:rPr>
        <w:t xml:space="preserve">&amp; </w:t>
      </w:r>
      <w:r w:rsidRPr="00257B7C">
        <w:rPr>
          <w:rFonts w:ascii="Arial" w:hAnsi="Arial" w:cs="Arial"/>
          <w:sz w:val="22"/>
          <w:szCs w:val="22"/>
        </w:rPr>
        <w:t>Keller, 2016).</w:t>
      </w:r>
    </w:p>
    <w:p w14:paraId="5814F20E" w14:textId="77777777" w:rsidR="00AB1606" w:rsidRPr="00737429" w:rsidRDefault="00AB1606" w:rsidP="00AE4505">
      <w:pPr>
        <w:pStyle w:val="Heading3"/>
        <w:jc w:val="both"/>
        <w:rPr>
          <w:rFonts w:ascii="Arial" w:hAnsi="Arial" w:cs="Arial"/>
          <w:b/>
          <w:bCs/>
          <w:color w:val="000000" w:themeColor="text1"/>
          <w:sz w:val="24"/>
          <w:szCs w:val="24"/>
        </w:rPr>
      </w:pPr>
      <w:bookmarkStart w:id="9" w:name="_Toc216278893"/>
      <w:r w:rsidRPr="00737429">
        <w:rPr>
          <w:rFonts w:ascii="Arial" w:hAnsi="Arial" w:cs="Arial"/>
          <w:b/>
          <w:bCs/>
          <w:color w:val="000000" w:themeColor="text1"/>
          <w:sz w:val="24"/>
          <w:szCs w:val="24"/>
        </w:rPr>
        <w:t>Threat of Substitutes</w:t>
      </w:r>
      <w:bookmarkEnd w:id="9"/>
    </w:p>
    <w:p w14:paraId="3696F0B5" w14:textId="77777777"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The threat of substitutes is moderate to high. Consumers can switch to alternatives in categories such as detergents, personal care, and household cleaning products. Private</w:t>
      </w:r>
      <w:r w:rsidRPr="00257B7C">
        <w:rPr>
          <w:rFonts w:ascii="Cambria Math" w:hAnsi="Cambria Math" w:cs="Cambria Math"/>
          <w:sz w:val="22"/>
          <w:szCs w:val="22"/>
        </w:rPr>
        <w:t>‑</w:t>
      </w:r>
      <w:r w:rsidRPr="00257B7C">
        <w:rPr>
          <w:rFonts w:ascii="Arial" w:hAnsi="Arial" w:cs="Arial"/>
          <w:sz w:val="22"/>
          <w:szCs w:val="22"/>
        </w:rPr>
        <w:t>label brands and organic or eco</w:t>
      </w:r>
      <w:r w:rsidRPr="00257B7C">
        <w:rPr>
          <w:rFonts w:ascii="Cambria Math" w:hAnsi="Cambria Math" w:cs="Cambria Math"/>
          <w:sz w:val="22"/>
          <w:szCs w:val="22"/>
        </w:rPr>
        <w:t>‑</w:t>
      </w:r>
      <w:r w:rsidRPr="00257B7C">
        <w:rPr>
          <w:rFonts w:ascii="Arial" w:hAnsi="Arial" w:cs="Arial"/>
          <w:sz w:val="22"/>
          <w:szCs w:val="22"/>
        </w:rPr>
        <w:t>friendly products have grown in popularity, constraining pricing flexibility (Dobbs, 2014). Although P&amp;G’s brand recognition mitigates this risk, continuous innovation is required to maintain relevance.</w:t>
      </w:r>
    </w:p>
    <w:p w14:paraId="579D1FA0" w14:textId="77777777" w:rsidR="00AB1606" w:rsidRPr="00737429" w:rsidRDefault="00AB1606" w:rsidP="00AE4505">
      <w:pPr>
        <w:pStyle w:val="Heading3"/>
        <w:jc w:val="both"/>
        <w:rPr>
          <w:rFonts w:ascii="Arial" w:hAnsi="Arial" w:cs="Arial"/>
          <w:b/>
          <w:bCs/>
          <w:color w:val="000000" w:themeColor="text1"/>
          <w:sz w:val="24"/>
          <w:szCs w:val="24"/>
        </w:rPr>
      </w:pPr>
      <w:bookmarkStart w:id="10" w:name="_Toc216278894"/>
      <w:r w:rsidRPr="00737429">
        <w:rPr>
          <w:rFonts w:ascii="Arial" w:hAnsi="Arial" w:cs="Arial"/>
          <w:b/>
          <w:bCs/>
          <w:color w:val="000000" w:themeColor="text1"/>
          <w:sz w:val="24"/>
          <w:szCs w:val="24"/>
        </w:rPr>
        <w:t>Threat of New Entrants</w:t>
      </w:r>
      <w:bookmarkEnd w:id="10"/>
    </w:p>
    <w:p w14:paraId="41D32F17" w14:textId="23B2A28B"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The threat of new entrants is relatively low. Global FMCG markets demand significant capital investment in manufacturing, distribution, and marketing, while economies of scale and brand recognition act as barriers to entry (Barney</w:t>
      </w:r>
      <w:r w:rsidR="00731E12" w:rsidRPr="00257B7C">
        <w:rPr>
          <w:rFonts w:ascii="Arial" w:hAnsi="Arial" w:cs="Arial"/>
          <w:sz w:val="22"/>
          <w:szCs w:val="22"/>
        </w:rPr>
        <w:t xml:space="preserve">&amp; </w:t>
      </w:r>
      <w:r w:rsidRPr="00257B7C">
        <w:rPr>
          <w:rFonts w:ascii="Arial" w:hAnsi="Arial" w:cs="Arial"/>
          <w:sz w:val="22"/>
          <w:szCs w:val="22"/>
        </w:rPr>
        <w:t>Hesterly, 2019). Regulatory compliance and supply chain complexity further hinder new competitors. However, niche or digitally</w:t>
      </w:r>
      <w:r w:rsidRPr="00257B7C">
        <w:rPr>
          <w:rFonts w:ascii="Cambria Math" w:hAnsi="Cambria Math" w:cs="Cambria Math"/>
          <w:sz w:val="22"/>
          <w:szCs w:val="22"/>
        </w:rPr>
        <w:t>‑</w:t>
      </w:r>
      <w:r w:rsidRPr="00257B7C">
        <w:rPr>
          <w:rFonts w:ascii="Arial" w:hAnsi="Arial" w:cs="Arial"/>
          <w:sz w:val="22"/>
          <w:szCs w:val="22"/>
        </w:rPr>
        <w:t>native brands leveraging e</w:t>
      </w:r>
      <w:r w:rsidRPr="00257B7C">
        <w:rPr>
          <w:rFonts w:ascii="Cambria Math" w:hAnsi="Cambria Math" w:cs="Cambria Math"/>
          <w:sz w:val="22"/>
          <w:szCs w:val="22"/>
        </w:rPr>
        <w:t>‑</w:t>
      </w:r>
      <w:r w:rsidRPr="00257B7C">
        <w:rPr>
          <w:rFonts w:ascii="Arial" w:hAnsi="Arial" w:cs="Arial"/>
          <w:sz w:val="22"/>
          <w:szCs w:val="22"/>
        </w:rPr>
        <w:t>commerce and social media can enter smaller segments, posing challenges in specific categories.</w:t>
      </w:r>
    </w:p>
    <w:p w14:paraId="5DC269C2" w14:textId="77777777" w:rsidR="00AB1606" w:rsidRPr="00737429" w:rsidRDefault="00AB1606" w:rsidP="00AE4505">
      <w:pPr>
        <w:pStyle w:val="Heading3"/>
        <w:jc w:val="both"/>
        <w:rPr>
          <w:rFonts w:ascii="Arial" w:hAnsi="Arial" w:cs="Arial"/>
          <w:b/>
          <w:bCs/>
          <w:color w:val="000000" w:themeColor="text1"/>
          <w:sz w:val="24"/>
          <w:szCs w:val="24"/>
        </w:rPr>
      </w:pPr>
      <w:bookmarkStart w:id="11" w:name="_Toc216278895"/>
      <w:r w:rsidRPr="00737429">
        <w:rPr>
          <w:rFonts w:ascii="Arial" w:hAnsi="Arial" w:cs="Arial"/>
          <w:b/>
          <w:bCs/>
          <w:color w:val="000000" w:themeColor="text1"/>
          <w:sz w:val="24"/>
          <w:szCs w:val="24"/>
        </w:rPr>
        <w:lastRenderedPageBreak/>
        <w:t>Bargaining Power of Suppliers</w:t>
      </w:r>
      <w:bookmarkEnd w:id="11"/>
    </w:p>
    <w:p w14:paraId="0660209B" w14:textId="77777777"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Supplier power is moderate. P&amp;G depends on raw materials such as chemicals, pulp, oils, and packaging components. While its scale provides leverage, the limited availability of specialised inputs and global supply chain disruptions can increase supplier influence (Grant, 2019). Diversified sourcing and long</w:t>
      </w:r>
      <w:r w:rsidRPr="00257B7C">
        <w:rPr>
          <w:rFonts w:ascii="Cambria Math" w:hAnsi="Cambria Math" w:cs="Cambria Math"/>
          <w:sz w:val="22"/>
          <w:szCs w:val="22"/>
        </w:rPr>
        <w:t>‑</w:t>
      </w:r>
      <w:r w:rsidRPr="00257B7C">
        <w:rPr>
          <w:rFonts w:ascii="Arial" w:hAnsi="Arial" w:cs="Arial"/>
          <w:sz w:val="22"/>
          <w:szCs w:val="22"/>
        </w:rPr>
        <w:t>term agreements help mitigate these risks.</w:t>
      </w:r>
    </w:p>
    <w:p w14:paraId="30CF87B7" w14:textId="77777777" w:rsidR="00AB1606" w:rsidRPr="00737429" w:rsidRDefault="00AB1606" w:rsidP="00AE4505">
      <w:pPr>
        <w:pStyle w:val="Heading3"/>
        <w:jc w:val="both"/>
        <w:rPr>
          <w:rFonts w:ascii="Arial" w:hAnsi="Arial" w:cs="Arial"/>
          <w:b/>
          <w:bCs/>
          <w:color w:val="000000" w:themeColor="text1"/>
          <w:sz w:val="24"/>
          <w:szCs w:val="24"/>
        </w:rPr>
      </w:pPr>
      <w:bookmarkStart w:id="12" w:name="_Toc216278896"/>
      <w:r w:rsidRPr="00737429">
        <w:rPr>
          <w:rFonts w:ascii="Arial" w:hAnsi="Arial" w:cs="Arial"/>
          <w:b/>
          <w:bCs/>
          <w:color w:val="000000" w:themeColor="text1"/>
          <w:sz w:val="24"/>
          <w:szCs w:val="24"/>
        </w:rPr>
        <w:t>Bargaining Power of Buyers</w:t>
      </w:r>
      <w:bookmarkEnd w:id="12"/>
    </w:p>
    <w:p w14:paraId="2496542B" w14:textId="39170A2E" w:rsidR="00AB1606" w:rsidRPr="00257B7C" w:rsidRDefault="00AB1606" w:rsidP="00AE4505">
      <w:pPr>
        <w:spacing w:line="360" w:lineRule="auto"/>
        <w:jc w:val="both"/>
        <w:rPr>
          <w:rFonts w:ascii="Arial" w:hAnsi="Arial" w:cs="Arial"/>
          <w:sz w:val="22"/>
          <w:szCs w:val="22"/>
        </w:rPr>
      </w:pPr>
      <w:r w:rsidRPr="00257B7C">
        <w:rPr>
          <w:rFonts w:ascii="Arial" w:hAnsi="Arial" w:cs="Arial"/>
          <w:sz w:val="22"/>
          <w:szCs w:val="22"/>
        </w:rPr>
        <w:t>Buyer power is moderate to high. Large retailers such as Walmart, Tesco, and Carrefour exert considerable influence over pricing, promotions, and shelf placement (Kotler</w:t>
      </w:r>
      <w:r w:rsidR="00731E12" w:rsidRPr="00257B7C">
        <w:rPr>
          <w:rFonts w:ascii="Arial" w:hAnsi="Arial" w:cs="Arial"/>
          <w:sz w:val="22"/>
          <w:szCs w:val="22"/>
        </w:rPr>
        <w:t xml:space="preserve">&amp; </w:t>
      </w:r>
      <w:r w:rsidRPr="00257B7C">
        <w:rPr>
          <w:rFonts w:ascii="Arial" w:hAnsi="Arial" w:cs="Arial"/>
          <w:sz w:val="22"/>
          <w:szCs w:val="22"/>
        </w:rPr>
        <w:t>Keller, 2016). Consumer switching behaviour also strengthens buyer power, particularly in price</w:t>
      </w:r>
      <w:r w:rsidRPr="00257B7C">
        <w:rPr>
          <w:rFonts w:ascii="Cambria Math" w:hAnsi="Cambria Math" w:cs="Cambria Math"/>
          <w:sz w:val="22"/>
          <w:szCs w:val="22"/>
        </w:rPr>
        <w:t>‑</w:t>
      </w:r>
      <w:r w:rsidRPr="00257B7C">
        <w:rPr>
          <w:rFonts w:ascii="Arial" w:hAnsi="Arial" w:cs="Arial"/>
          <w:sz w:val="22"/>
          <w:szCs w:val="22"/>
        </w:rPr>
        <w:t>sensitive markets. P&amp;G responds with competitive pricing strategies and strong branding to maintain perceived value.</w:t>
      </w:r>
    </w:p>
    <w:p w14:paraId="2E260555" w14:textId="77777777" w:rsidR="00257B7C" w:rsidRDefault="00257B7C" w:rsidP="00AE4505">
      <w:pPr>
        <w:spacing w:line="360" w:lineRule="auto"/>
        <w:jc w:val="both"/>
        <w:rPr>
          <w:rFonts w:ascii="Arial" w:hAnsi="Arial" w:cs="Arial"/>
          <w:sz w:val="22"/>
          <w:szCs w:val="22"/>
        </w:rPr>
      </w:pPr>
    </w:p>
    <w:p w14:paraId="1DACC72A" w14:textId="1270E40F" w:rsidR="00257B7C" w:rsidRDefault="00AB1606" w:rsidP="00AE4505">
      <w:pPr>
        <w:spacing w:line="360" w:lineRule="auto"/>
        <w:jc w:val="both"/>
        <w:rPr>
          <w:rFonts w:ascii="Arial" w:hAnsi="Arial" w:cs="Arial"/>
          <w:sz w:val="22"/>
          <w:szCs w:val="22"/>
        </w:rPr>
      </w:pPr>
      <w:r w:rsidRPr="00257B7C">
        <w:rPr>
          <w:rFonts w:ascii="Arial" w:hAnsi="Arial" w:cs="Arial"/>
          <w:sz w:val="22"/>
          <w:szCs w:val="22"/>
        </w:rPr>
        <w:t>The Five Forces analysis demonstrates that P&amp;G operates in a highly competitive environment. Intense rivalry and substitutes limit pricing flexibility, while supplier-buyer dynamics require careful management. Barriers to entry remain strong globally, but niche competitors and private labels challenge specific product categories. P&amp;G’s strategic responses</w:t>
      </w:r>
      <w:r w:rsidR="00737429">
        <w:rPr>
          <w:rFonts w:ascii="Arial" w:hAnsi="Arial" w:cs="Arial"/>
          <w:sz w:val="22"/>
          <w:szCs w:val="22"/>
        </w:rPr>
        <w:t>,</w:t>
      </w:r>
      <w:r w:rsidR="00BC7015">
        <w:rPr>
          <w:rFonts w:ascii="Arial" w:hAnsi="Arial" w:cs="Arial"/>
          <w:sz w:val="22"/>
          <w:szCs w:val="22"/>
        </w:rPr>
        <w:t xml:space="preserve"> </w:t>
      </w:r>
      <w:r w:rsidRPr="00257B7C">
        <w:rPr>
          <w:rFonts w:ascii="Arial" w:hAnsi="Arial" w:cs="Arial"/>
          <w:sz w:val="22"/>
          <w:szCs w:val="22"/>
        </w:rPr>
        <w:t>investing in innovation, expanding e</w:t>
      </w:r>
      <w:r w:rsidRPr="00257B7C">
        <w:rPr>
          <w:rFonts w:ascii="Cambria Math" w:hAnsi="Cambria Math" w:cs="Cambria Math"/>
          <w:sz w:val="22"/>
          <w:szCs w:val="22"/>
        </w:rPr>
        <w:t>‑</w:t>
      </w:r>
      <w:r w:rsidRPr="00257B7C">
        <w:rPr>
          <w:rFonts w:ascii="Arial" w:hAnsi="Arial" w:cs="Arial"/>
          <w:sz w:val="22"/>
          <w:szCs w:val="22"/>
        </w:rPr>
        <w:t>commerce, leveraging brand equity, and optimising supply chains</w:t>
      </w:r>
      <w:r w:rsidR="00737429">
        <w:rPr>
          <w:rFonts w:ascii="Arial" w:hAnsi="Arial" w:cs="Arial"/>
          <w:sz w:val="22"/>
          <w:szCs w:val="22"/>
        </w:rPr>
        <w:t>,</w:t>
      </w:r>
      <w:r w:rsidR="00BC7015">
        <w:rPr>
          <w:rFonts w:ascii="Arial" w:hAnsi="Arial" w:cs="Arial"/>
          <w:sz w:val="22"/>
          <w:szCs w:val="22"/>
        </w:rPr>
        <w:t xml:space="preserve"> </w:t>
      </w:r>
      <w:r w:rsidRPr="00257B7C">
        <w:rPr>
          <w:rFonts w:ascii="Arial" w:hAnsi="Arial" w:cs="Arial"/>
          <w:sz w:val="22"/>
          <w:szCs w:val="22"/>
        </w:rPr>
        <w:t>are essential to sustaining competitive advantage (Johnson, Scholes and Whittington, 2017; Porter, 1980)</w:t>
      </w:r>
      <w:r w:rsidRPr="00731E12">
        <w:rPr>
          <w:rFonts w:ascii="Arial" w:hAnsi="Arial" w:cs="Arial"/>
          <w:sz w:val="22"/>
          <w:szCs w:val="22"/>
        </w:rPr>
        <w:t>.</w:t>
      </w:r>
    </w:p>
    <w:p w14:paraId="189E343A" w14:textId="77777777" w:rsidR="00257B7C" w:rsidRDefault="00257B7C" w:rsidP="00257B7C">
      <w:pPr>
        <w:spacing w:line="360" w:lineRule="auto"/>
        <w:rPr>
          <w:rFonts w:ascii="Arial" w:hAnsi="Arial" w:cs="Arial"/>
          <w:sz w:val="22"/>
          <w:szCs w:val="22"/>
        </w:rPr>
      </w:pPr>
    </w:p>
    <w:p w14:paraId="0F9E4364" w14:textId="77777777" w:rsidR="00257B7C" w:rsidRDefault="00257B7C" w:rsidP="00257B7C">
      <w:pPr>
        <w:spacing w:line="360" w:lineRule="auto"/>
        <w:rPr>
          <w:rFonts w:ascii="Arial" w:hAnsi="Arial" w:cs="Arial"/>
          <w:sz w:val="22"/>
          <w:szCs w:val="22"/>
        </w:rPr>
      </w:pPr>
    </w:p>
    <w:p w14:paraId="28E51363" w14:textId="77777777" w:rsidR="00257B7C" w:rsidRDefault="00257B7C" w:rsidP="00257B7C">
      <w:pPr>
        <w:spacing w:line="360" w:lineRule="auto"/>
        <w:rPr>
          <w:rFonts w:ascii="Arial" w:hAnsi="Arial" w:cs="Arial"/>
          <w:sz w:val="22"/>
          <w:szCs w:val="22"/>
        </w:rPr>
      </w:pPr>
    </w:p>
    <w:p w14:paraId="76A73F0F" w14:textId="77777777" w:rsidR="00257B7C" w:rsidRDefault="00257B7C" w:rsidP="00257B7C">
      <w:pPr>
        <w:spacing w:line="360" w:lineRule="auto"/>
        <w:rPr>
          <w:rFonts w:ascii="Arial" w:hAnsi="Arial" w:cs="Arial"/>
          <w:sz w:val="22"/>
          <w:szCs w:val="22"/>
        </w:rPr>
      </w:pPr>
    </w:p>
    <w:p w14:paraId="5561C37C" w14:textId="77777777" w:rsidR="00257B7C" w:rsidRDefault="00257B7C" w:rsidP="00257B7C">
      <w:pPr>
        <w:spacing w:line="360" w:lineRule="auto"/>
        <w:rPr>
          <w:rFonts w:ascii="Arial" w:hAnsi="Arial" w:cs="Arial"/>
          <w:sz w:val="22"/>
          <w:szCs w:val="22"/>
        </w:rPr>
      </w:pPr>
    </w:p>
    <w:p w14:paraId="55A96FFD" w14:textId="77777777" w:rsidR="00257B7C" w:rsidRDefault="00257B7C" w:rsidP="00257B7C">
      <w:pPr>
        <w:spacing w:line="360" w:lineRule="auto"/>
        <w:rPr>
          <w:rFonts w:ascii="Arial" w:hAnsi="Arial" w:cs="Arial"/>
          <w:sz w:val="22"/>
          <w:szCs w:val="22"/>
        </w:rPr>
      </w:pPr>
    </w:p>
    <w:p w14:paraId="061079FA" w14:textId="77777777" w:rsidR="00AB1606" w:rsidRPr="00731E12" w:rsidRDefault="00AB1606" w:rsidP="00AB1606">
      <w:pPr>
        <w:rPr>
          <w:rFonts w:ascii="Arial" w:hAnsi="Arial" w:cs="Arial"/>
          <w:sz w:val="22"/>
          <w:szCs w:val="22"/>
        </w:rPr>
      </w:pPr>
    </w:p>
    <w:p w14:paraId="3FB86449" w14:textId="77777777" w:rsidR="00AB1606" w:rsidRPr="00731E12" w:rsidRDefault="00AB1606" w:rsidP="00AB1606">
      <w:pPr>
        <w:rPr>
          <w:rFonts w:ascii="Arial" w:hAnsi="Arial" w:cs="Arial"/>
          <w:sz w:val="22"/>
          <w:szCs w:val="22"/>
        </w:rPr>
      </w:pPr>
    </w:p>
    <w:p w14:paraId="2DFCEF6D" w14:textId="5CC205A6" w:rsidR="003D3B2B" w:rsidRPr="00BC7015" w:rsidRDefault="004E4A0E" w:rsidP="00BC7015">
      <w:pPr>
        <w:pStyle w:val="Heading2"/>
        <w:spacing w:line="360" w:lineRule="auto"/>
        <w:jc w:val="both"/>
        <w:rPr>
          <w:rFonts w:ascii="Arial" w:hAnsi="Arial" w:cs="Arial"/>
        </w:rPr>
      </w:pPr>
      <w:bookmarkStart w:id="13" w:name="_Toc216278897"/>
      <w:r w:rsidRPr="00BC7015">
        <w:rPr>
          <w:rFonts w:ascii="Arial" w:hAnsi="Arial" w:cs="Arial"/>
          <w:color w:val="000000" w:themeColor="text1"/>
        </w:rPr>
        <w:lastRenderedPageBreak/>
        <w:t>SWOT Analysis and Critical Discussion</w:t>
      </w:r>
      <w:bookmarkEnd w:id="13"/>
      <w:r w:rsidRPr="00BC7015">
        <w:rPr>
          <w:rFonts w:ascii="Arial" w:hAnsi="Arial" w:cs="Arial"/>
        </w:rPr>
        <w:t xml:space="preserve"> </w:t>
      </w:r>
    </w:p>
    <w:p w14:paraId="46AD97EA" w14:textId="77777777" w:rsidR="00A56038" w:rsidRPr="00BC7015" w:rsidRDefault="00A56038" w:rsidP="00BC7015">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A SWOT analysis offers a structured framework to evaluate P&amp;G's internal strengths and weaknesses alongside external opportunities and threats, supporting strategic decision-making and understanding of environmental impacts (Johnson, Scholes and Whittington, 2017; Porter, 1980).</w:t>
      </w:r>
    </w:p>
    <w:p w14:paraId="0CA9C5DA" w14:textId="77777777" w:rsidR="00A56038" w:rsidRPr="00737429" w:rsidRDefault="00A56038" w:rsidP="00737429">
      <w:pPr>
        <w:pStyle w:val="Heading2"/>
        <w:spacing w:line="360" w:lineRule="auto"/>
        <w:rPr>
          <w:rFonts w:ascii="Arial" w:eastAsia="Times New Roman" w:hAnsi="Arial" w:cs="Arial"/>
          <w:b/>
          <w:bCs/>
          <w:color w:val="000000" w:themeColor="text1"/>
          <w:sz w:val="24"/>
          <w:szCs w:val="24"/>
        </w:rPr>
      </w:pPr>
      <w:bookmarkStart w:id="14" w:name="_Toc216278898"/>
      <w:r w:rsidRPr="00737429">
        <w:rPr>
          <w:rFonts w:ascii="Arial" w:eastAsia="Times New Roman" w:hAnsi="Arial" w:cs="Arial"/>
          <w:b/>
          <w:bCs/>
          <w:color w:val="000000" w:themeColor="text1"/>
          <w:sz w:val="24"/>
          <w:szCs w:val="24"/>
        </w:rPr>
        <w:t>Strengths</w:t>
      </w:r>
      <w:bookmarkEnd w:id="14"/>
    </w:p>
    <w:p w14:paraId="6817E780" w14:textId="0FE9D251" w:rsidR="00A56038" w:rsidRPr="00BC7015" w:rsidRDefault="00A56038" w:rsidP="00737429">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P&amp;G's foremost strength lies in its extensive global brand portfolio and strong consumer recognition. Flagship brands such as Tide, Pampers, Gillette, Head</w:t>
      </w:r>
      <w:r w:rsidR="00731E12" w:rsidRPr="00BC7015">
        <w:rPr>
          <w:rFonts w:ascii="Arial" w:eastAsia="Times New Roman" w:hAnsi="Arial" w:cs="Arial"/>
          <w:color w:val="000000"/>
          <w:kern w:val="0"/>
          <w:sz w:val="22"/>
          <w:szCs w:val="22"/>
          <w14:ligatures w14:val="none"/>
        </w:rPr>
        <w:t xml:space="preserve">&amp; </w:t>
      </w:r>
      <w:r w:rsidRPr="00BC7015">
        <w:rPr>
          <w:rFonts w:ascii="Arial" w:eastAsia="Times New Roman" w:hAnsi="Arial" w:cs="Arial"/>
          <w:color w:val="000000"/>
          <w:kern w:val="0"/>
          <w:sz w:val="22"/>
          <w:szCs w:val="22"/>
          <w14:ligatures w14:val="none"/>
        </w:rPr>
        <w:t xml:space="preserve">Shoulders and Oral-B have cultivated high levels of loyalty across diverse product categories, enabling premium pricing and sustained market share (Cai, 2024; Shi, 2023)company'spany's global reach, operating in more than 180 countries, reduces reliance on any single market and allows risk diversification while exploiting growth opportunities in emerging economies (Encyclopaedia Britannica, 2025). Economies of scale derived from large-scale manufacturing, global sourcing and distribution networks provide cost efficiencies and bargaining power with suppliers. This scale also supports substantial investment in research and development (R&amp;D), which underpins innovation in product design, sustainability and consumer adaptation (Panmore Institute, 2024). Furthermore, P&amp;G's commitment to sustainability </w:t>
      </w:r>
      <w:r w:rsidR="00BC7015">
        <w:rPr>
          <w:rFonts w:ascii="Arial" w:eastAsia="Times New Roman" w:hAnsi="Arial" w:cs="Arial"/>
          <w:color w:val="000000"/>
          <w:kern w:val="0"/>
          <w:sz w:val="22"/>
          <w:szCs w:val="22"/>
          <w14:ligatures w14:val="none"/>
        </w:rPr>
        <w:t xml:space="preserve"> </w:t>
      </w:r>
      <w:r w:rsidRPr="00BC7015">
        <w:rPr>
          <w:rFonts w:ascii="Arial" w:eastAsia="Times New Roman" w:hAnsi="Arial" w:cs="Arial"/>
          <w:color w:val="000000"/>
          <w:kern w:val="0"/>
          <w:sz w:val="22"/>
          <w:szCs w:val="22"/>
          <w14:ligatures w14:val="none"/>
        </w:rPr>
        <w:t xml:space="preserve"> including recyclable packaging, reduced carbon emissions and ethical sourcing enhances reputation and aligns with regulatory and consumer expectations (Hivelr Business Review, 2024).</w:t>
      </w:r>
    </w:p>
    <w:p w14:paraId="78191940" w14:textId="77777777" w:rsidR="00A56038" w:rsidRPr="00737429" w:rsidRDefault="00A56038" w:rsidP="00737429">
      <w:pPr>
        <w:pStyle w:val="Heading2"/>
        <w:spacing w:line="360" w:lineRule="auto"/>
        <w:rPr>
          <w:rFonts w:ascii="Arial" w:eastAsia="Times New Roman" w:hAnsi="Arial" w:cs="Arial"/>
          <w:b/>
          <w:bCs/>
          <w:color w:val="000000" w:themeColor="text1"/>
          <w:sz w:val="24"/>
          <w:szCs w:val="24"/>
        </w:rPr>
      </w:pPr>
      <w:bookmarkStart w:id="15" w:name="_Toc216278899"/>
      <w:r w:rsidRPr="00737429">
        <w:rPr>
          <w:rFonts w:ascii="Arial" w:eastAsia="Times New Roman" w:hAnsi="Arial" w:cs="Arial"/>
          <w:b/>
          <w:bCs/>
          <w:color w:val="000000" w:themeColor="text1"/>
          <w:sz w:val="24"/>
          <w:szCs w:val="24"/>
        </w:rPr>
        <w:t>Weaknesses</w:t>
      </w:r>
      <w:bookmarkEnd w:id="15"/>
    </w:p>
    <w:p w14:paraId="75EAA0D6" w14:textId="77777777" w:rsidR="00A56038" w:rsidRPr="00BC7015" w:rsidRDefault="00A56038" w:rsidP="00737429">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Despite these strengths, P&amp;G faces notable weaknesses. Managing a vast global portfolio introduces organisational complexity, which can slow decision-making and hinder responsiveness compared to smaller, more agile competitors (Alqudah, 2017). Heavy reliance on mature markets such as North America and Europe, which are characterised by slower growth and saturation, constrains the potential for expansion  (Marketing91, 2024). Product recalls or quality issues, though infrequent, pose reputational risks and potential legal liabilities. Moreover, while P&amp;G invests in sustainability, the pace of implementation does not always keep pace with evolving regulatory and consumer expectations, leaving the company vulnerable to criticism or competitive disadvantage (Panmore Institute, 2024).</w:t>
      </w:r>
    </w:p>
    <w:p w14:paraId="452923DC" w14:textId="77777777" w:rsidR="00A56038" w:rsidRPr="00737429" w:rsidRDefault="00A56038" w:rsidP="00737429">
      <w:pPr>
        <w:pStyle w:val="Heading2"/>
        <w:spacing w:line="360" w:lineRule="auto"/>
        <w:rPr>
          <w:rFonts w:ascii="Arial" w:eastAsia="Times New Roman" w:hAnsi="Arial" w:cs="Arial"/>
          <w:b/>
          <w:bCs/>
          <w:color w:val="000000" w:themeColor="text1"/>
          <w:sz w:val="24"/>
          <w:szCs w:val="24"/>
        </w:rPr>
      </w:pPr>
      <w:bookmarkStart w:id="16" w:name="_Toc216278900"/>
      <w:r w:rsidRPr="00737429">
        <w:rPr>
          <w:rFonts w:ascii="Arial" w:eastAsia="Times New Roman" w:hAnsi="Arial" w:cs="Arial"/>
          <w:b/>
          <w:bCs/>
          <w:color w:val="000000" w:themeColor="text1"/>
          <w:sz w:val="24"/>
          <w:szCs w:val="24"/>
        </w:rPr>
        <w:lastRenderedPageBreak/>
        <w:t>Opportunities</w:t>
      </w:r>
      <w:bookmarkEnd w:id="16"/>
    </w:p>
    <w:p w14:paraId="56517AF9" w14:textId="48197B60" w:rsidR="00A56038" w:rsidRPr="00BC7015" w:rsidRDefault="00A56038" w:rsidP="00737429">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Externally, P&amp;G has significant opportunities. Emerging markets such as India, China and Latin America offer growth potential driven by rising incomes, urbanisation and demand for branded goods (Ramprasad</w:t>
      </w:r>
      <w:r w:rsidR="00731E12" w:rsidRPr="00BC7015">
        <w:rPr>
          <w:rFonts w:ascii="Arial" w:eastAsia="Times New Roman" w:hAnsi="Arial" w:cs="Arial"/>
          <w:color w:val="000000"/>
          <w:kern w:val="0"/>
          <w:sz w:val="22"/>
          <w:szCs w:val="22"/>
          <w14:ligatures w14:val="none"/>
        </w:rPr>
        <w:t xml:space="preserve">&amp; </w:t>
      </w:r>
      <w:r w:rsidRPr="00BC7015">
        <w:rPr>
          <w:rFonts w:ascii="Arial" w:eastAsia="Times New Roman" w:hAnsi="Arial" w:cs="Arial"/>
          <w:color w:val="000000"/>
          <w:kern w:val="0"/>
          <w:sz w:val="22"/>
          <w:szCs w:val="22"/>
          <w14:ligatures w14:val="none"/>
        </w:rPr>
        <w:t>Karthik, 2020). Digital transformation and e-commerce provide avenues for direct-to-consumer engagement, subscription models and personalised marketing, reducing reliance on traditional retail intermediaries (Nasdaq, 2025). Sustainability trends also create opportunities for differentiation. Innovations in packaging, formulations and production methods can strengthen compliance with stricter regulations and enhance consumer appeal (Chitra et al., 2025). Focusing resources on high-performing brands through portfolio optimisation can improve efficiency and profitability, while acquisitions in emerging categories may bolster relevance (Business Model Analyst, 2025).</w:t>
      </w:r>
    </w:p>
    <w:p w14:paraId="0EE78A50" w14:textId="77777777" w:rsidR="00A56038" w:rsidRPr="00737429" w:rsidRDefault="00A56038" w:rsidP="00737429">
      <w:pPr>
        <w:pStyle w:val="Heading2"/>
        <w:spacing w:line="360" w:lineRule="auto"/>
        <w:rPr>
          <w:rFonts w:ascii="Arial" w:eastAsia="Times New Roman" w:hAnsi="Arial" w:cs="Arial"/>
          <w:b/>
          <w:bCs/>
          <w:color w:val="000000" w:themeColor="text1"/>
          <w:sz w:val="24"/>
          <w:szCs w:val="24"/>
        </w:rPr>
      </w:pPr>
      <w:bookmarkStart w:id="17" w:name="_Toc216278901"/>
      <w:r w:rsidRPr="00737429">
        <w:rPr>
          <w:rFonts w:ascii="Arial" w:eastAsia="Times New Roman" w:hAnsi="Arial" w:cs="Arial"/>
          <w:b/>
          <w:bCs/>
          <w:color w:val="000000" w:themeColor="text1"/>
          <w:sz w:val="24"/>
          <w:szCs w:val="24"/>
        </w:rPr>
        <w:t>Threats</w:t>
      </w:r>
      <w:bookmarkEnd w:id="17"/>
    </w:p>
    <w:p w14:paraId="63B1C918" w14:textId="2ECE6847" w:rsidR="00A56038" w:rsidRPr="00BC7015" w:rsidRDefault="00A56038" w:rsidP="00737429">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P&amp;G operates in an environment characterised by intense competition from global rivals such as Unilever and Colgate-Palmolive, as well as agile regional brands and private-label products (MBA Skool, 2025). Economic volatility, including inflation and currency fluctuations, threatens consumer purchasing power and margins, particularly for premium products (SWOT Analysis, 2025). Global supply chain disruptions, exacerbated by geopolitical tensions and climate change, pose risks to continuity and profitability (Business News Today, 2025). Regulatory changes in product safety, labour laws and environmental standards require constant adaptation, while shifting consumer preferences towards organic and eco-friendly products demand rapid innovation (Varma</w:t>
      </w:r>
      <w:r w:rsidR="00731E12" w:rsidRPr="00BC7015">
        <w:rPr>
          <w:rFonts w:ascii="Arial" w:eastAsia="Times New Roman" w:hAnsi="Arial" w:cs="Arial"/>
          <w:color w:val="000000"/>
          <w:kern w:val="0"/>
          <w:sz w:val="22"/>
          <w:szCs w:val="22"/>
          <w14:ligatures w14:val="none"/>
        </w:rPr>
        <w:t xml:space="preserve">&amp; </w:t>
      </w:r>
      <w:r w:rsidRPr="00BC7015">
        <w:rPr>
          <w:rFonts w:ascii="Arial" w:eastAsia="Times New Roman" w:hAnsi="Arial" w:cs="Arial"/>
          <w:color w:val="000000"/>
          <w:kern w:val="0"/>
          <w:sz w:val="22"/>
          <w:szCs w:val="22"/>
          <w14:ligatures w14:val="none"/>
        </w:rPr>
        <w:t>Ravi, 2019; Latterly.org, 2024).</w:t>
      </w:r>
    </w:p>
    <w:p w14:paraId="2532AC96" w14:textId="77777777" w:rsidR="00BC7015" w:rsidRDefault="00BC7015" w:rsidP="00BC7015">
      <w:pPr>
        <w:spacing w:line="360" w:lineRule="auto"/>
        <w:jc w:val="both"/>
        <w:rPr>
          <w:rFonts w:ascii="Arial" w:eastAsia="Times New Roman" w:hAnsi="Arial" w:cs="Arial"/>
          <w:color w:val="000000"/>
          <w:kern w:val="0"/>
          <w:sz w:val="22"/>
          <w:szCs w:val="22"/>
          <w14:ligatures w14:val="none"/>
        </w:rPr>
      </w:pPr>
    </w:p>
    <w:p w14:paraId="65309F00" w14:textId="4D508608" w:rsidR="00A56038" w:rsidRPr="00BC7015" w:rsidRDefault="00A56038" w:rsidP="00BC7015">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The SWOT analysis highlights the interplay between P&amp;G's internal capabilities and external pressures. Substantial brand equity, global scale and R&amp;D capacity enable the company to exploit opportunities and mitigate threats (Cai, 2024). However, organisational complexity and reliance on mature markets limit agility, necessitating streamlined structures and faster decision-making (Alqudah, 2017).</w:t>
      </w:r>
    </w:p>
    <w:p w14:paraId="1550AEC0" w14:textId="0D78F0A5" w:rsidR="00A56038" w:rsidRPr="00BC7015" w:rsidRDefault="00A56038" w:rsidP="00BC7015">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 xml:space="preserve">Economic volatility and competition underscore the importance of cost control and differentiation, while digital transformation and sustainability provide pathways for growth and resilience (Chitra et al., 2025). Recent micro-economic decisions </w:t>
      </w:r>
      <w:r w:rsidR="00BC7015">
        <w:rPr>
          <w:rFonts w:ascii="Arial" w:eastAsia="Times New Roman" w:hAnsi="Arial" w:cs="Arial"/>
          <w:color w:val="000000"/>
          <w:kern w:val="0"/>
          <w:sz w:val="22"/>
          <w:szCs w:val="22"/>
          <w14:ligatures w14:val="none"/>
        </w:rPr>
        <w:t xml:space="preserve"> </w:t>
      </w:r>
      <w:r w:rsidRPr="00BC7015">
        <w:rPr>
          <w:rFonts w:ascii="Arial" w:eastAsia="Times New Roman" w:hAnsi="Arial" w:cs="Arial"/>
          <w:color w:val="000000"/>
          <w:kern w:val="0"/>
          <w:sz w:val="22"/>
          <w:szCs w:val="22"/>
          <w14:ligatures w14:val="none"/>
        </w:rPr>
        <w:t xml:space="preserve"> including digital marketing investments, </w:t>
      </w:r>
      <w:r w:rsidRPr="00BC7015">
        <w:rPr>
          <w:rFonts w:ascii="Arial" w:eastAsia="Times New Roman" w:hAnsi="Arial" w:cs="Arial"/>
          <w:color w:val="000000"/>
          <w:kern w:val="0"/>
          <w:sz w:val="22"/>
          <w:szCs w:val="22"/>
          <w14:ligatures w14:val="none"/>
        </w:rPr>
        <w:lastRenderedPageBreak/>
        <w:t xml:space="preserve">sustainable innovation and </w:t>
      </w:r>
      <w:r w:rsidR="002118FC" w:rsidRPr="00BC7015">
        <w:rPr>
          <w:rFonts w:ascii="Arial" w:eastAsia="Times New Roman" w:hAnsi="Arial" w:cs="Arial"/>
          <w:color w:val="000000"/>
          <w:kern w:val="0"/>
          <w:sz w:val="22"/>
          <w:szCs w:val="22"/>
          <w14:ligatures w14:val="none"/>
        </w:rPr>
        <w:t>portfolio</w:t>
      </w:r>
      <w:r w:rsidRPr="00BC7015">
        <w:rPr>
          <w:rFonts w:ascii="Arial" w:eastAsia="Times New Roman" w:hAnsi="Arial" w:cs="Arial"/>
          <w:color w:val="000000"/>
          <w:kern w:val="0"/>
          <w:sz w:val="22"/>
          <w:szCs w:val="22"/>
          <w14:ligatures w14:val="none"/>
        </w:rPr>
        <w:t xml:space="preserve"> streamlining </w:t>
      </w:r>
      <w:r w:rsidR="00BC7015">
        <w:rPr>
          <w:rFonts w:ascii="Arial" w:eastAsia="Times New Roman" w:hAnsi="Arial" w:cs="Arial"/>
          <w:color w:val="000000"/>
          <w:kern w:val="0"/>
          <w:sz w:val="22"/>
          <w:szCs w:val="22"/>
          <w14:ligatures w14:val="none"/>
        </w:rPr>
        <w:t xml:space="preserve"> </w:t>
      </w:r>
      <w:r w:rsidRPr="00BC7015">
        <w:rPr>
          <w:rFonts w:ascii="Arial" w:eastAsia="Times New Roman" w:hAnsi="Arial" w:cs="Arial"/>
          <w:color w:val="000000"/>
          <w:kern w:val="0"/>
          <w:sz w:val="22"/>
          <w:szCs w:val="22"/>
          <w14:ligatures w14:val="none"/>
        </w:rPr>
        <w:t xml:space="preserve"> demonstrate recognition of these dynamics, though accelerated implementation will be critical to maintaining leadership (Business News Today, 2025).</w:t>
      </w:r>
    </w:p>
    <w:p w14:paraId="534CB6DE" w14:textId="77777777" w:rsidR="00A56038" w:rsidRPr="00BC7015" w:rsidRDefault="00A56038" w:rsidP="00BC7015">
      <w:pPr>
        <w:spacing w:line="360" w:lineRule="auto"/>
        <w:jc w:val="both"/>
        <w:rPr>
          <w:rFonts w:ascii="Arial" w:eastAsia="Times New Roman" w:hAnsi="Arial" w:cs="Arial"/>
          <w:color w:val="000000"/>
          <w:kern w:val="0"/>
          <w:sz w:val="22"/>
          <w:szCs w:val="22"/>
          <w14:ligatures w14:val="none"/>
        </w:rPr>
      </w:pPr>
      <w:r w:rsidRPr="00BC7015">
        <w:rPr>
          <w:rFonts w:ascii="Arial" w:eastAsia="Times New Roman" w:hAnsi="Arial" w:cs="Arial"/>
          <w:color w:val="000000"/>
          <w:kern w:val="0"/>
          <w:sz w:val="22"/>
          <w:szCs w:val="22"/>
          <w14:ligatures w14:val="none"/>
        </w:rPr>
        <w:t>In conclusion, P&amp;G's enduring strengths provide a foundation for growth, but external pressures demand continuous adaptation. Strategic agility, innovation and environmental awareness will determine whether the company sustains competitive advantage in the evolving global FMCG landscape.</w:t>
      </w:r>
    </w:p>
    <w:p w14:paraId="522F3BAE" w14:textId="77777777" w:rsidR="002118FC" w:rsidRPr="00731E12" w:rsidRDefault="002118FC" w:rsidP="002118FC">
      <w:pPr>
        <w:rPr>
          <w:rFonts w:ascii="Arial" w:hAnsi="Arial" w:cs="Arial"/>
        </w:rPr>
      </w:pPr>
    </w:p>
    <w:p w14:paraId="2B2D4313" w14:textId="77777777" w:rsidR="002118FC" w:rsidRPr="00731E12" w:rsidRDefault="002118FC" w:rsidP="00BC7015">
      <w:pPr>
        <w:spacing w:line="360" w:lineRule="auto"/>
        <w:rPr>
          <w:rFonts w:ascii="Arial" w:hAnsi="Arial" w:cs="Arial"/>
        </w:rPr>
      </w:pPr>
    </w:p>
    <w:p w14:paraId="521A1569" w14:textId="1F5AA24B" w:rsidR="003D3B2B" w:rsidRPr="00731E12" w:rsidRDefault="004E4A0E" w:rsidP="00BC7015">
      <w:pPr>
        <w:pStyle w:val="Heading2"/>
        <w:spacing w:line="360" w:lineRule="auto"/>
        <w:rPr>
          <w:rFonts w:ascii="Arial" w:hAnsi="Arial" w:cs="Arial"/>
          <w:color w:val="000000" w:themeColor="text1"/>
        </w:rPr>
      </w:pPr>
      <w:bookmarkStart w:id="18" w:name="_Toc216278902"/>
      <w:r w:rsidRPr="00731E12">
        <w:rPr>
          <w:rFonts w:ascii="Arial" w:hAnsi="Arial" w:cs="Arial"/>
          <w:color w:val="000000" w:themeColor="text1"/>
        </w:rPr>
        <w:t>Conclusion</w:t>
      </w:r>
      <w:bookmarkEnd w:id="18"/>
    </w:p>
    <w:p w14:paraId="023C6193" w14:textId="2AFFEA0C"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Procter</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Gamble (P&amp;G) occupies a strong position as a global leader in the fast-moving consumer goods (FMCG) sector. Its extensive brand portfolio, global reach, operational scale, and significant investment in research and development provide considerable advantages over competitors (Govindarajan</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Trimble, 2012; Harvard Business Review, 2013). The company has demonstrated resilience in navigating economic fluctuations, evolving consumer preferences, and complex regulatory environments (Zhang, 2021).</w:t>
      </w:r>
    </w:p>
    <w:p w14:paraId="61780510" w14:textId="72EA51B1"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However, the analys</w:t>
      </w:r>
      <w:r w:rsidR="00BC7015">
        <w:rPr>
          <w:rFonts w:ascii="Arial" w:eastAsia="Times New Roman" w:hAnsi="Arial" w:cs="Arial"/>
          <w:color w:val="000000"/>
          <w:kern w:val="0"/>
          <w:sz w:val="22"/>
          <w:szCs w:val="22"/>
          <w14:ligatures w14:val="none"/>
        </w:rPr>
        <w:t>e</w:t>
      </w:r>
      <w:r w:rsidRPr="00731E12">
        <w:rPr>
          <w:rFonts w:ascii="Arial" w:eastAsia="Times New Roman" w:hAnsi="Arial" w:cs="Arial"/>
          <w:color w:val="000000"/>
          <w:kern w:val="0"/>
          <w:sz w:val="22"/>
          <w:szCs w:val="22"/>
          <w14:ligatures w14:val="none"/>
        </w:rPr>
        <w:t>s conducted in this report</w:t>
      </w:r>
      <w:r w:rsidR="00BC7015">
        <w:rPr>
          <w:rFonts w:ascii="Arial" w:eastAsia="Times New Roman" w:hAnsi="Arial" w:cs="Arial"/>
          <w:color w:val="000000"/>
          <w:kern w:val="0"/>
          <w:sz w:val="22"/>
          <w:szCs w:val="22"/>
          <w14:ligatures w14:val="none"/>
        </w:rPr>
        <w:t xml:space="preserve">, </w:t>
      </w:r>
      <w:r w:rsidRPr="00731E12">
        <w:rPr>
          <w:rFonts w:ascii="Arial" w:eastAsia="Times New Roman" w:hAnsi="Arial" w:cs="Arial"/>
          <w:color w:val="000000"/>
          <w:kern w:val="0"/>
          <w:sz w:val="22"/>
          <w:szCs w:val="22"/>
          <w14:ligatures w14:val="none"/>
        </w:rPr>
        <w:t>PESTEL, Porter's Five Forces, and SWOT</w:t>
      </w:r>
      <w:r w:rsidR="00BC7015">
        <w:rPr>
          <w:rFonts w:ascii="Arial" w:eastAsia="Times New Roman" w:hAnsi="Arial" w:cs="Arial"/>
          <w:color w:val="000000"/>
          <w:kern w:val="0"/>
          <w:sz w:val="22"/>
          <w:szCs w:val="22"/>
          <w14:ligatures w14:val="none"/>
        </w:rPr>
        <w:t xml:space="preserve"> </w:t>
      </w:r>
      <w:r w:rsidRPr="00731E12">
        <w:rPr>
          <w:rFonts w:ascii="Arial" w:eastAsia="Times New Roman" w:hAnsi="Arial" w:cs="Arial"/>
          <w:color w:val="000000"/>
          <w:kern w:val="0"/>
          <w:sz w:val="22"/>
          <w:szCs w:val="22"/>
          <w14:ligatures w14:val="none"/>
        </w:rPr>
        <w:t>highlight that P&amp;G operates in a challenging and dynamic environment. Macro-environmental forces, including political regulation, economic volatility, societal trends, technological innovation, environmental pressures, and legal compliance, all influence strategic decision-making (Sbircea, 2024; Nwabekee et al., 2024). High levels of industry competition, threat of substitutes, bargaining power of buyers, and supply chain vulnerabilities further shape the competitive landscape (EY, 2022; Supply Chain Dive, 2025).</w:t>
      </w:r>
    </w:p>
    <w:p w14:paraId="54672DA6" w14:textId="1C3AF32D"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The SWOT analysis illustrates that while P&amp;G possesses strong internal capabilities, weaknesses such as operational complexity and reliance on mature markets limit strategic flexibility (Piskorski</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Spadini, 2007). Opportunities exist in emerging markets, digital channels, and sustainability-driven innovation, yet threats from competitors, economic downturns, and regulatory shifts require continuous vigilance</w:t>
      </w:r>
      <w:r w:rsidR="005A148B">
        <w:rPr>
          <w:rFonts w:ascii="Arial" w:eastAsia="Times New Roman" w:hAnsi="Arial" w:cs="Arial"/>
          <w:color w:val="000000"/>
          <w:kern w:val="0"/>
          <w:sz w:val="22"/>
          <w:szCs w:val="22"/>
          <w14:ligatures w14:val="none"/>
        </w:rPr>
        <w:t>.</w:t>
      </w:r>
    </w:p>
    <w:p w14:paraId="154F2D4C" w14:textId="15390A12"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lastRenderedPageBreak/>
        <w:t>Overall, P&amp;G's current international position is robust, but sustaining leadership demands proactive adaptation. Historical strategies</w:t>
      </w:r>
      <w:r w:rsidR="00BC7015">
        <w:rPr>
          <w:rFonts w:ascii="Arial" w:eastAsia="Times New Roman" w:hAnsi="Arial" w:cs="Arial"/>
          <w:color w:val="000000"/>
          <w:kern w:val="0"/>
          <w:sz w:val="22"/>
          <w:szCs w:val="22"/>
          <w14:ligatures w14:val="none"/>
        </w:rPr>
        <w:t xml:space="preserve"> </w:t>
      </w:r>
      <w:r w:rsidRPr="00731E12">
        <w:rPr>
          <w:rFonts w:ascii="Arial" w:eastAsia="Times New Roman" w:hAnsi="Arial" w:cs="Arial"/>
          <w:color w:val="000000"/>
          <w:kern w:val="0"/>
          <w:sz w:val="22"/>
          <w:szCs w:val="22"/>
          <w14:ligatures w14:val="none"/>
        </w:rPr>
        <w:t>such as large-scale manufacturing, mass advertising, and brand-driven differentiation</w:t>
      </w:r>
      <w:r w:rsidR="00AB1606" w:rsidRPr="00731E12">
        <w:rPr>
          <w:rFonts w:ascii="Arial" w:eastAsia="Times New Roman" w:hAnsi="Arial" w:cs="Arial"/>
          <w:color w:val="000000"/>
          <w:kern w:val="0"/>
          <w:sz w:val="22"/>
          <w:szCs w:val="22"/>
          <w14:ligatures w14:val="none"/>
        </w:rPr>
        <w:t xml:space="preserve"> </w:t>
      </w:r>
      <w:r w:rsidRPr="00731E12">
        <w:rPr>
          <w:rFonts w:ascii="Arial" w:eastAsia="Times New Roman" w:hAnsi="Arial" w:cs="Arial"/>
          <w:color w:val="000000"/>
          <w:kern w:val="0"/>
          <w:sz w:val="22"/>
          <w:szCs w:val="22"/>
          <w14:ligatures w14:val="none"/>
        </w:rPr>
        <w:t xml:space="preserve">remain relevant but are insufficient on their own </w:t>
      </w:r>
      <w:r w:rsidR="00AB1606" w:rsidRPr="00731E12">
        <w:rPr>
          <w:rFonts w:ascii="Arial" w:eastAsia="Times New Roman" w:hAnsi="Arial" w:cs="Arial"/>
          <w:color w:val="000000"/>
          <w:kern w:val="0"/>
          <w:sz w:val="22"/>
          <w:szCs w:val="22"/>
          <w14:ligatures w14:val="none"/>
        </w:rPr>
        <w:t>amid</w:t>
      </w:r>
      <w:r w:rsidRPr="00731E12">
        <w:rPr>
          <w:rFonts w:ascii="Arial" w:eastAsia="Times New Roman" w:hAnsi="Arial" w:cs="Arial"/>
          <w:color w:val="000000"/>
          <w:kern w:val="0"/>
          <w:sz w:val="22"/>
          <w:szCs w:val="22"/>
          <w14:ligatures w14:val="none"/>
        </w:rPr>
        <w:t xml:space="preserve"> rapid environmental change. Strategic agility, technological integration, and consumer-centric innovation will determine the company's future competitiveness and growth potential (Malankar, 2015).</w:t>
      </w:r>
    </w:p>
    <w:p w14:paraId="6821AF0E" w14:textId="77777777" w:rsidR="00737429" w:rsidRDefault="00737429" w:rsidP="00737429">
      <w:pPr>
        <w:pStyle w:val="Heading2"/>
        <w:spacing w:line="360" w:lineRule="auto"/>
        <w:rPr>
          <w:rFonts w:ascii="Arial" w:hAnsi="Arial" w:cs="Arial"/>
          <w:color w:val="000000" w:themeColor="text1"/>
        </w:rPr>
      </w:pPr>
    </w:p>
    <w:p w14:paraId="4F2E3F3D" w14:textId="2984E8AD" w:rsidR="00737429" w:rsidRPr="00737429" w:rsidRDefault="00737429" w:rsidP="00737429">
      <w:pPr>
        <w:pStyle w:val="Heading2"/>
        <w:spacing w:line="360" w:lineRule="auto"/>
        <w:rPr>
          <w:rFonts w:ascii="Arial" w:eastAsia="Times New Roman" w:hAnsi="Arial" w:cs="Arial"/>
          <w:color w:val="000000" w:themeColor="text1"/>
          <w:kern w:val="0"/>
          <w:sz w:val="22"/>
          <w:szCs w:val="22"/>
          <w14:ligatures w14:val="none"/>
        </w:rPr>
      </w:pPr>
      <w:bookmarkStart w:id="19" w:name="_Toc216278903"/>
      <w:r w:rsidRPr="00737429">
        <w:rPr>
          <w:rFonts w:ascii="Arial" w:hAnsi="Arial" w:cs="Arial"/>
          <w:color w:val="000000" w:themeColor="text1"/>
        </w:rPr>
        <w:t>Recommendations</w:t>
      </w:r>
      <w:bookmarkEnd w:id="19"/>
      <w:r w:rsidRPr="00737429">
        <w:rPr>
          <w:rFonts w:ascii="Arial" w:eastAsia="Times New Roman" w:hAnsi="Arial" w:cs="Arial"/>
          <w:color w:val="000000" w:themeColor="text1"/>
          <w:kern w:val="0"/>
          <w:sz w:val="22"/>
          <w:szCs w:val="22"/>
          <w14:ligatures w14:val="none"/>
        </w:rPr>
        <w:t xml:space="preserve"> </w:t>
      </w:r>
    </w:p>
    <w:p w14:paraId="49A641C4" w14:textId="080F54A0" w:rsidR="00A56038" w:rsidRPr="00731E12" w:rsidRDefault="00A56038" w:rsidP="00737429">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Accelerate Sustainable Innovation: P&amp;G should continue to invest in environmentally friendly product formulations and packaging, including biodegradable materials, refill systems, and carbon-neutral production processes (Procter</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Gamble, 2024; Nwabekee et al., 2024). Such initiatives meet regulatory requirements and appeal to environmentally conscious consumers, enhancing brand loyalty (Sbircea, 2024).</w:t>
      </w:r>
    </w:p>
    <w:p w14:paraId="0A35DA18" w14:textId="54CB791F"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Expand in Emerging Markets Emerging economies in Asia, Latin America, and Africa offer significant growth potential due to rising disposable incomes and urbanisation (Govindarajan</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Trimble, 2012). Localising products, tailoring pricing strategies, and strengthening distribution networks will be essential to capturing these opportunities.</w:t>
      </w:r>
    </w:p>
    <w:p w14:paraId="4EFC6EAF" w14:textId="69E6A58E"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Enhance DigiE-Commerce Capabilities to engage directly with customers, rate advanced analytics, and optimise marketing and marketing management (Malankar, 2015). Subscription models and personalised promotions further strengthen consumer relationships.</w:t>
      </w:r>
    </w:p>
    <w:p w14:paraId="452F109B" w14:textId="1129908C"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 xml:space="preserve"> A Lio Strategic review of </w:t>
      </w:r>
      <w:r w:rsidR="002118FC" w:rsidRPr="00731E12">
        <w:rPr>
          <w:rFonts w:ascii="Arial" w:eastAsia="Times New Roman" w:hAnsi="Arial" w:cs="Arial"/>
          <w:color w:val="000000"/>
          <w:kern w:val="0"/>
          <w:sz w:val="22"/>
          <w:szCs w:val="22"/>
          <w14:ligatures w14:val="none"/>
        </w:rPr>
        <w:t>the portfolio</w:t>
      </w:r>
      <w:r w:rsidRPr="00731E12">
        <w:rPr>
          <w:rFonts w:ascii="Arial" w:eastAsia="Times New Roman" w:hAnsi="Arial" w:cs="Arial"/>
          <w:color w:val="000000"/>
          <w:kern w:val="0"/>
          <w:sz w:val="22"/>
          <w:szCs w:val="22"/>
          <w14:ligatures w14:val="none"/>
        </w:rPr>
        <w:t xml:space="preserve"> would identify high-performing lines for divestment or repositioning (Piskorski</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Spadini, 2007). This ensures efficient resource allocation and reduces operational complexity.</w:t>
      </w:r>
    </w:p>
    <w:p w14:paraId="399CECC4" w14:textId="77777777"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Strengthen Supply Chain Resilience Diversifying suppliers, investing in localised manufacturing, and incorporating risk management strategies are critical to mitigating disruptions (EY, 2022; Supply Chain Dive, 2025). Monitoring geopolitical risks and climate change implications will support continuity and cost-effectiveness.</w:t>
      </w:r>
    </w:p>
    <w:p w14:paraId="5433E89A" w14:textId="1B7AF7FE"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Maintain Competitive Pricing and Value Proposition. Tiered pricing strategies, including smaller pack sizes and bundle offers, can balance accessibility with profitability</w:t>
      </w:r>
      <w:r w:rsidR="005D0F14">
        <w:rPr>
          <w:rFonts w:ascii="Arial" w:eastAsia="Times New Roman" w:hAnsi="Arial" w:cs="Arial"/>
          <w:color w:val="000000"/>
          <w:kern w:val="0"/>
          <w:sz w:val="22"/>
          <w:szCs w:val="22"/>
          <w14:ligatures w14:val="none"/>
        </w:rPr>
        <w:t>.</w:t>
      </w:r>
    </w:p>
    <w:p w14:paraId="666F4E22" w14:textId="484408EA"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lastRenderedPageBreak/>
        <w:t>Invest in Organisational Agility. Flexible structures and decentralised decision making will enable faster responses to market changes and consumer trends (Piskorski</w:t>
      </w:r>
      <w:r w:rsidR="00731E12" w:rsidRPr="00731E12">
        <w:rPr>
          <w:rFonts w:ascii="Arial" w:eastAsia="Times New Roman" w:hAnsi="Arial" w:cs="Arial"/>
          <w:color w:val="000000"/>
          <w:kern w:val="0"/>
          <w:sz w:val="22"/>
          <w:szCs w:val="22"/>
          <w14:ligatures w14:val="none"/>
        </w:rPr>
        <w:t xml:space="preserve">&amp; </w:t>
      </w:r>
      <w:r w:rsidRPr="00731E12">
        <w:rPr>
          <w:rFonts w:ascii="Arial" w:eastAsia="Times New Roman" w:hAnsi="Arial" w:cs="Arial"/>
          <w:color w:val="000000"/>
          <w:kern w:val="0"/>
          <w:sz w:val="22"/>
          <w:szCs w:val="22"/>
          <w14:ligatures w14:val="none"/>
        </w:rPr>
        <w:t>Spadini, 2007). Agile teams and cross-functional collaboration can enhance innovation cycles.</w:t>
      </w:r>
    </w:p>
    <w:p w14:paraId="6B369B27" w14:textId="6033C55E" w:rsidR="00A56038" w:rsidRPr="00731E12" w:rsidRDefault="00A56038" w:rsidP="00BC7015">
      <w:pPr>
        <w:spacing w:line="360" w:lineRule="auto"/>
        <w:jc w:val="both"/>
        <w:rPr>
          <w:rFonts w:ascii="Arial" w:eastAsia="Times New Roman" w:hAnsi="Arial" w:cs="Arial"/>
          <w:color w:val="000000"/>
          <w:kern w:val="0"/>
          <w:sz w:val="22"/>
          <w:szCs w:val="22"/>
          <w14:ligatures w14:val="none"/>
        </w:rPr>
      </w:pPr>
      <w:r w:rsidRPr="00731E12">
        <w:rPr>
          <w:rFonts w:ascii="Arial" w:eastAsia="Times New Roman" w:hAnsi="Arial" w:cs="Arial"/>
          <w:color w:val="000000"/>
          <w:kern w:val="0"/>
          <w:sz w:val="22"/>
          <w:szCs w:val="22"/>
          <w14:ligatures w14:val="none"/>
        </w:rPr>
        <w:t>Proactive Regulatory Compliance and CSR Monitoring evolving regulations and strengthening CSR initiatives reinforce consumer trust and preempt reputational risks (Zhang, 2021).</w:t>
      </w:r>
    </w:p>
    <w:p w14:paraId="2A4BC00F" w14:textId="77777777" w:rsidR="00BC7015" w:rsidRDefault="00BC7015" w:rsidP="00731E12">
      <w:pPr>
        <w:pStyle w:val="Heading2"/>
        <w:rPr>
          <w:rFonts w:ascii="Arial" w:hAnsi="Arial" w:cs="Arial"/>
          <w:color w:val="000000" w:themeColor="text1"/>
        </w:rPr>
      </w:pPr>
    </w:p>
    <w:p w14:paraId="143A79AB" w14:textId="77777777" w:rsidR="00BC7015" w:rsidRDefault="00BC7015" w:rsidP="00BC7015"/>
    <w:p w14:paraId="7CF6235F" w14:textId="77777777" w:rsidR="00BC7015" w:rsidRDefault="00BC7015" w:rsidP="00BC7015"/>
    <w:p w14:paraId="710C147B" w14:textId="77777777" w:rsidR="00BC7015" w:rsidRDefault="00BC7015" w:rsidP="00BC7015"/>
    <w:p w14:paraId="6FD0C86A" w14:textId="77777777" w:rsidR="00BC7015" w:rsidRDefault="00BC7015" w:rsidP="00BC7015"/>
    <w:p w14:paraId="353F6D7A" w14:textId="77777777" w:rsidR="00BC7015" w:rsidRDefault="00BC7015" w:rsidP="00BC7015"/>
    <w:p w14:paraId="7A4B756D" w14:textId="77777777" w:rsidR="00BC7015" w:rsidRDefault="00BC7015" w:rsidP="00BC7015"/>
    <w:p w14:paraId="558FC287" w14:textId="77777777" w:rsidR="00BC7015" w:rsidRDefault="00BC7015" w:rsidP="00BC7015"/>
    <w:p w14:paraId="627FB40A" w14:textId="77777777" w:rsidR="00BC7015" w:rsidRDefault="00BC7015" w:rsidP="00BC7015"/>
    <w:p w14:paraId="7F4587FD" w14:textId="77777777" w:rsidR="00BC7015" w:rsidRDefault="00BC7015" w:rsidP="00BC7015"/>
    <w:p w14:paraId="0817F97E" w14:textId="77777777" w:rsidR="00BC7015" w:rsidRDefault="00BC7015" w:rsidP="00BC7015"/>
    <w:p w14:paraId="7BE498F1" w14:textId="77777777" w:rsidR="00BC7015" w:rsidRDefault="00BC7015" w:rsidP="00BC7015"/>
    <w:p w14:paraId="3955FB09" w14:textId="77777777" w:rsidR="00BC7015" w:rsidRDefault="00BC7015" w:rsidP="00BC7015"/>
    <w:p w14:paraId="4DE1C640" w14:textId="77777777" w:rsidR="00BC7015" w:rsidRDefault="00BC7015" w:rsidP="00BC7015"/>
    <w:p w14:paraId="5644A8F7" w14:textId="77777777" w:rsidR="00BC7015" w:rsidRDefault="00BC7015" w:rsidP="00BC7015"/>
    <w:p w14:paraId="2A705C02" w14:textId="77777777" w:rsidR="00BC7015" w:rsidRDefault="00BC7015" w:rsidP="00BC7015"/>
    <w:p w14:paraId="4CBFF5B3" w14:textId="77777777" w:rsidR="00BC7015" w:rsidRDefault="00BC7015" w:rsidP="00BC7015"/>
    <w:p w14:paraId="3167EB67" w14:textId="77777777" w:rsidR="00BC7015" w:rsidRDefault="00BC7015" w:rsidP="00BC7015"/>
    <w:p w14:paraId="244FF173" w14:textId="77777777" w:rsidR="00BC7015" w:rsidRDefault="00BC7015" w:rsidP="00BC7015"/>
    <w:p w14:paraId="4293D442" w14:textId="77777777" w:rsidR="00BC7015" w:rsidRDefault="00BC7015" w:rsidP="00A9735C">
      <w:pPr>
        <w:pStyle w:val="Heading2"/>
        <w:rPr>
          <w:rFonts w:ascii="Arial" w:hAnsi="Arial" w:cs="Arial"/>
          <w:color w:val="000000" w:themeColor="text1"/>
        </w:rPr>
      </w:pPr>
      <w:bookmarkStart w:id="20" w:name="_Toc216278904"/>
      <w:r w:rsidRPr="00A9735C">
        <w:rPr>
          <w:rFonts w:ascii="Arial" w:hAnsi="Arial" w:cs="Arial"/>
          <w:color w:val="000000" w:themeColor="text1"/>
        </w:rPr>
        <w:lastRenderedPageBreak/>
        <w:t>Bibliography</w:t>
      </w:r>
      <w:bookmarkEnd w:id="20"/>
    </w:p>
    <w:p w14:paraId="1403B7DB" w14:textId="77777777" w:rsidR="00A9735C" w:rsidRPr="00A9735C" w:rsidRDefault="00A9735C" w:rsidP="00A9735C">
      <w:pPr>
        <w:rPr>
          <w:rFonts w:ascii="Arial" w:hAnsi="Arial" w:cs="Arial"/>
          <w:sz w:val="22"/>
          <w:szCs w:val="22"/>
        </w:rPr>
      </w:pPr>
    </w:p>
    <w:p w14:paraId="09C5D6F3" w14:textId="79C879CA"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Actual Market Research (202</w:t>
      </w:r>
      <w:r w:rsidR="005D0F14">
        <w:rPr>
          <w:rFonts w:ascii="Arial" w:hAnsi="Arial" w:cs="Arial"/>
          <w:color w:val="0E101A"/>
          <w:sz w:val="22"/>
          <w:szCs w:val="22"/>
        </w:rPr>
        <w:t>5</w:t>
      </w:r>
      <w:r w:rsidRPr="00A9735C">
        <w:rPr>
          <w:rFonts w:ascii="Arial" w:hAnsi="Arial" w:cs="Arial"/>
          <w:color w:val="0E101A"/>
          <w:sz w:val="22"/>
          <w:szCs w:val="22"/>
        </w:rPr>
        <w:t>). </w:t>
      </w:r>
      <w:r w:rsidRPr="00A9735C">
        <w:rPr>
          <w:rStyle w:val="Emphasis"/>
          <w:rFonts w:ascii="Arial" w:eastAsiaTheme="majorEastAsia" w:hAnsi="Arial" w:cs="Arial"/>
          <w:color w:val="0E101A"/>
          <w:sz w:val="22"/>
          <w:szCs w:val="22"/>
        </w:rPr>
        <w:t>Global Personal Hygiene Market Growth Report</w:t>
      </w:r>
      <w:r w:rsidRPr="00A9735C">
        <w:rPr>
          <w:rFonts w:ascii="Arial" w:hAnsi="Arial" w:cs="Arial"/>
          <w:color w:val="0E101A"/>
          <w:sz w:val="22"/>
          <w:szCs w:val="22"/>
        </w:rPr>
        <w:t xml:space="preserve">. Available at: </w:t>
      </w:r>
      <w:hyperlink r:id="rId8" w:history="1">
        <w:r w:rsidR="005D0F14" w:rsidRPr="009338C2">
          <w:rPr>
            <w:rStyle w:val="Hyperlink"/>
            <w:rFonts w:ascii="Arial" w:hAnsi="Arial" w:cs="Arial"/>
            <w:sz w:val="22"/>
            <w:szCs w:val="22"/>
          </w:rPr>
          <w:t>https://www.actualmarketresearch.com/product/global-personal-hygiene-market-overview</w:t>
        </w:r>
      </w:hyperlink>
      <w:r w:rsidR="005D0F14">
        <w:rPr>
          <w:rFonts w:ascii="Arial" w:hAnsi="Arial" w:cs="Arial"/>
          <w:color w:val="0E101A"/>
          <w:sz w:val="22"/>
          <w:szCs w:val="22"/>
        </w:rPr>
        <w:t xml:space="preserve"> </w:t>
      </w:r>
      <w:r>
        <w:rPr>
          <w:rFonts w:ascii="Arial" w:hAnsi="Arial" w:cs="Arial"/>
          <w:color w:val="0E101A"/>
          <w:sz w:val="22"/>
          <w:szCs w:val="22"/>
        </w:rPr>
        <w:t xml:space="preserve"> </w:t>
      </w:r>
      <w:r w:rsidRPr="00A9735C">
        <w:rPr>
          <w:rFonts w:ascii="Arial" w:hAnsi="Arial" w:cs="Arial"/>
          <w:color w:val="0E101A"/>
          <w:sz w:val="22"/>
          <w:szCs w:val="22"/>
        </w:rPr>
        <w:t xml:space="preserve"> (Accessed: </w:t>
      </w:r>
      <w:r w:rsidR="005D0F14">
        <w:rPr>
          <w:rFonts w:ascii="Arial" w:hAnsi="Arial" w:cs="Arial"/>
          <w:color w:val="0E101A"/>
          <w:sz w:val="22"/>
          <w:szCs w:val="22"/>
        </w:rPr>
        <w:t>10</w:t>
      </w:r>
      <w:r w:rsidRPr="00A9735C">
        <w:rPr>
          <w:rFonts w:ascii="Arial" w:hAnsi="Arial" w:cs="Arial"/>
          <w:color w:val="0E101A"/>
          <w:sz w:val="22"/>
          <w:szCs w:val="22"/>
        </w:rPr>
        <w:t>th December 2025).</w:t>
      </w:r>
    </w:p>
    <w:p w14:paraId="05D3E93E" w14:textId="446214C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Alqudah, O. (2017). </w:t>
      </w:r>
      <w:r w:rsidRPr="00A9735C">
        <w:rPr>
          <w:rStyle w:val="Emphasis"/>
          <w:rFonts w:ascii="Arial" w:eastAsiaTheme="majorEastAsia" w:hAnsi="Arial" w:cs="Arial"/>
          <w:color w:val="0E101A"/>
          <w:sz w:val="22"/>
          <w:szCs w:val="22"/>
        </w:rPr>
        <w:t>Procter&amp; Gamble reanalysis</w:t>
      </w:r>
      <w:r w:rsidRPr="00A9735C">
        <w:rPr>
          <w:rFonts w:ascii="Arial" w:hAnsi="Arial" w:cs="Arial"/>
          <w:color w:val="0E101A"/>
          <w:sz w:val="22"/>
          <w:szCs w:val="22"/>
        </w:rPr>
        <w:t xml:space="preserve">. Available at: </w:t>
      </w:r>
      <w:hyperlink r:id="rId9" w:history="1">
        <w:r w:rsidR="005D0F14" w:rsidRPr="009338C2">
          <w:rPr>
            <w:rStyle w:val="Hyperlink"/>
            <w:rFonts w:ascii="Arial" w:hAnsi="Arial" w:cs="Arial"/>
            <w:sz w:val="22"/>
            <w:szCs w:val="22"/>
          </w:rPr>
          <w:t>https://www.academia.edu/33359720/Procter_and_Gamble_reanalysis</w:t>
        </w:r>
      </w:hyperlink>
      <w:r w:rsidR="005D0F14">
        <w:rPr>
          <w:rFonts w:ascii="Arial" w:hAnsi="Arial" w:cs="Arial"/>
          <w:color w:val="0E101A"/>
          <w:sz w:val="22"/>
          <w:szCs w:val="22"/>
        </w:rPr>
        <w:t xml:space="preserve"> </w:t>
      </w:r>
      <w:r w:rsidR="005D0F14" w:rsidRPr="005D0F14">
        <w:rPr>
          <w:rFonts w:ascii="Arial" w:hAnsi="Arial" w:cs="Arial"/>
          <w:color w:val="0E101A"/>
          <w:sz w:val="22"/>
          <w:szCs w:val="22"/>
        </w:rPr>
        <w:t xml:space="preserve"> </w:t>
      </w:r>
      <w:r w:rsidRPr="00A9735C">
        <w:rPr>
          <w:rFonts w:ascii="Arial" w:hAnsi="Arial" w:cs="Arial"/>
          <w:color w:val="0E101A"/>
          <w:sz w:val="22"/>
          <w:szCs w:val="22"/>
        </w:rPr>
        <w:t>(Accessed 2nd December 2025).</w:t>
      </w:r>
    </w:p>
    <w:p w14:paraId="2DA7B582"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Barney, J.B. and Hesterly, W.S. (2019). </w:t>
      </w:r>
      <w:r w:rsidRPr="00A9735C">
        <w:rPr>
          <w:rStyle w:val="Emphasis"/>
          <w:rFonts w:ascii="Arial" w:eastAsiaTheme="majorEastAsia" w:hAnsi="Arial" w:cs="Arial"/>
          <w:color w:val="0E101A"/>
          <w:sz w:val="22"/>
          <w:szCs w:val="22"/>
        </w:rPr>
        <w:t>Strategic Management and Competitive Advantage: Concepts and Cases</w:t>
      </w:r>
      <w:r w:rsidRPr="00A9735C">
        <w:rPr>
          <w:rFonts w:ascii="Arial" w:hAnsi="Arial" w:cs="Arial"/>
          <w:color w:val="0E101A"/>
          <w:sz w:val="22"/>
          <w:szCs w:val="22"/>
        </w:rPr>
        <w:t>. 6th ed. Harlow: Pearson.</w:t>
      </w:r>
    </w:p>
    <w:p w14:paraId="15EB08BB" w14:textId="104DEAFB"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BTG Advisory (2025). </w:t>
      </w:r>
      <w:r w:rsidRPr="00A9735C">
        <w:rPr>
          <w:rStyle w:val="Emphasis"/>
          <w:rFonts w:ascii="Arial" w:eastAsiaTheme="majorEastAsia" w:hAnsi="Arial" w:cs="Arial"/>
          <w:color w:val="0E101A"/>
          <w:sz w:val="22"/>
          <w:szCs w:val="22"/>
        </w:rPr>
        <w:t>UK SME manufacturers navigate cost pressures, supply risks, and shifting trade patterns</w:t>
      </w:r>
      <w:r w:rsidRPr="00A9735C">
        <w:rPr>
          <w:rFonts w:ascii="Arial" w:hAnsi="Arial" w:cs="Arial"/>
          <w:color w:val="0E101A"/>
          <w:sz w:val="22"/>
          <w:szCs w:val="22"/>
        </w:rPr>
        <w:t xml:space="preserve">. Available at: </w:t>
      </w:r>
      <w:hyperlink r:id="rId10" w:history="1">
        <w:r w:rsidRPr="009338C2">
          <w:rPr>
            <w:rStyle w:val="Hyperlink"/>
            <w:rFonts w:ascii="Arial" w:hAnsi="Arial" w:cs="Arial"/>
            <w:sz w:val="22"/>
            <w:szCs w:val="22"/>
          </w:rPr>
          <w:t>https://www.btgadvisory.com/insights/general/uk-sme-manufacturers-navigate-cost-pressures-supply-risks-and-shifting-trade-patterns</w:t>
        </w:r>
      </w:hyperlink>
      <w:r>
        <w:rPr>
          <w:rFonts w:ascii="Arial" w:hAnsi="Arial" w:cs="Arial"/>
          <w:color w:val="0E101A"/>
          <w:sz w:val="22"/>
          <w:szCs w:val="22"/>
        </w:rPr>
        <w:t xml:space="preserve"> </w:t>
      </w:r>
      <w:r w:rsidRPr="00A9735C">
        <w:rPr>
          <w:rFonts w:ascii="Arial" w:hAnsi="Arial" w:cs="Arial"/>
          <w:color w:val="0E101A"/>
          <w:sz w:val="22"/>
          <w:szCs w:val="22"/>
        </w:rPr>
        <w:t>(Accessed: 4th December 2025).</w:t>
      </w:r>
    </w:p>
    <w:p w14:paraId="74BAB2DD" w14:textId="7569877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Business Model Analyst (2025). </w:t>
      </w:r>
      <w:r w:rsidRPr="00A9735C">
        <w:rPr>
          <w:rStyle w:val="Emphasis"/>
          <w:rFonts w:ascii="Arial" w:eastAsiaTheme="majorEastAsia" w:hAnsi="Arial" w:cs="Arial"/>
          <w:color w:val="0E101A"/>
          <w:sz w:val="22"/>
          <w:szCs w:val="22"/>
        </w:rPr>
        <w:t>Top 8 P&amp;G competitors and alternatives</w:t>
      </w:r>
      <w:r w:rsidRPr="00A9735C">
        <w:rPr>
          <w:rFonts w:ascii="Arial" w:hAnsi="Arial" w:cs="Arial"/>
          <w:color w:val="0E101A"/>
          <w:sz w:val="22"/>
          <w:szCs w:val="22"/>
        </w:rPr>
        <w:t xml:space="preserve">. Available at: </w:t>
      </w:r>
      <w:hyperlink r:id="rId11" w:history="1">
        <w:r w:rsidRPr="009338C2">
          <w:rPr>
            <w:rStyle w:val="Hyperlink"/>
            <w:rFonts w:ascii="Arial" w:hAnsi="Arial" w:cs="Arial"/>
            <w:sz w:val="22"/>
            <w:szCs w:val="22"/>
          </w:rPr>
          <w:t>https://businessmodelanalyst.com/pg-competitors/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396CCCAF" w14:textId="6760DA5E"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Business News Today (2025). </w:t>
      </w:r>
      <w:r w:rsidRPr="00A9735C">
        <w:rPr>
          <w:rStyle w:val="Emphasis"/>
          <w:rFonts w:ascii="Arial" w:eastAsiaTheme="majorEastAsia" w:hAnsi="Arial" w:cs="Arial"/>
          <w:color w:val="0E101A"/>
          <w:sz w:val="22"/>
          <w:szCs w:val="22"/>
        </w:rPr>
        <w:t>The great consumer goods reset: Why Unilever, Procter&amp; Gamble, and Colgate are trimming portfolios</w:t>
      </w:r>
      <w:r w:rsidRPr="00A9735C">
        <w:rPr>
          <w:rFonts w:ascii="Arial" w:hAnsi="Arial" w:cs="Arial"/>
          <w:color w:val="0E101A"/>
          <w:sz w:val="22"/>
          <w:szCs w:val="22"/>
        </w:rPr>
        <w:t xml:space="preserve">. Available at: </w:t>
      </w:r>
      <w:hyperlink r:id="rId12" w:history="1">
        <w:r w:rsidRPr="009338C2">
          <w:rPr>
            <w:rStyle w:val="Hyperlink"/>
            <w:rFonts w:ascii="Arial" w:hAnsi="Arial" w:cs="Arial"/>
            <w:sz w:val="22"/>
            <w:szCs w:val="22"/>
          </w:rPr>
          <w:t>https://business-news-today.com/the-great-consumer-goods-reset-why-unilever-procter-gamble-and-colgate-are-trimming-portfolios-in-2025/</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1DF52DEB"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Cai, W. (2024). </w:t>
      </w:r>
      <w:r w:rsidRPr="00A9735C">
        <w:rPr>
          <w:rStyle w:val="Emphasis"/>
          <w:rFonts w:ascii="Arial" w:eastAsiaTheme="majorEastAsia" w:hAnsi="Arial" w:cs="Arial"/>
          <w:color w:val="0E101A"/>
          <w:sz w:val="22"/>
          <w:szCs w:val="22"/>
        </w:rPr>
        <w:t>Analysis of Procter&amp; Gamble Company's Business Strategy Based on the Harvard Analytical Framework.</w:t>
      </w:r>
      <w:r w:rsidRPr="00A9735C">
        <w:rPr>
          <w:rFonts w:ascii="Arial" w:hAnsi="Arial" w:cs="Arial"/>
          <w:color w:val="0E101A"/>
          <w:sz w:val="22"/>
          <w:szCs w:val="22"/>
        </w:rPr>
        <w:t>Highlights in Business, Economics and Management. 23. 94-100. 10.54097/pdy7w025.</w:t>
      </w:r>
    </w:p>
    <w:p w14:paraId="61EF49C4" w14:textId="474C4C76"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Chitra, A., Prathiba, D., Suguna, K., Sakthivel, B., Saravana Raghul, T. and Gokul Raj, P. (2025). </w:t>
      </w:r>
      <w:r w:rsidRPr="00A9735C">
        <w:rPr>
          <w:rStyle w:val="Emphasis"/>
          <w:rFonts w:ascii="Arial" w:eastAsiaTheme="majorEastAsia" w:hAnsi="Arial" w:cs="Arial"/>
          <w:color w:val="0E101A"/>
          <w:sz w:val="22"/>
          <w:szCs w:val="22"/>
        </w:rPr>
        <w:t>Evolution of</w:t>
      </w:r>
      <w:r w:rsidRPr="00A9735C">
        <w:rPr>
          <w:rStyle w:val="apple-converted-space"/>
          <w:rFonts w:ascii="Arial" w:eastAsiaTheme="majorEastAsia" w:hAnsi="Arial" w:cs="Arial"/>
          <w:i/>
          <w:iCs/>
          <w:color w:val="0E101A"/>
          <w:sz w:val="22"/>
          <w:szCs w:val="22"/>
        </w:rPr>
        <w:t> </w:t>
      </w:r>
      <w:r w:rsidRPr="00A9735C">
        <w:rPr>
          <w:rStyle w:val="Emphasis"/>
          <w:rFonts w:ascii="Arial" w:eastAsiaTheme="majorEastAsia" w:hAnsi="Arial" w:cs="Arial"/>
          <w:color w:val="0E101A"/>
          <w:sz w:val="22"/>
          <w:szCs w:val="22"/>
        </w:rPr>
        <w:t>FMCGSector: A Literature Review.</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 xml:space="preserve">Asian Journal of Social Science and Management Technology, 7(3), pp. 45–60. Available at: </w:t>
      </w:r>
      <w:hyperlink r:id="rId13" w:history="1">
        <w:r w:rsidRPr="009338C2">
          <w:rPr>
            <w:rStyle w:val="Hyperlink"/>
            <w:rFonts w:ascii="Arial" w:hAnsi="Arial" w:cs="Arial"/>
            <w:sz w:val="22"/>
            <w:szCs w:val="22"/>
          </w:rPr>
          <w:t>https://www.ajssmt.com/Papers/738494.pdf</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w:t>
      </w:r>
      <w:r>
        <w:rPr>
          <w:rFonts w:ascii="Arial" w:hAnsi="Arial" w:cs="Arial"/>
          <w:color w:val="0E101A"/>
          <w:sz w:val="22"/>
          <w:szCs w:val="22"/>
        </w:rPr>
        <w:t>4th</w:t>
      </w:r>
      <w:r w:rsidRPr="00A9735C">
        <w:rPr>
          <w:rFonts w:ascii="Arial" w:hAnsi="Arial" w:cs="Arial"/>
          <w:color w:val="0E101A"/>
          <w:sz w:val="22"/>
          <w:szCs w:val="22"/>
        </w:rPr>
        <w:t xml:space="preserve"> December 2025).</w:t>
      </w:r>
    </w:p>
    <w:p w14:paraId="33EDC34A" w14:textId="52B64855"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 xml:space="preserve">Council of the European Union (2025). </w:t>
      </w:r>
      <w:r w:rsidRPr="005D0F14">
        <w:rPr>
          <w:rFonts w:ascii="Arial" w:hAnsi="Arial" w:cs="Arial"/>
          <w:i/>
          <w:iCs/>
          <w:color w:val="0E101A"/>
          <w:sz w:val="22"/>
          <w:szCs w:val="22"/>
        </w:rPr>
        <w:t>Council and Parliament strike a deal to make detergents safer for the population and the environment</w:t>
      </w:r>
      <w:r w:rsidRPr="00A9735C">
        <w:rPr>
          <w:rFonts w:ascii="Arial" w:hAnsi="Arial" w:cs="Arial"/>
          <w:color w:val="0E101A"/>
          <w:sz w:val="22"/>
          <w:szCs w:val="22"/>
        </w:rPr>
        <w:t xml:space="preserve">. Press release, 10th June. Available at: </w:t>
      </w:r>
      <w:hyperlink r:id="rId14" w:history="1">
        <w:r w:rsidRPr="009338C2">
          <w:rPr>
            <w:rStyle w:val="Hyperlink"/>
            <w:rFonts w:ascii="Arial" w:hAnsi="Arial" w:cs="Arial"/>
            <w:sz w:val="22"/>
            <w:szCs w:val="22"/>
          </w:rPr>
          <w:t>https://www.consilium.europa.eu/en/press/press-releases/2025/06/10/council-and-parliament-strike-a-deal-to-make-detergents-safer-for-the-population-and-the-environment/</w:t>
        </w:r>
      </w:hyperlink>
      <w:r>
        <w:rPr>
          <w:rFonts w:ascii="Arial" w:hAnsi="Arial" w:cs="Arial"/>
          <w:color w:val="0E101A"/>
          <w:sz w:val="22"/>
          <w:szCs w:val="22"/>
        </w:rPr>
        <w:t xml:space="preserve"> </w:t>
      </w:r>
      <w:r w:rsidRPr="00A9735C">
        <w:rPr>
          <w:rFonts w:ascii="Arial" w:hAnsi="Arial" w:cs="Arial"/>
          <w:color w:val="0E101A"/>
          <w:sz w:val="22"/>
          <w:szCs w:val="22"/>
        </w:rPr>
        <w:t>  (Accessed: 9th December 2025). </w:t>
      </w:r>
    </w:p>
    <w:p w14:paraId="4369B49E" w14:textId="08700654"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lastRenderedPageBreak/>
        <w:t>Dividend One (2025.  </w:t>
      </w:r>
      <w:r w:rsidRPr="00A9735C">
        <w:rPr>
          <w:rStyle w:val="Emphasis"/>
          <w:rFonts w:ascii="Arial" w:eastAsiaTheme="majorEastAsia" w:hAnsi="Arial" w:cs="Arial"/>
          <w:color w:val="0E101A"/>
          <w:sz w:val="22"/>
          <w:szCs w:val="22"/>
        </w:rPr>
        <w:t>Dividend King – Procter&amp; Gamble</w:t>
      </w:r>
      <w:r w:rsidRPr="00A9735C">
        <w:rPr>
          <w:rFonts w:ascii="Arial" w:hAnsi="Arial" w:cs="Arial"/>
          <w:color w:val="0E101A"/>
          <w:sz w:val="22"/>
          <w:szCs w:val="22"/>
        </w:rPr>
        <w:t>. Available at:  </w:t>
      </w:r>
      <w:hyperlink r:id="rId15" w:history="1">
        <w:r w:rsidRPr="009338C2">
          <w:rPr>
            <w:rStyle w:val="Hyperlink"/>
            <w:rFonts w:ascii="Arial" w:hAnsi="Arial" w:cs="Arial"/>
            <w:sz w:val="22"/>
            <w:szCs w:val="22"/>
          </w:rPr>
          <w:t>https://dividendone.com/dividend-king-procter-gamble/</w:t>
        </w:r>
      </w:hyperlink>
      <w:r>
        <w:rPr>
          <w:rFonts w:ascii="Arial" w:hAnsi="Arial" w:cs="Arial"/>
          <w:color w:val="0E101A"/>
          <w:sz w:val="22"/>
          <w:szCs w:val="22"/>
        </w:rPr>
        <w:t xml:space="preserve"> </w:t>
      </w:r>
      <w:r w:rsidRPr="00A9735C">
        <w:rPr>
          <w:rFonts w:ascii="Arial" w:hAnsi="Arial" w:cs="Arial"/>
          <w:color w:val="0E101A"/>
          <w:sz w:val="22"/>
          <w:szCs w:val="22"/>
        </w:rPr>
        <w:t>  (Accessed: 9th December 2025).</w:t>
      </w:r>
    </w:p>
    <w:p w14:paraId="4942D6DB"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Dobbs, M.E. (2014). </w:t>
      </w:r>
      <w:r w:rsidRPr="00A9735C">
        <w:rPr>
          <w:rStyle w:val="Emphasis"/>
          <w:rFonts w:ascii="Arial" w:eastAsiaTheme="majorEastAsia" w:hAnsi="Arial" w:cs="Arial"/>
          <w:color w:val="0E101A"/>
          <w:sz w:val="22"/>
          <w:szCs w:val="22"/>
        </w:rPr>
        <w:t>Guidelines for applying Porter’s Five Forces framework: a set of industry analysis templates</w:t>
      </w:r>
      <w:r w:rsidRPr="00A9735C">
        <w:rPr>
          <w:rFonts w:ascii="Arial" w:hAnsi="Arial" w:cs="Arial"/>
          <w:color w:val="0E101A"/>
          <w:sz w:val="22"/>
          <w:szCs w:val="22"/>
        </w:rPr>
        <w:t>. Competitiveness Review, 24(1), pp. 32–45. Emerald Group Publishing.</w:t>
      </w:r>
    </w:p>
    <w:p w14:paraId="24397803" w14:textId="33DE893A"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Dow (2023). </w:t>
      </w:r>
      <w:r w:rsidRPr="00A9735C">
        <w:rPr>
          <w:rStyle w:val="Emphasis"/>
          <w:rFonts w:ascii="Arial" w:eastAsiaTheme="majorEastAsia" w:hAnsi="Arial" w:cs="Arial"/>
          <w:color w:val="0E101A"/>
          <w:sz w:val="22"/>
          <w:szCs w:val="22"/>
        </w:rPr>
        <w:t>Recyclability of Air Capsule e-commerce packaging</w:t>
      </w:r>
      <w:r w:rsidRPr="00A9735C">
        <w:rPr>
          <w:rFonts w:ascii="Arial" w:hAnsi="Arial" w:cs="Arial"/>
          <w:color w:val="0E101A"/>
          <w:sz w:val="22"/>
          <w:szCs w:val="22"/>
        </w:rPr>
        <w:t xml:space="preserve">. Available at: </w:t>
      </w:r>
      <w:hyperlink r:id="rId16" w:history="1">
        <w:r w:rsidRPr="009338C2">
          <w:rPr>
            <w:rStyle w:val="Hyperlink"/>
            <w:rFonts w:ascii="Arial" w:hAnsi="Arial" w:cs="Arial"/>
            <w:sz w:val="22"/>
            <w:szCs w:val="22"/>
          </w:rPr>
          <w:t>https://corporate.dow.com/en-us/news/press-releases/recyclability-of-air-capsule-e-commerce-packaging.html</w:t>
        </w:r>
      </w:hyperlink>
      <w:r>
        <w:rPr>
          <w:rFonts w:ascii="Arial" w:hAnsi="Arial" w:cs="Arial"/>
          <w:color w:val="0E101A"/>
          <w:sz w:val="22"/>
          <w:szCs w:val="22"/>
        </w:rPr>
        <w:t xml:space="preserve"> </w:t>
      </w:r>
      <w:r w:rsidRPr="00A9735C">
        <w:rPr>
          <w:rFonts w:ascii="Arial" w:hAnsi="Arial" w:cs="Arial"/>
          <w:color w:val="0E101A"/>
          <w:sz w:val="22"/>
          <w:szCs w:val="22"/>
        </w:rPr>
        <w:t>  (Accessed: 9th December 2025).</w:t>
      </w:r>
    </w:p>
    <w:p w14:paraId="4BBDC682" w14:textId="773596F9"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Emergen Research (2025). </w:t>
      </w:r>
      <w:r w:rsidRPr="00A9735C">
        <w:rPr>
          <w:rStyle w:val="Emphasis"/>
          <w:rFonts w:ascii="Arial" w:eastAsiaTheme="majorEastAsia" w:hAnsi="Arial" w:cs="Arial"/>
          <w:color w:val="0E101A"/>
          <w:sz w:val="22"/>
          <w:szCs w:val="22"/>
        </w:rPr>
        <w:t>Beauty and Personal Care Market</w:t>
      </w:r>
      <w:r w:rsidRPr="00A9735C">
        <w:rPr>
          <w:rFonts w:ascii="Arial" w:hAnsi="Arial" w:cs="Arial"/>
          <w:color w:val="0E101A"/>
          <w:sz w:val="22"/>
          <w:szCs w:val="22"/>
        </w:rPr>
        <w:t xml:space="preserve">. Available at: </w:t>
      </w:r>
      <w:hyperlink r:id="rId17" w:history="1">
        <w:r w:rsidRPr="009338C2">
          <w:rPr>
            <w:rStyle w:val="Hyperlink"/>
            <w:rFonts w:ascii="Arial" w:hAnsi="Arial" w:cs="Arial"/>
            <w:sz w:val="22"/>
            <w:szCs w:val="22"/>
          </w:rPr>
          <w:t>https://www.emergenresearch.com/industry-report/beauty-and-personal-care-market</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8th December 2025).</w:t>
      </w:r>
    </w:p>
    <w:p w14:paraId="4A7544A4" w14:textId="48270E08"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Encyclopaedia Britannica (2025). </w:t>
      </w:r>
      <w:r w:rsidRPr="00A9735C">
        <w:rPr>
          <w:rStyle w:val="Emphasis"/>
          <w:rFonts w:ascii="Arial" w:eastAsiaTheme="majorEastAsia" w:hAnsi="Arial" w:cs="Arial"/>
          <w:color w:val="0E101A"/>
          <w:sz w:val="22"/>
          <w:szCs w:val="22"/>
        </w:rPr>
        <w:t>Procter&amp; Gamble Company</w:t>
      </w:r>
      <w:r w:rsidRPr="00A9735C">
        <w:rPr>
          <w:rFonts w:ascii="Arial" w:hAnsi="Arial" w:cs="Arial"/>
          <w:color w:val="0E101A"/>
          <w:sz w:val="22"/>
          <w:szCs w:val="22"/>
        </w:rPr>
        <w:t xml:space="preserve">. Available at: </w:t>
      </w:r>
      <w:hyperlink r:id="rId18" w:history="1">
        <w:r w:rsidRPr="009338C2">
          <w:rPr>
            <w:rStyle w:val="Hyperlink"/>
            <w:rFonts w:ascii="Arial" w:hAnsi="Arial" w:cs="Arial"/>
            <w:sz w:val="22"/>
            <w:szCs w:val="22"/>
          </w:rPr>
          <w:t>https://www.britannica.com/money/Procter-and-Gamble-Company</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0FD71223" w14:textId="2A88F60F"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European Union (2025). </w:t>
      </w:r>
      <w:r w:rsidRPr="00A9735C">
        <w:rPr>
          <w:rStyle w:val="Emphasis"/>
          <w:rFonts w:ascii="Arial" w:eastAsiaTheme="majorEastAsia" w:hAnsi="Arial" w:cs="Arial"/>
          <w:color w:val="0E101A"/>
          <w:sz w:val="22"/>
          <w:szCs w:val="22"/>
        </w:rPr>
        <w:t>Packaging and Packaging Waste Regulation.</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 xml:space="preserve">Available at: </w:t>
      </w:r>
      <w:hyperlink r:id="rId19" w:history="1">
        <w:r w:rsidRPr="009338C2">
          <w:rPr>
            <w:rStyle w:val="Hyperlink"/>
            <w:rFonts w:ascii="Arial" w:hAnsi="Arial" w:cs="Arial"/>
            <w:sz w:val="22"/>
            <w:szCs w:val="22"/>
          </w:rPr>
          <w:t>https://environment.ec.europa.eu/topics/waste-and-recycling/packaging-waste_en</w:t>
        </w:r>
      </w:hyperlink>
      <w:r>
        <w:rPr>
          <w:rFonts w:ascii="Arial" w:hAnsi="Arial" w:cs="Arial"/>
          <w:color w:val="0E101A"/>
          <w:sz w:val="22"/>
          <w:szCs w:val="22"/>
        </w:rPr>
        <w:t xml:space="preserve"> </w:t>
      </w:r>
      <w:r w:rsidRPr="00A9735C">
        <w:rPr>
          <w:rFonts w:ascii="Arial" w:hAnsi="Arial" w:cs="Arial"/>
          <w:color w:val="0E101A"/>
          <w:sz w:val="22"/>
          <w:szCs w:val="22"/>
        </w:rPr>
        <w:t>  (Accessed: 4th December 2025).</w:t>
      </w:r>
    </w:p>
    <w:p w14:paraId="48DF71ED" w14:textId="67297725"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EY (2022). </w:t>
      </w:r>
      <w:r w:rsidRPr="00A9735C">
        <w:rPr>
          <w:rStyle w:val="Emphasis"/>
          <w:rFonts w:ascii="Arial" w:eastAsiaTheme="majorEastAsia" w:hAnsi="Arial" w:cs="Arial"/>
          <w:color w:val="0E101A"/>
          <w:sz w:val="22"/>
          <w:szCs w:val="22"/>
        </w:rPr>
        <w:t>How P&amp;G's supply chain excellence positioned it to prosper in disruption</w:t>
      </w:r>
      <w:r w:rsidRPr="00A9735C">
        <w:rPr>
          <w:rFonts w:ascii="Arial" w:hAnsi="Arial" w:cs="Arial"/>
          <w:color w:val="0E101A"/>
          <w:sz w:val="22"/>
          <w:szCs w:val="22"/>
        </w:rPr>
        <w:t xml:space="preserve">. Available at: </w:t>
      </w:r>
      <w:hyperlink r:id="rId20" w:history="1">
        <w:r w:rsidRPr="009338C2">
          <w:rPr>
            <w:rStyle w:val="Hyperlink"/>
            <w:rFonts w:ascii="Arial" w:hAnsi="Arial" w:cs="Arial"/>
            <w:sz w:val="22"/>
            <w:szCs w:val="22"/>
          </w:rPr>
          <w:t>https://www.ey.com/content/dam/ey-unified-site/ey-com/en-gl/alliances/documents/ey-pg-supply-chain-excellence-000421-22gbl.pdf</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3F226731" w14:textId="4EC6B218"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Forbes (2021). </w:t>
      </w:r>
      <w:r w:rsidRPr="00A9735C">
        <w:rPr>
          <w:rStyle w:val="Emphasis"/>
          <w:rFonts w:ascii="Arial" w:eastAsiaTheme="majorEastAsia" w:hAnsi="Arial" w:cs="Arial"/>
          <w:color w:val="0E101A"/>
          <w:sz w:val="22"/>
          <w:szCs w:val="22"/>
        </w:rPr>
        <w:t>Procter&amp; Gamble tech spending boosts supply chain resilience</w:t>
      </w:r>
      <w:r w:rsidRPr="00A9735C">
        <w:rPr>
          <w:rFonts w:ascii="Arial" w:hAnsi="Arial" w:cs="Arial"/>
          <w:color w:val="0E101A"/>
          <w:sz w:val="22"/>
          <w:szCs w:val="22"/>
        </w:rPr>
        <w:t xml:space="preserve">. Available at: </w:t>
      </w:r>
      <w:hyperlink r:id="rId21" w:history="1">
        <w:r w:rsidRPr="009338C2">
          <w:rPr>
            <w:rStyle w:val="Hyperlink"/>
            <w:rFonts w:ascii="Arial" w:hAnsi="Arial" w:cs="Arial"/>
            <w:sz w:val="22"/>
            <w:szCs w:val="22"/>
          </w:rPr>
          <w:t>https://www.forbes.com/sites/noahbarsky/2021/10/26/procter-gamble-tech-spending-boosts-supply-chain-resilience</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3rd December 2025).</w:t>
      </w:r>
    </w:p>
    <w:p w14:paraId="25DD9154" w14:textId="5F8348FC"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Free PESTEL Analysis (2023). </w:t>
      </w:r>
      <w:r w:rsidRPr="00A9735C">
        <w:rPr>
          <w:rStyle w:val="Emphasis"/>
          <w:rFonts w:ascii="Arial" w:eastAsiaTheme="majorEastAsia" w:hAnsi="Arial" w:cs="Arial"/>
          <w:color w:val="0E101A"/>
          <w:sz w:val="22"/>
          <w:szCs w:val="22"/>
        </w:rPr>
        <w:t>PESTLE analysis of the FMCG industry</w:t>
      </w:r>
      <w:r w:rsidRPr="00A9735C">
        <w:rPr>
          <w:rFonts w:ascii="Arial" w:hAnsi="Arial" w:cs="Arial"/>
          <w:color w:val="0E101A"/>
          <w:sz w:val="22"/>
          <w:szCs w:val="22"/>
        </w:rPr>
        <w:t xml:space="preserve">. Available at: </w:t>
      </w:r>
      <w:hyperlink r:id="rId22" w:history="1">
        <w:r w:rsidRPr="009338C2">
          <w:rPr>
            <w:rStyle w:val="Hyperlink"/>
            <w:rFonts w:ascii="Arial" w:hAnsi="Arial" w:cs="Arial"/>
            <w:sz w:val="22"/>
            <w:szCs w:val="22"/>
          </w:rPr>
          <w:t>https://freepestelanalysis.com/pestle-analysis-of-fmcg-industry/</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401D04C7"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Govindarajan, V. and Trimble, C. (2012). </w:t>
      </w:r>
      <w:r w:rsidRPr="00A9735C">
        <w:rPr>
          <w:rStyle w:val="Emphasis"/>
          <w:rFonts w:ascii="Arial" w:eastAsiaTheme="majorEastAsia" w:hAnsi="Arial" w:cs="Arial"/>
          <w:color w:val="0E101A"/>
          <w:sz w:val="22"/>
          <w:szCs w:val="22"/>
        </w:rPr>
        <w:t>Reverse Innovation: Create Far from Home, Win Everywhere</w:t>
      </w:r>
      <w:r w:rsidRPr="00A9735C">
        <w:rPr>
          <w:rFonts w:ascii="Arial" w:hAnsi="Arial" w:cs="Arial"/>
          <w:color w:val="0E101A"/>
          <w:sz w:val="22"/>
          <w:szCs w:val="22"/>
        </w:rPr>
        <w:t>. Boston: Harvard Business Review Press.</w:t>
      </w:r>
    </w:p>
    <w:p w14:paraId="344D2826" w14:textId="6DD8A7FE"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Grand View Research (2023). </w:t>
      </w:r>
      <w:r w:rsidRPr="00A9735C">
        <w:rPr>
          <w:rStyle w:val="Emphasis"/>
          <w:rFonts w:ascii="Arial" w:eastAsiaTheme="majorEastAsia" w:hAnsi="Arial" w:cs="Arial"/>
          <w:color w:val="0E101A"/>
          <w:sz w:val="22"/>
          <w:szCs w:val="22"/>
        </w:rPr>
        <w:t>Cleaning&amp; Hygiene Products Market Size Report, 2023</w:t>
      </w:r>
      <w:r w:rsidRPr="00A9735C">
        <w:rPr>
          <w:rFonts w:ascii="Arial" w:hAnsi="Arial" w:cs="Arial"/>
          <w:color w:val="0E101A"/>
          <w:sz w:val="22"/>
          <w:szCs w:val="22"/>
        </w:rPr>
        <w:t xml:space="preserve">. Available at: </w:t>
      </w:r>
      <w:hyperlink r:id="rId23" w:history="1">
        <w:r w:rsidRPr="009338C2">
          <w:rPr>
            <w:rStyle w:val="Hyperlink"/>
            <w:rFonts w:ascii="Arial" w:hAnsi="Arial" w:cs="Arial"/>
            <w:sz w:val="22"/>
            <w:szCs w:val="22"/>
          </w:rPr>
          <w:t>https://www.grandviewresearch.com/industry-analysis/cleaning-hygiene-products-market-report</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0F0A1C30"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lastRenderedPageBreak/>
        <w:t>Grant, R.M. (2019). </w:t>
      </w:r>
      <w:r w:rsidRPr="00A9735C">
        <w:rPr>
          <w:rStyle w:val="Emphasis"/>
          <w:rFonts w:ascii="Arial" w:eastAsiaTheme="majorEastAsia" w:hAnsi="Arial" w:cs="Arial"/>
          <w:color w:val="0E101A"/>
          <w:sz w:val="22"/>
          <w:szCs w:val="22"/>
        </w:rPr>
        <w:t>Contemporary Strategy Analysis. </w:t>
      </w:r>
      <w:r w:rsidRPr="00A9735C">
        <w:rPr>
          <w:rFonts w:ascii="Arial" w:hAnsi="Arial" w:cs="Arial"/>
          <w:color w:val="0E101A"/>
          <w:sz w:val="22"/>
          <w:szCs w:val="22"/>
        </w:rPr>
        <w:t> 10th ed. Chichester: Wiley.</w:t>
      </w:r>
    </w:p>
    <w:p w14:paraId="11E823E0" w14:textId="4925203D"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Harvard Business Review (2013). </w:t>
      </w:r>
      <w:r w:rsidRPr="00A9735C">
        <w:rPr>
          <w:rStyle w:val="Emphasis"/>
          <w:rFonts w:ascii="Arial" w:eastAsiaTheme="majorEastAsia" w:hAnsi="Arial" w:cs="Arial"/>
          <w:color w:val="0E101A"/>
          <w:sz w:val="22"/>
          <w:szCs w:val="22"/>
        </w:rPr>
        <w:t>Innovation at Procter&amp; Gamble</w:t>
      </w:r>
      <w:r w:rsidRPr="00A9735C">
        <w:rPr>
          <w:rFonts w:ascii="Arial" w:hAnsi="Arial" w:cs="Arial"/>
          <w:color w:val="0E101A"/>
          <w:sz w:val="22"/>
          <w:szCs w:val="22"/>
        </w:rPr>
        <w:t xml:space="preserve">. Available at: </w:t>
      </w:r>
      <w:hyperlink r:id="rId24" w:history="1">
        <w:r w:rsidRPr="009338C2">
          <w:rPr>
            <w:rStyle w:val="Hyperlink"/>
            <w:rFonts w:ascii="Arial" w:hAnsi="Arial" w:cs="Arial"/>
            <w:sz w:val="22"/>
            <w:szCs w:val="22"/>
          </w:rPr>
          <w:t>https://hbr.org/video/2226595885001/innovation-at-procter--gamble</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11B4F1F7" w14:textId="125CA7C9"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Hivelr Business Review (2024). </w:t>
      </w:r>
      <w:r w:rsidRPr="00A9735C">
        <w:rPr>
          <w:rStyle w:val="Emphasis"/>
          <w:rFonts w:ascii="Arial" w:eastAsiaTheme="majorEastAsia" w:hAnsi="Arial" w:cs="Arial"/>
          <w:color w:val="0E101A"/>
          <w:sz w:val="22"/>
          <w:szCs w:val="22"/>
        </w:rPr>
        <w:t>Procter&amp; Gamble (PG): PESTEL and macro-environmental analysis</w:t>
      </w:r>
      <w:r w:rsidRPr="00A9735C">
        <w:rPr>
          <w:rFonts w:ascii="Arial" w:hAnsi="Arial" w:cs="Arial"/>
          <w:color w:val="0E101A"/>
          <w:sz w:val="22"/>
          <w:szCs w:val="22"/>
        </w:rPr>
        <w:t xml:space="preserve">. Available at: </w:t>
      </w:r>
      <w:hyperlink r:id="rId25" w:history="1">
        <w:r w:rsidRPr="009338C2">
          <w:rPr>
            <w:rStyle w:val="Hyperlink"/>
            <w:rFonts w:ascii="Arial" w:hAnsi="Arial" w:cs="Arial"/>
            <w:sz w:val="22"/>
            <w:szCs w:val="22"/>
          </w:rPr>
          <w:t>https://www.hivelr.com/2024/07/procter-gamble-pg-pestel-and-macro-environmental-analysis/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65B33CF0"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Johnson, G., Scholes, K. and Whittington, R. (2017). </w:t>
      </w:r>
      <w:r w:rsidRPr="00A9735C">
        <w:rPr>
          <w:rStyle w:val="Emphasis"/>
          <w:rFonts w:ascii="Arial" w:eastAsiaTheme="majorEastAsia" w:hAnsi="Arial" w:cs="Arial"/>
          <w:color w:val="0E101A"/>
          <w:sz w:val="22"/>
          <w:szCs w:val="22"/>
        </w:rPr>
        <w:t>Exploring corporate strategy</w:t>
      </w:r>
      <w:r w:rsidRPr="00A9735C">
        <w:rPr>
          <w:rFonts w:ascii="Arial" w:hAnsi="Arial" w:cs="Arial"/>
          <w:color w:val="0E101A"/>
          <w:sz w:val="22"/>
          <w:szCs w:val="22"/>
        </w:rPr>
        <w:t>. 10th ed. Harlow: Pearson Education.</w:t>
      </w:r>
    </w:p>
    <w:p w14:paraId="2835A379"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Kotler, P. and Keller, K.L. (2016). </w:t>
      </w:r>
      <w:r w:rsidRPr="00A9735C">
        <w:rPr>
          <w:rStyle w:val="Emphasis"/>
          <w:rFonts w:ascii="Arial" w:eastAsiaTheme="majorEastAsia" w:hAnsi="Arial" w:cs="Arial"/>
          <w:color w:val="0E101A"/>
          <w:sz w:val="22"/>
          <w:szCs w:val="22"/>
        </w:rPr>
        <w:t>Marketing Management</w:t>
      </w:r>
      <w:r w:rsidRPr="00A9735C">
        <w:rPr>
          <w:rFonts w:ascii="Arial" w:hAnsi="Arial" w:cs="Arial"/>
          <w:color w:val="0E101A"/>
          <w:sz w:val="22"/>
          <w:szCs w:val="22"/>
        </w:rPr>
        <w:t>. 15th ed. Harlow: Pearson.</w:t>
      </w:r>
    </w:p>
    <w:p w14:paraId="53BB94F7"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Lamey, L., Deleersnyder, B., Dekimpe, M.G. and Steenkamp, J.-B.E.M. (2007). </w:t>
      </w:r>
      <w:r w:rsidRPr="00A9735C">
        <w:rPr>
          <w:rStyle w:val="Emphasis"/>
          <w:rFonts w:ascii="Arial" w:eastAsiaTheme="majorEastAsia" w:hAnsi="Arial" w:cs="Arial"/>
          <w:color w:val="0E101A"/>
          <w:sz w:val="22"/>
          <w:szCs w:val="22"/>
        </w:rPr>
        <w:t>How business cycles contribute to private-label success: evidence from the United States and Europe.</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International Journal of Research in Marketing, 24(3), pp. 151–160. Available at:    https://journals.sagepub.com/doi/10.1509/jmkg.71.1.001  </w:t>
      </w:r>
    </w:p>
    <w:p w14:paraId="5E4EB62C" w14:textId="167FA034"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 xml:space="preserve">Latterly.org (2024) Procter&amp; Gamble SWOT Analysis: Iconic Household Brands Strengths, Weaknesses and Outlook. Available at: </w:t>
      </w:r>
      <w:hyperlink r:id="rId26" w:history="1">
        <w:r w:rsidRPr="009338C2">
          <w:rPr>
            <w:rStyle w:val="Hyperlink"/>
            <w:rFonts w:ascii="Arial" w:hAnsi="Arial" w:cs="Arial"/>
            <w:sz w:val="22"/>
            <w:szCs w:val="22"/>
          </w:rPr>
          <w:t>https://www.latterly.org/procter-gamble-pg-swot-analysis/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0CAFAC26" w14:textId="5379F6AF"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Malankar, J. (2015). </w:t>
      </w:r>
      <w:r w:rsidRPr="00A9735C">
        <w:rPr>
          <w:rStyle w:val="Emphasis"/>
          <w:rFonts w:ascii="Arial" w:eastAsiaTheme="majorEastAsia" w:hAnsi="Arial" w:cs="Arial"/>
          <w:color w:val="0E101A"/>
          <w:sz w:val="22"/>
          <w:szCs w:val="22"/>
        </w:rPr>
        <w:t>P&amp;G leads consumer goods giants in race to figure out digital.</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 xml:space="preserve">Harvard Digital Innovation and Transformation Platform. Available at: </w:t>
      </w:r>
      <w:hyperlink r:id="rId27" w:history="1">
        <w:r w:rsidRPr="009338C2">
          <w:rPr>
            <w:rStyle w:val="Hyperlink"/>
            <w:rFonts w:ascii="Arial" w:hAnsi="Arial" w:cs="Arial"/>
            <w:sz w:val="22"/>
            <w:szCs w:val="22"/>
          </w:rPr>
          <w:t>https://d3.harvard.edu/platform-digit/submission/pg-leads-consumer-goods-giants-in-race-to-figure-out-digital/</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4A6BF270" w14:textId="18DFB8ED"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 xml:space="preserve">Marketing91 (2024). SWOT analysis of Procter&amp; Gamble. Available at: </w:t>
      </w:r>
      <w:hyperlink r:id="rId28" w:history="1">
        <w:r w:rsidRPr="009338C2">
          <w:rPr>
            <w:rStyle w:val="Hyperlink"/>
            <w:rFonts w:ascii="Arial" w:hAnsi="Arial" w:cs="Arial"/>
            <w:sz w:val="22"/>
            <w:szCs w:val="22"/>
          </w:rPr>
          <w:t>https://www.marketing91.com/swot-analysis-procter-gamble/</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2A409B37" w14:textId="048C3424"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MBA Skool (2025). </w:t>
      </w:r>
      <w:r w:rsidRPr="00A9735C">
        <w:rPr>
          <w:rStyle w:val="Emphasis"/>
          <w:rFonts w:ascii="Arial" w:eastAsiaTheme="majorEastAsia" w:hAnsi="Arial" w:cs="Arial"/>
          <w:color w:val="0E101A"/>
          <w:sz w:val="22"/>
          <w:szCs w:val="22"/>
        </w:rPr>
        <w:t>Procter and Gamble Porter Five Forces analysis</w:t>
      </w:r>
      <w:r w:rsidRPr="00A9735C">
        <w:rPr>
          <w:rFonts w:ascii="Arial" w:hAnsi="Arial" w:cs="Arial"/>
          <w:color w:val="0E101A"/>
          <w:sz w:val="22"/>
          <w:szCs w:val="22"/>
        </w:rPr>
        <w:t xml:space="preserve">. Available at: </w:t>
      </w:r>
      <w:hyperlink r:id="rId29" w:history="1">
        <w:r w:rsidRPr="009338C2">
          <w:rPr>
            <w:rStyle w:val="Hyperlink"/>
            <w:rFonts w:ascii="Arial" w:hAnsi="Arial" w:cs="Arial"/>
            <w:sz w:val="22"/>
            <w:szCs w:val="22"/>
          </w:rPr>
          <w:t>https://www.mbaskool.com/five-forces-analysis/companies/18322-procter-and-gamble-pag.html</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13E4A071" w14:textId="3549897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Mordor Intelligence (2024). </w:t>
      </w:r>
      <w:r w:rsidRPr="00A9735C">
        <w:rPr>
          <w:rStyle w:val="Emphasis"/>
          <w:rFonts w:ascii="Arial" w:eastAsiaTheme="majorEastAsia" w:hAnsi="Arial" w:cs="Arial"/>
          <w:color w:val="0E101A"/>
          <w:sz w:val="22"/>
          <w:szCs w:val="22"/>
        </w:rPr>
        <w:t>Baby Care Products Market – Global Industry Size, Share, Trends, Opportunities and Forecast 2030</w:t>
      </w:r>
      <w:r w:rsidRPr="00A9735C">
        <w:rPr>
          <w:rFonts w:ascii="Arial" w:hAnsi="Arial" w:cs="Arial"/>
          <w:color w:val="0E101A"/>
          <w:sz w:val="22"/>
          <w:szCs w:val="22"/>
        </w:rPr>
        <w:t xml:space="preserve">. Available at: </w:t>
      </w:r>
      <w:hyperlink r:id="rId30" w:history="1">
        <w:r w:rsidRPr="009338C2">
          <w:rPr>
            <w:rStyle w:val="Hyperlink"/>
            <w:rFonts w:ascii="Arial" w:hAnsi="Arial" w:cs="Arial"/>
            <w:sz w:val="22"/>
            <w:szCs w:val="22"/>
          </w:rPr>
          <w:t>https://www.mordorintelligence.com/industry-reports/baby-care-products-market</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44EBD9FB" w14:textId="490D90E4"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lastRenderedPageBreak/>
        <w:t>Nasdaq (2025). </w:t>
      </w:r>
      <w:r w:rsidRPr="00A9735C">
        <w:rPr>
          <w:rStyle w:val="Emphasis"/>
          <w:rFonts w:ascii="Arial" w:eastAsiaTheme="majorEastAsia" w:hAnsi="Arial" w:cs="Arial"/>
          <w:color w:val="0E101A"/>
          <w:sz w:val="22"/>
          <w:szCs w:val="22"/>
        </w:rPr>
        <w:t>Procter&amp; Gamble vs Unilever: Who holds the power in the FMCG race?</w:t>
      </w:r>
      <w:r w:rsidRPr="00A9735C">
        <w:rPr>
          <w:rFonts w:ascii="Arial" w:hAnsi="Arial" w:cs="Arial"/>
          <w:color w:val="0E101A"/>
          <w:sz w:val="22"/>
          <w:szCs w:val="22"/>
        </w:rPr>
        <w:t xml:space="preserve">. Available at: </w:t>
      </w:r>
      <w:hyperlink r:id="rId31" w:history="1">
        <w:r w:rsidRPr="009338C2">
          <w:rPr>
            <w:rStyle w:val="Hyperlink"/>
            <w:rFonts w:ascii="Arial" w:hAnsi="Arial" w:cs="Arial"/>
            <w:sz w:val="22"/>
            <w:szCs w:val="22"/>
          </w:rPr>
          <w:t>https://www.nasdaq.com/articles/procter-gamble-vs-unilever-who-holds-power-fmcg-race</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27163E3D"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Nwabekee, U.S., Abdul Azeez, O.Y., Agu, E.E. and Ijomah, T.I. (2024). </w:t>
      </w:r>
      <w:r w:rsidRPr="00A9735C">
        <w:rPr>
          <w:rStyle w:val="Emphasis"/>
          <w:rFonts w:ascii="Arial" w:eastAsiaTheme="majorEastAsia" w:hAnsi="Arial" w:cs="Arial"/>
          <w:color w:val="0E101A"/>
          <w:sz w:val="22"/>
          <w:szCs w:val="22"/>
        </w:rPr>
        <w:t>Innovative sustainability initiatives in the FMCG industry: A review of challenges and successes.</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International Journal of Applied Research in Social Sciences, 6(9), pp. 1990–2017.</w:t>
      </w:r>
    </w:p>
    <w:p w14:paraId="1B5E6BA6" w14:textId="6A1DD505"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Panmore Institute (2024). </w:t>
      </w:r>
      <w:r w:rsidRPr="00A9735C">
        <w:rPr>
          <w:rStyle w:val="Emphasis"/>
          <w:rFonts w:ascii="Arial" w:eastAsiaTheme="majorEastAsia" w:hAnsi="Arial" w:cs="Arial"/>
          <w:color w:val="0E101A"/>
          <w:sz w:val="22"/>
          <w:szCs w:val="22"/>
        </w:rPr>
        <w:t>Procter&amp; Gamble PESTEL and Five Forces analysis</w:t>
      </w:r>
      <w:r w:rsidRPr="00A9735C">
        <w:rPr>
          <w:rFonts w:ascii="Arial" w:hAnsi="Arial" w:cs="Arial"/>
          <w:color w:val="0E101A"/>
          <w:sz w:val="22"/>
          <w:szCs w:val="22"/>
        </w:rPr>
        <w:t xml:space="preserve">. Available at: </w:t>
      </w:r>
      <w:hyperlink r:id="rId32" w:history="1">
        <w:r w:rsidRPr="009338C2">
          <w:rPr>
            <w:rStyle w:val="Hyperlink"/>
            <w:rFonts w:ascii="Arial" w:hAnsi="Arial" w:cs="Arial"/>
            <w:sz w:val="22"/>
            <w:szCs w:val="22"/>
          </w:rPr>
          <w:t>https://panmore.com/procter-gamble-pestel-pestle-analysis-recommendations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10548FB5" w14:textId="5B898D46"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Panmore Institute (2024). </w:t>
      </w:r>
      <w:r w:rsidRPr="00A9735C">
        <w:rPr>
          <w:rStyle w:val="Emphasis"/>
          <w:rFonts w:ascii="Arial" w:eastAsiaTheme="majorEastAsia" w:hAnsi="Arial" w:cs="Arial"/>
          <w:color w:val="0E101A"/>
          <w:sz w:val="22"/>
          <w:szCs w:val="22"/>
        </w:rPr>
        <w:t>Procter&amp; Gamble SWOT Analysis&amp; Recommendations</w:t>
      </w:r>
      <w:r w:rsidRPr="00A9735C">
        <w:rPr>
          <w:rFonts w:ascii="Arial" w:hAnsi="Arial" w:cs="Arial"/>
          <w:color w:val="0E101A"/>
          <w:sz w:val="22"/>
          <w:szCs w:val="22"/>
        </w:rPr>
        <w:t xml:space="preserve">. Available at: </w:t>
      </w:r>
      <w:hyperlink r:id="rId33" w:history="1">
        <w:r w:rsidRPr="009338C2">
          <w:rPr>
            <w:rStyle w:val="Hyperlink"/>
            <w:rFonts w:ascii="Arial" w:hAnsi="Arial" w:cs="Arial"/>
            <w:sz w:val="22"/>
            <w:szCs w:val="22"/>
          </w:rPr>
          <w:t>https://panmore.com/procter-gamble-swot-analysis-recommendations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1719C269"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Piskorski, M.J. and Spadini, A.L. (2007). </w:t>
      </w:r>
      <w:r w:rsidRPr="00A9735C">
        <w:rPr>
          <w:rStyle w:val="Emphasis"/>
          <w:rFonts w:ascii="Arial" w:eastAsiaTheme="majorEastAsia" w:hAnsi="Arial" w:cs="Arial"/>
          <w:color w:val="0E101A"/>
          <w:sz w:val="22"/>
          <w:szCs w:val="22"/>
        </w:rPr>
        <w:t>Procter&amp; Gamble: Organisation 2005 (A)</w:t>
      </w:r>
      <w:r w:rsidRPr="00A9735C">
        <w:rPr>
          <w:rFonts w:ascii="Arial" w:hAnsi="Arial" w:cs="Arial"/>
          <w:color w:val="0E101A"/>
          <w:sz w:val="22"/>
          <w:szCs w:val="22"/>
        </w:rPr>
        <w:t>. Harvard Business School Case Collection. Boston: Harvard Business School Publishing.</w:t>
      </w:r>
    </w:p>
    <w:p w14:paraId="5243FDB3"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Porter, M.E. (1980). </w:t>
      </w:r>
      <w:r w:rsidRPr="00A9735C">
        <w:rPr>
          <w:rStyle w:val="Emphasis"/>
          <w:rFonts w:ascii="Arial" w:eastAsiaTheme="majorEastAsia" w:hAnsi="Arial" w:cs="Arial"/>
          <w:color w:val="0E101A"/>
          <w:sz w:val="22"/>
          <w:szCs w:val="22"/>
        </w:rPr>
        <w:t>Competitive Strategy: Techniques for Analysing Industries and Competitors</w:t>
      </w:r>
      <w:r w:rsidRPr="00A9735C">
        <w:rPr>
          <w:rFonts w:ascii="Arial" w:hAnsi="Arial" w:cs="Arial"/>
          <w:color w:val="0E101A"/>
          <w:sz w:val="22"/>
          <w:szCs w:val="22"/>
        </w:rPr>
        <w:t>. New York: Free Press.</w:t>
      </w:r>
    </w:p>
    <w:p w14:paraId="1568A7C7" w14:textId="42DE1540"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Priestman, D. (2024). </w:t>
      </w:r>
      <w:r w:rsidRPr="00A9735C">
        <w:rPr>
          <w:rStyle w:val="Emphasis"/>
          <w:rFonts w:ascii="Arial" w:eastAsiaTheme="majorEastAsia" w:hAnsi="Arial" w:cs="Arial"/>
          <w:color w:val="0E101A"/>
          <w:sz w:val="22"/>
          <w:szCs w:val="22"/>
        </w:rPr>
        <w:t>How are post-Brexit Trade Rules Affecting EU-UK Supply Chains?.</w:t>
      </w:r>
      <w:r w:rsidRPr="00A9735C">
        <w:rPr>
          <w:rFonts w:ascii="Arial" w:hAnsi="Arial" w:cs="Arial"/>
          <w:color w:val="0E101A"/>
          <w:sz w:val="22"/>
          <w:szCs w:val="22"/>
        </w:rPr>
        <w:t xml:space="preserve"> Available at: </w:t>
      </w:r>
      <w:hyperlink r:id="rId34" w:history="1">
        <w:r w:rsidRPr="009338C2">
          <w:rPr>
            <w:rStyle w:val="Hyperlink"/>
            <w:rFonts w:ascii="Arial" w:hAnsi="Arial" w:cs="Arial"/>
            <w:sz w:val="22"/>
            <w:szCs w:val="22"/>
          </w:rPr>
          <w:t>https://logisticsbusiness.com/transport-distribution/how-are-post-brexit-trade-rules-affecting-eu-uk-supply-chains/</w:t>
        </w:r>
      </w:hyperlink>
      <w:r>
        <w:rPr>
          <w:rFonts w:ascii="Arial" w:hAnsi="Arial" w:cs="Arial"/>
          <w:color w:val="0E101A"/>
          <w:sz w:val="22"/>
          <w:szCs w:val="22"/>
        </w:rPr>
        <w:t xml:space="preserve"> </w:t>
      </w:r>
      <w:r w:rsidRPr="00A9735C">
        <w:rPr>
          <w:rFonts w:ascii="Arial" w:hAnsi="Arial" w:cs="Arial"/>
          <w:color w:val="0E101A"/>
          <w:sz w:val="22"/>
          <w:szCs w:val="22"/>
        </w:rPr>
        <w:t>  (Accessed: 9th December 2025).</w:t>
      </w:r>
    </w:p>
    <w:p w14:paraId="6AF93869" w14:textId="0BF8FFA5"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Procter&amp; Gamble (2024). </w:t>
      </w:r>
      <w:r w:rsidRPr="00A9735C">
        <w:rPr>
          <w:rStyle w:val="Emphasis"/>
          <w:rFonts w:ascii="Arial" w:eastAsiaTheme="majorEastAsia" w:hAnsi="Arial" w:cs="Arial"/>
          <w:color w:val="0E101A"/>
          <w:sz w:val="22"/>
          <w:szCs w:val="22"/>
        </w:rPr>
        <w:t>Environmental Sustainability</w:t>
      </w:r>
      <w:r w:rsidRPr="00A9735C">
        <w:rPr>
          <w:rFonts w:ascii="Arial" w:hAnsi="Arial" w:cs="Arial"/>
          <w:color w:val="0E101A"/>
          <w:sz w:val="22"/>
          <w:szCs w:val="22"/>
        </w:rPr>
        <w:t xml:space="preserve">. Available at: </w:t>
      </w:r>
      <w:hyperlink r:id="rId35" w:history="1">
        <w:r w:rsidRPr="009338C2">
          <w:rPr>
            <w:rStyle w:val="Hyperlink"/>
            <w:rFonts w:ascii="Arial" w:hAnsi="Arial" w:cs="Arial"/>
            <w:sz w:val="22"/>
            <w:szCs w:val="22"/>
          </w:rPr>
          <w:t>https://us.pg.com/environmental-sustainability/</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75F5FA0B"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Procter&amp; Gamble (2024). </w:t>
      </w:r>
      <w:r w:rsidRPr="00A9735C">
        <w:rPr>
          <w:rStyle w:val="Emphasis"/>
          <w:rFonts w:ascii="Arial" w:eastAsiaTheme="majorEastAsia" w:hAnsi="Arial" w:cs="Arial"/>
          <w:color w:val="0E101A"/>
          <w:sz w:val="22"/>
          <w:szCs w:val="22"/>
        </w:rPr>
        <w:t>Financial Highlights 2024</w:t>
      </w:r>
      <w:r w:rsidRPr="00A9735C">
        <w:rPr>
          <w:rFonts w:ascii="Arial" w:hAnsi="Arial" w:cs="Arial"/>
          <w:color w:val="0E101A"/>
          <w:sz w:val="22"/>
          <w:szCs w:val="22"/>
        </w:rPr>
        <w:t>.  Available at: https://us.pg.com/annualreport2024/financial-highlights/  (Accessed: 3rd December 2025)</w:t>
      </w:r>
    </w:p>
    <w:p w14:paraId="78867965" w14:textId="12203E5D"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Procter&amp; Gamble (2024). </w:t>
      </w:r>
      <w:r w:rsidRPr="00A9735C">
        <w:rPr>
          <w:rStyle w:val="Emphasis"/>
          <w:rFonts w:ascii="Arial" w:eastAsiaTheme="majorEastAsia" w:hAnsi="Arial" w:cs="Arial"/>
          <w:color w:val="0E101A"/>
          <w:sz w:val="22"/>
          <w:szCs w:val="22"/>
        </w:rPr>
        <w:t>Packaging solutions for a sustainable future</w:t>
      </w:r>
      <w:r w:rsidRPr="00A9735C">
        <w:rPr>
          <w:rFonts w:ascii="Arial" w:hAnsi="Arial" w:cs="Arial"/>
          <w:color w:val="0E101A"/>
          <w:sz w:val="22"/>
          <w:szCs w:val="22"/>
        </w:rPr>
        <w:t xml:space="preserve">. Available at: </w:t>
      </w:r>
      <w:hyperlink r:id="rId36" w:history="1">
        <w:r w:rsidRPr="009338C2">
          <w:rPr>
            <w:rStyle w:val="Hyperlink"/>
            <w:rFonts w:ascii="Arial" w:hAnsi="Arial" w:cs="Arial"/>
            <w:sz w:val="22"/>
            <w:szCs w:val="22"/>
          </w:rPr>
          <w:t>https://us.pg.com/blogs/packaging-solutions/</w:t>
        </w:r>
      </w:hyperlink>
      <w:r>
        <w:rPr>
          <w:rFonts w:ascii="Arial" w:hAnsi="Arial" w:cs="Arial"/>
          <w:color w:val="0E101A"/>
          <w:sz w:val="22"/>
          <w:szCs w:val="22"/>
        </w:rPr>
        <w:t xml:space="preserve"> </w:t>
      </w:r>
      <w:r w:rsidRPr="00A9735C">
        <w:rPr>
          <w:rFonts w:ascii="Arial" w:hAnsi="Arial" w:cs="Arial"/>
          <w:color w:val="0E101A"/>
          <w:sz w:val="22"/>
          <w:szCs w:val="22"/>
        </w:rPr>
        <w:t>   (Accessed: 9th December 2025).</w:t>
      </w:r>
    </w:p>
    <w:p w14:paraId="59EC0C34" w14:textId="56A87DFE"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Procter&amp; Gamble (2025). </w:t>
      </w:r>
      <w:r w:rsidRPr="00A9735C">
        <w:rPr>
          <w:rStyle w:val="Emphasis"/>
          <w:rFonts w:ascii="Arial" w:eastAsiaTheme="majorEastAsia" w:hAnsi="Arial" w:cs="Arial"/>
          <w:color w:val="0E101A"/>
          <w:sz w:val="22"/>
          <w:szCs w:val="22"/>
        </w:rPr>
        <w:t>Company history</w:t>
      </w:r>
      <w:r w:rsidRPr="00A9735C">
        <w:rPr>
          <w:rFonts w:ascii="Arial" w:hAnsi="Arial" w:cs="Arial"/>
          <w:color w:val="0E101A"/>
          <w:sz w:val="22"/>
          <w:szCs w:val="22"/>
        </w:rPr>
        <w:t xml:space="preserve">. Available at: </w:t>
      </w:r>
      <w:hyperlink r:id="rId37" w:history="1">
        <w:r w:rsidRPr="009338C2">
          <w:rPr>
            <w:rStyle w:val="Hyperlink"/>
            <w:rFonts w:ascii="Arial" w:hAnsi="Arial" w:cs="Arial"/>
            <w:sz w:val="22"/>
            <w:szCs w:val="22"/>
          </w:rPr>
          <w:t>https://us.pg.com/pg-history/</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4F9D121D" w14:textId="3DCA235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Ramprasad, T.P. and Karthik, T.T. (2020). </w:t>
      </w:r>
      <w:r w:rsidRPr="00A9735C">
        <w:rPr>
          <w:rStyle w:val="Emphasis"/>
          <w:rFonts w:ascii="Arial" w:eastAsiaTheme="majorEastAsia" w:hAnsi="Arial" w:cs="Arial"/>
          <w:color w:val="0E101A"/>
          <w:sz w:val="22"/>
          <w:szCs w:val="22"/>
        </w:rPr>
        <w:t>SWOT Analysis of Fast-Moving Consumer Goods (FMCG) Industries in India.</w:t>
      </w:r>
      <w:r w:rsidRPr="00A9735C">
        <w:rPr>
          <w:rFonts w:ascii="Arial" w:hAnsi="Arial" w:cs="Arial"/>
          <w:color w:val="0E101A"/>
          <w:sz w:val="22"/>
          <w:szCs w:val="22"/>
        </w:rPr>
        <w:t xml:space="preserve">Shanlax International Journal of Commerce. 8(1). pp. 1–12. Available at: </w:t>
      </w:r>
      <w:hyperlink r:id="rId38" w:history="1">
        <w:r w:rsidRPr="009338C2">
          <w:rPr>
            <w:rStyle w:val="Hyperlink"/>
            <w:rFonts w:ascii="Arial" w:hAnsi="Arial" w:cs="Arial"/>
            <w:sz w:val="22"/>
            <w:szCs w:val="22"/>
          </w:rPr>
          <w:t>https://www.researchgate.net/publication/350877666</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57CCB99A" w14:textId="492A9ACE"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lastRenderedPageBreak/>
        <w:t>Research and Markets (2022). </w:t>
      </w:r>
      <w:r w:rsidRPr="00A9735C">
        <w:rPr>
          <w:rStyle w:val="Emphasis"/>
          <w:rFonts w:ascii="Arial" w:eastAsiaTheme="majorEastAsia" w:hAnsi="Arial" w:cs="Arial"/>
          <w:color w:val="0E101A"/>
          <w:sz w:val="22"/>
          <w:szCs w:val="22"/>
        </w:rPr>
        <w:t>Cleaning&amp; Hygiene Products – Global Strategic Market Report</w:t>
      </w:r>
      <w:r w:rsidRPr="00A9735C">
        <w:rPr>
          <w:rFonts w:ascii="Arial" w:hAnsi="Arial" w:cs="Arial"/>
          <w:color w:val="0E101A"/>
          <w:sz w:val="22"/>
          <w:szCs w:val="22"/>
        </w:rPr>
        <w:t xml:space="preserve">.  Available at: </w:t>
      </w:r>
      <w:hyperlink r:id="rId39" w:history="1">
        <w:r w:rsidRPr="009338C2">
          <w:rPr>
            <w:rStyle w:val="Hyperlink"/>
            <w:rFonts w:ascii="Arial" w:hAnsi="Arial" w:cs="Arial"/>
            <w:sz w:val="22"/>
            <w:szCs w:val="22"/>
          </w:rPr>
          <w:t>https://www.researchandmarkets.com/reports/6068532/cleaning-hygiene-products-global-strategic</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63F92554"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Sbircea, I.A. (2024). </w:t>
      </w:r>
      <w:r w:rsidRPr="00A9735C">
        <w:rPr>
          <w:rStyle w:val="Emphasis"/>
          <w:rFonts w:ascii="Arial" w:eastAsiaTheme="majorEastAsia" w:hAnsi="Arial" w:cs="Arial"/>
          <w:color w:val="0E101A"/>
          <w:sz w:val="22"/>
          <w:szCs w:val="22"/>
        </w:rPr>
        <w:t>Theoretical Research on Sustainability in the FMCG Industry.</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10th BASIQ International Conference on New Trends in Sustainable Business and Consumption. Bucharest: Ed. ASE, pp. 268–275.</w:t>
      </w:r>
    </w:p>
    <w:p w14:paraId="681A064B" w14:textId="09D22FD2"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Shi, X. (2023). </w:t>
      </w:r>
      <w:r w:rsidRPr="00A9735C">
        <w:rPr>
          <w:rStyle w:val="Emphasis"/>
          <w:rFonts w:ascii="Arial" w:eastAsiaTheme="majorEastAsia" w:hAnsi="Arial" w:cs="Arial"/>
          <w:color w:val="0E101A"/>
          <w:sz w:val="22"/>
          <w:szCs w:val="22"/>
        </w:rPr>
        <w:t>P&amp;G Product Strategic Analysis</w:t>
      </w:r>
      <w:r w:rsidRPr="00A9735C">
        <w:rPr>
          <w:rFonts w:ascii="Arial" w:hAnsi="Arial" w:cs="Arial"/>
          <w:color w:val="0E101A"/>
          <w:sz w:val="22"/>
          <w:szCs w:val="22"/>
        </w:rPr>
        <w:t xml:space="preserve">. Francis Academic Press Journal of Economics. Available at: </w:t>
      </w:r>
      <w:hyperlink r:id="rId40" w:history="1">
        <w:r w:rsidRPr="009338C2">
          <w:rPr>
            <w:rStyle w:val="Hyperlink"/>
            <w:rFonts w:ascii="Arial" w:hAnsi="Arial" w:cs="Arial"/>
            <w:sz w:val="22"/>
            <w:szCs w:val="22"/>
          </w:rPr>
          <w:t>https://francis-press.com/uploads/papers/Q8KOiL4FlEVKEgEuNwamCZgoZsFFRQnliXzbRICc.pdf</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497051F9" w14:textId="56094DBC"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Statista (2025). </w:t>
      </w:r>
      <w:r w:rsidRPr="00A9735C">
        <w:rPr>
          <w:rStyle w:val="Emphasis"/>
          <w:rFonts w:ascii="Arial" w:eastAsiaTheme="majorEastAsia" w:hAnsi="Arial" w:cs="Arial"/>
          <w:color w:val="0E101A"/>
          <w:sz w:val="22"/>
          <w:szCs w:val="22"/>
        </w:rPr>
        <w:t>Global revenue of the leading 50 FMCG companies 2024</w:t>
      </w:r>
      <w:r w:rsidRPr="00A9735C">
        <w:rPr>
          <w:rFonts w:ascii="Arial" w:hAnsi="Arial" w:cs="Arial"/>
          <w:color w:val="0E101A"/>
          <w:sz w:val="22"/>
          <w:szCs w:val="22"/>
        </w:rPr>
        <w:t xml:space="preserve">. Available at: </w:t>
      </w:r>
      <w:hyperlink r:id="rId41" w:history="1">
        <w:r w:rsidRPr="009338C2">
          <w:rPr>
            <w:rStyle w:val="Hyperlink"/>
            <w:rFonts w:ascii="Arial" w:hAnsi="Arial" w:cs="Arial"/>
            <w:sz w:val="22"/>
            <w:szCs w:val="22"/>
          </w:rPr>
          <w:t>https://www.statista.com/statistics/260963/leading-fmcg-companies-worldwide-based-on-sales/</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7505986B" w14:textId="6ECB217A"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Strategy+Business (2022). </w:t>
      </w:r>
      <w:r w:rsidRPr="00A9735C">
        <w:rPr>
          <w:rStyle w:val="Emphasis"/>
          <w:rFonts w:ascii="Arial" w:eastAsiaTheme="majorEastAsia" w:hAnsi="Arial" w:cs="Arial"/>
          <w:color w:val="0E101A"/>
          <w:sz w:val="22"/>
          <w:szCs w:val="22"/>
        </w:rPr>
        <w:t>How P&amp;G maintains its innovation edge</w:t>
      </w:r>
      <w:r w:rsidRPr="00A9735C">
        <w:rPr>
          <w:rFonts w:ascii="Arial" w:hAnsi="Arial" w:cs="Arial"/>
          <w:color w:val="0E101A"/>
          <w:sz w:val="22"/>
          <w:szCs w:val="22"/>
        </w:rPr>
        <w:t xml:space="preserve">. Available at: </w:t>
      </w:r>
      <w:hyperlink r:id="rId42" w:history="1">
        <w:r w:rsidRPr="009338C2">
          <w:rPr>
            <w:rStyle w:val="Hyperlink"/>
            <w:rFonts w:ascii="Arial" w:hAnsi="Arial" w:cs="Arial"/>
            <w:sz w:val="22"/>
            <w:szCs w:val="22"/>
          </w:rPr>
          <w:t>https://www.strategy-business.com/article/08304</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3rd December 2025).</w:t>
      </w:r>
    </w:p>
    <w:p w14:paraId="72B52E57" w14:textId="479BF80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Supply Chain Dive (2025). </w:t>
      </w:r>
      <w:r w:rsidRPr="00A9735C">
        <w:rPr>
          <w:rStyle w:val="Emphasis"/>
          <w:rFonts w:ascii="Arial" w:eastAsiaTheme="majorEastAsia" w:hAnsi="Arial" w:cs="Arial"/>
          <w:color w:val="0E101A"/>
          <w:sz w:val="22"/>
          <w:szCs w:val="22"/>
        </w:rPr>
        <w:t>P&amp;G aims for resiliency with supply chain redesign</w:t>
      </w:r>
      <w:r w:rsidRPr="00A9735C">
        <w:rPr>
          <w:rFonts w:ascii="Arial" w:hAnsi="Arial" w:cs="Arial"/>
          <w:color w:val="0E101A"/>
          <w:sz w:val="22"/>
          <w:szCs w:val="22"/>
        </w:rPr>
        <w:t xml:space="preserve">. Available at: </w:t>
      </w:r>
      <w:hyperlink r:id="rId43" w:history="1">
        <w:r w:rsidRPr="009338C2">
          <w:rPr>
            <w:rStyle w:val="Hyperlink"/>
            <w:rFonts w:ascii="Arial" w:hAnsi="Arial" w:cs="Arial"/>
            <w:sz w:val="22"/>
            <w:szCs w:val="22"/>
          </w:rPr>
          <w:t>https://www.supplychaindive.com/news/procter-gamble-supply-chain-restructuring/750640/</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2BBFA7FB" w14:textId="7F88B574"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 xml:space="preserve">SWOT Analysis (2025). Procter&amp; Gamble SWOT analysis&amp; strategic plan. Available at: </w:t>
      </w:r>
      <w:hyperlink r:id="rId44" w:history="1">
        <w:r w:rsidRPr="009338C2">
          <w:rPr>
            <w:rStyle w:val="Hyperlink"/>
            <w:rFonts w:ascii="Arial" w:hAnsi="Arial" w:cs="Arial"/>
            <w:sz w:val="22"/>
            <w:szCs w:val="22"/>
          </w:rPr>
          <w:t>https://www.swotanalysis.com/procter-and-gamble</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8th December 2025).</w:t>
      </w:r>
    </w:p>
    <w:p w14:paraId="6AFA500A" w14:textId="06A3569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United Nations Department of Economic and Social Affairs (UN DESA) (2023). </w:t>
      </w:r>
      <w:r w:rsidRPr="00A9735C">
        <w:rPr>
          <w:rStyle w:val="Emphasis"/>
          <w:rFonts w:ascii="Arial" w:eastAsiaTheme="majorEastAsia" w:hAnsi="Arial" w:cs="Arial"/>
          <w:color w:val="0E101A"/>
          <w:sz w:val="22"/>
          <w:szCs w:val="22"/>
        </w:rPr>
        <w:t>Frontier Technology Issues: Harnessing the economic dividends from demographic change</w:t>
      </w:r>
      <w:r w:rsidRPr="00A9735C">
        <w:rPr>
          <w:rFonts w:ascii="Arial" w:hAnsi="Arial" w:cs="Arial"/>
          <w:color w:val="0E101A"/>
          <w:sz w:val="22"/>
          <w:szCs w:val="22"/>
        </w:rPr>
        <w:t xml:space="preserve">. Available at: </w:t>
      </w:r>
      <w:hyperlink r:id="rId45" w:history="1">
        <w:r w:rsidRPr="009338C2">
          <w:rPr>
            <w:rStyle w:val="Hyperlink"/>
            <w:rFonts w:ascii="Arial" w:hAnsi="Arial" w:cs="Arial"/>
            <w:sz w:val="22"/>
            <w:szCs w:val="22"/>
          </w:rPr>
          <w:t>https://www.un.org/development/desa/dpad/wp-content/uploads/sites/45/FTI_2023_July.pdf</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1FDD7C0E" w14:textId="3E896841"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Varma, G.R. and Ravi, J. (2019). </w:t>
      </w:r>
      <w:r w:rsidRPr="00A9735C">
        <w:rPr>
          <w:rStyle w:val="Emphasis"/>
          <w:rFonts w:ascii="Arial" w:eastAsiaTheme="majorEastAsia" w:hAnsi="Arial" w:cs="Arial"/>
          <w:color w:val="0E101A"/>
          <w:sz w:val="22"/>
          <w:szCs w:val="22"/>
        </w:rPr>
        <w:t>Strategic Analysis on FMCG Goods: A Case Study on Nestlé.</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 xml:space="preserve">International Journal of Research in Management Studies. 2(4), pp. 33–42. Available at: </w:t>
      </w:r>
      <w:hyperlink r:id="rId46" w:history="1">
        <w:r w:rsidRPr="009338C2">
          <w:rPr>
            <w:rStyle w:val="Hyperlink"/>
            <w:rFonts w:ascii="Arial" w:hAnsi="Arial" w:cs="Arial"/>
            <w:sz w:val="22"/>
            <w:szCs w:val="22"/>
          </w:rPr>
          <w:t>http://www.ijrms.com/olvolume2issue4/GedelaRakeshVarma-JaladiRavi-3.pdf</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2nd December 2025).</w:t>
      </w:r>
    </w:p>
    <w:p w14:paraId="340B26A2" w14:textId="7A3F0F1D"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t>Wu, Y.&amp; Lam, J. (2025). </w:t>
      </w:r>
      <w:r w:rsidRPr="00A9735C">
        <w:rPr>
          <w:rStyle w:val="Emphasis"/>
          <w:rFonts w:ascii="Arial" w:eastAsiaTheme="majorEastAsia" w:hAnsi="Arial" w:cs="Arial"/>
          <w:color w:val="0E101A"/>
          <w:sz w:val="22"/>
          <w:szCs w:val="22"/>
        </w:rPr>
        <w:t>Strategic investment in supply chain resilience: A study of fast-moving consumer goods under demand uncertainty</w:t>
      </w:r>
      <w:r w:rsidRPr="00A9735C">
        <w:rPr>
          <w:rFonts w:ascii="Arial" w:hAnsi="Arial" w:cs="Arial"/>
          <w:color w:val="0E101A"/>
          <w:sz w:val="22"/>
          <w:szCs w:val="22"/>
        </w:rPr>
        <w:t xml:space="preserve">. Available at: </w:t>
      </w:r>
      <w:hyperlink r:id="rId47" w:history="1">
        <w:r w:rsidRPr="009338C2">
          <w:rPr>
            <w:rStyle w:val="Hyperlink"/>
            <w:rFonts w:ascii="Arial" w:hAnsi="Arial" w:cs="Arial"/>
            <w:sz w:val="22"/>
            <w:szCs w:val="22"/>
          </w:rPr>
          <w:t>https://doi.org/10.1016/j.tre.2025.104495</w:t>
        </w:r>
      </w:hyperlink>
      <w:r>
        <w:rPr>
          <w:rFonts w:ascii="Arial" w:hAnsi="Arial" w:cs="Arial"/>
          <w:color w:val="0E101A"/>
          <w:sz w:val="22"/>
          <w:szCs w:val="22"/>
        </w:rPr>
        <w:t xml:space="preserve"> </w:t>
      </w:r>
      <w:r w:rsidRPr="00A9735C">
        <w:rPr>
          <w:rFonts w:ascii="Arial" w:hAnsi="Arial" w:cs="Arial"/>
          <w:color w:val="0E101A"/>
          <w:sz w:val="22"/>
          <w:szCs w:val="22"/>
        </w:rPr>
        <w:t xml:space="preserve"> (Accessed: 9th December 2025).</w:t>
      </w:r>
    </w:p>
    <w:p w14:paraId="2AD5EF24" w14:textId="77777777" w:rsidR="00A9735C" w:rsidRPr="00A9735C" w:rsidRDefault="00A9735C" w:rsidP="00A9735C">
      <w:pPr>
        <w:pStyle w:val="NormalWeb"/>
        <w:numPr>
          <w:ilvl w:val="0"/>
          <w:numId w:val="39"/>
        </w:numPr>
        <w:spacing w:before="0" w:beforeAutospacing="0" w:after="0" w:afterAutospacing="0" w:line="360" w:lineRule="auto"/>
        <w:ind w:left="720"/>
        <w:jc w:val="both"/>
        <w:rPr>
          <w:rFonts w:ascii="Arial" w:hAnsi="Arial" w:cs="Arial"/>
          <w:color w:val="0E101A"/>
          <w:sz w:val="22"/>
          <w:szCs w:val="22"/>
        </w:rPr>
      </w:pPr>
      <w:r w:rsidRPr="00A9735C">
        <w:rPr>
          <w:rFonts w:ascii="Arial" w:hAnsi="Arial" w:cs="Arial"/>
          <w:color w:val="0E101A"/>
          <w:sz w:val="22"/>
          <w:szCs w:val="22"/>
        </w:rPr>
        <w:lastRenderedPageBreak/>
        <w:t>Zhang, J. (2021). </w:t>
      </w:r>
      <w:r w:rsidRPr="00A9735C">
        <w:rPr>
          <w:rStyle w:val="Emphasis"/>
          <w:rFonts w:ascii="Arial" w:eastAsiaTheme="majorEastAsia" w:hAnsi="Arial" w:cs="Arial"/>
          <w:color w:val="0E101A"/>
          <w:sz w:val="22"/>
          <w:szCs w:val="22"/>
        </w:rPr>
        <w:t>The practice of CSR development and its performing mechanism: Case study of P&amp;G.</w:t>
      </w:r>
      <w:r w:rsidRPr="00A9735C">
        <w:rPr>
          <w:rStyle w:val="apple-converted-space"/>
          <w:rFonts w:ascii="Arial" w:eastAsiaTheme="majorEastAsia" w:hAnsi="Arial" w:cs="Arial"/>
          <w:color w:val="0E101A"/>
          <w:sz w:val="22"/>
          <w:szCs w:val="22"/>
        </w:rPr>
        <w:t> </w:t>
      </w:r>
      <w:r w:rsidRPr="00A9735C">
        <w:rPr>
          <w:rFonts w:ascii="Arial" w:hAnsi="Arial" w:cs="Arial"/>
          <w:color w:val="0E101A"/>
          <w:sz w:val="22"/>
          <w:szCs w:val="22"/>
        </w:rPr>
        <w:t>Journal of Sociology and Ethnology. 3(3), pp. 100–110. Clausius Scientific Press.</w:t>
      </w:r>
    </w:p>
    <w:p w14:paraId="17BCE9B9" w14:textId="77777777" w:rsidR="00A9735C" w:rsidRPr="00A9735C" w:rsidRDefault="00A9735C" w:rsidP="00A9735C">
      <w:pPr>
        <w:rPr>
          <w:rFonts w:ascii="Arial" w:hAnsi="Arial" w:cs="Arial"/>
          <w:sz w:val="22"/>
          <w:szCs w:val="22"/>
        </w:rPr>
      </w:pPr>
    </w:p>
    <w:p w14:paraId="392798C8" w14:textId="77777777" w:rsidR="00A9735C" w:rsidRPr="00A9735C" w:rsidRDefault="00A9735C" w:rsidP="00A9735C"/>
    <w:p w14:paraId="3E244FA5" w14:textId="5E6A2668" w:rsidR="00BC7015" w:rsidRPr="003D2726" w:rsidRDefault="00BC7015" w:rsidP="003D2726">
      <w:pPr>
        <w:spacing w:line="360" w:lineRule="auto"/>
        <w:ind w:left="360"/>
        <w:jc w:val="both"/>
        <w:rPr>
          <w:rFonts w:ascii="Arial" w:hAnsi="Arial" w:cs="Arial"/>
        </w:rPr>
      </w:pPr>
    </w:p>
    <w:sectPr w:rsidR="00BC7015" w:rsidRPr="003D2726" w:rsidSect="00731E12">
      <w:headerReference w:type="default" r:id="rId48"/>
      <w:pgSz w:w="12240" w:h="15840"/>
      <w:pgMar w:top="1701" w:right="1440" w:bottom="1701"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8EA24" w14:textId="77777777" w:rsidR="002C6071" w:rsidRDefault="002C6071" w:rsidP="00086D38">
      <w:pPr>
        <w:spacing w:after="0" w:line="240" w:lineRule="auto"/>
      </w:pPr>
      <w:r>
        <w:separator/>
      </w:r>
    </w:p>
  </w:endnote>
  <w:endnote w:type="continuationSeparator" w:id="0">
    <w:p w14:paraId="08BEBD26" w14:textId="77777777" w:rsidR="002C6071" w:rsidRDefault="002C6071" w:rsidP="00086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FCD0F" w14:textId="77777777" w:rsidR="002C6071" w:rsidRDefault="002C6071" w:rsidP="00086D38">
      <w:pPr>
        <w:spacing w:after="0" w:line="240" w:lineRule="auto"/>
      </w:pPr>
      <w:r>
        <w:separator/>
      </w:r>
    </w:p>
  </w:footnote>
  <w:footnote w:type="continuationSeparator" w:id="0">
    <w:p w14:paraId="32A04238" w14:textId="77777777" w:rsidR="002C6071" w:rsidRDefault="002C6071" w:rsidP="00086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018B" w14:textId="1EE94463" w:rsidR="00731E12" w:rsidRDefault="00731E12" w:rsidP="00731E12">
    <w:pPr>
      <w:pStyle w:val="Header"/>
      <w:ind w:left="-284" w:firstLine="284"/>
    </w:pPr>
    <w:r>
      <w:rPr>
        <w:noProof/>
      </w:rPr>
      <w:drawing>
        <wp:anchor distT="0" distB="0" distL="114300" distR="114300" simplePos="0" relativeHeight="251658240" behindDoc="1" locked="0" layoutInCell="1" allowOverlap="1" wp14:anchorId="438AE0AB" wp14:editId="6AD21B54">
          <wp:simplePos x="0" y="0"/>
          <wp:positionH relativeFrom="column">
            <wp:posOffset>-567863</wp:posOffset>
          </wp:positionH>
          <wp:positionV relativeFrom="paragraph">
            <wp:posOffset>-179647</wp:posOffset>
          </wp:positionV>
          <wp:extent cx="1205230" cy="399415"/>
          <wp:effectExtent l="0" t="0" r="1270" b="0"/>
          <wp:wrapNone/>
          <wp:docPr id="260666708"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230" cy="399415"/>
                  </a:xfrm>
                  <a:prstGeom prst="rect">
                    <a:avLst/>
                  </a:prstGeom>
                  <a:noFill/>
                  <a:ln>
                    <a:noFill/>
                  </a:ln>
                </pic:spPr>
              </pic:pic>
            </a:graphicData>
          </a:graphic>
          <wp14:sizeRelV relativeFrom="margin">
            <wp14:pctHeight>0</wp14:pctHeight>
          </wp14:sizeRelV>
        </wp:anchor>
      </w:drawing>
    </w:r>
    <w:r>
      <w:fldChar w:fldCharType="begin"/>
    </w:r>
    <w:r>
      <w:instrText xml:space="preserve"> INCLUDEPICTURE "/Users/cristianbatrinu/Library/Group Containers/UBF8T346G9.ms/WebArchiveCopyPasteTempFiles/com.microsoft.Word/16_uwtsd_logo.png" \* MERGEFORMATINET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81114C2"/>
    <w:multiLevelType w:val="hybridMultilevel"/>
    <w:tmpl w:val="6752259A"/>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187919"/>
    <w:multiLevelType w:val="hybridMultilevel"/>
    <w:tmpl w:val="EFBE012C"/>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592AA8"/>
    <w:multiLevelType w:val="hybridMultilevel"/>
    <w:tmpl w:val="5A585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BC4C42"/>
    <w:multiLevelType w:val="multilevel"/>
    <w:tmpl w:val="959C1F3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313664"/>
    <w:multiLevelType w:val="hybridMultilevel"/>
    <w:tmpl w:val="77429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B6762E"/>
    <w:multiLevelType w:val="hybridMultilevel"/>
    <w:tmpl w:val="AB5C6998"/>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F37A30"/>
    <w:multiLevelType w:val="hybridMultilevel"/>
    <w:tmpl w:val="8DFA329C"/>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00410"/>
    <w:multiLevelType w:val="multilevel"/>
    <w:tmpl w:val="14B4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060830"/>
    <w:multiLevelType w:val="hybridMultilevel"/>
    <w:tmpl w:val="509E1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D1535"/>
    <w:multiLevelType w:val="hybridMultilevel"/>
    <w:tmpl w:val="75B64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EEA0A43"/>
    <w:multiLevelType w:val="hybridMultilevel"/>
    <w:tmpl w:val="E0DE6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231348"/>
    <w:multiLevelType w:val="hybridMultilevel"/>
    <w:tmpl w:val="CDFAA388"/>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9B6365"/>
    <w:multiLevelType w:val="multilevel"/>
    <w:tmpl w:val="D24E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9B07D5"/>
    <w:multiLevelType w:val="hybridMultilevel"/>
    <w:tmpl w:val="5E0A4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16F1036"/>
    <w:multiLevelType w:val="hybridMultilevel"/>
    <w:tmpl w:val="C46266D8"/>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67308C"/>
    <w:multiLevelType w:val="hybridMultilevel"/>
    <w:tmpl w:val="34560E16"/>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051CE8"/>
    <w:multiLevelType w:val="multilevel"/>
    <w:tmpl w:val="5DDC5842"/>
    <w:lvl w:ilvl="0">
      <w:start w:val="1"/>
      <w:numFmt w:val="decimal"/>
      <w:lvlText w:val="%1."/>
      <w:lvlJc w:val="left"/>
      <w:pPr>
        <w:ind w:left="720" w:hanging="360"/>
      </w:pPr>
      <w:rPr>
        <w:rFonts w:hint="default"/>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9A6EEB"/>
    <w:multiLevelType w:val="hybridMultilevel"/>
    <w:tmpl w:val="05F4AA00"/>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C300B8"/>
    <w:multiLevelType w:val="hybridMultilevel"/>
    <w:tmpl w:val="5944E66C"/>
    <w:lvl w:ilvl="0" w:tplc="81C27B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8A1396"/>
    <w:multiLevelType w:val="hybridMultilevel"/>
    <w:tmpl w:val="41061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85246C"/>
    <w:multiLevelType w:val="multilevel"/>
    <w:tmpl w:val="CE227266"/>
    <w:lvl w:ilvl="0">
      <w:start w:val="1"/>
      <w:numFmt w:val="decimal"/>
      <w:lvlText w:val="%1."/>
      <w:lvlJc w:val="left"/>
      <w:pPr>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1785">
    <w:abstractNumId w:val="0"/>
  </w:num>
  <w:num w:numId="2" w16cid:durableId="1666780356">
    <w:abstractNumId w:val="1"/>
  </w:num>
  <w:num w:numId="3" w16cid:durableId="1718890535">
    <w:abstractNumId w:val="2"/>
  </w:num>
  <w:num w:numId="4" w16cid:durableId="78525707">
    <w:abstractNumId w:val="3"/>
  </w:num>
  <w:num w:numId="5" w16cid:durableId="849611793">
    <w:abstractNumId w:val="4"/>
  </w:num>
  <w:num w:numId="6" w16cid:durableId="724572142">
    <w:abstractNumId w:val="5"/>
  </w:num>
  <w:num w:numId="7" w16cid:durableId="903415655">
    <w:abstractNumId w:val="6"/>
  </w:num>
  <w:num w:numId="8" w16cid:durableId="436339889">
    <w:abstractNumId w:val="7"/>
  </w:num>
  <w:num w:numId="9" w16cid:durableId="648168711">
    <w:abstractNumId w:val="8"/>
  </w:num>
  <w:num w:numId="10" w16cid:durableId="1582788689">
    <w:abstractNumId w:val="9"/>
  </w:num>
  <w:num w:numId="11" w16cid:durableId="671759774">
    <w:abstractNumId w:val="10"/>
  </w:num>
  <w:num w:numId="12" w16cid:durableId="244733021">
    <w:abstractNumId w:val="11"/>
  </w:num>
  <w:num w:numId="13" w16cid:durableId="700787705">
    <w:abstractNumId w:val="12"/>
  </w:num>
  <w:num w:numId="14" w16cid:durableId="835539525">
    <w:abstractNumId w:val="13"/>
  </w:num>
  <w:num w:numId="15" w16cid:durableId="1789011421">
    <w:abstractNumId w:val="14"/>
  </w:num>
  <w:num w:numId="16" w16cid:durableId="1268780060">
    <w:abstractNumId w:val="15"/>
  </w:num>
  <w:num w:numId="17" w16cid:durableId="877740690">
    <w:abstractNumId w:val="16"/>
  </w:num>
  <w:num w:numId="18" w16cid:durableId="617028999">
    <w:abstractNumId w:val="17"/>
  </w:num>
  <w:num w:numId="19" w16cid:durableId="571504071">
    <w:abstractNumId w:val="25"/>
  </w:num>
  <w:num w:numId="20" w16cid:durableId="740638842">
    <w:abstractNumId w:val="34"/>
  </w:num>
  <w:num w:numId="21" w16cid:durableId="1613706431">
    <w:abstractNumId w:val="30"/>
  </w:num>
  <w:num w:numId="22" w16cid:durableId="1929732641">
    <w:abstractNumId w:val="21"/>
  </w:num>
  <w:num w:numId="23" w16cid:durableId="43720658">
    <w:abstractNumId w:val="38"/>
  </w:num>
  <w:num w:numId="24" w16cid:durableId="606742620">
    <w:abstractNumId w:val="20"/>
  </w:num>
  <w:num w:numId="25" w16cid:durableId="422262114">
    <w:abstractNumId w:val="26"/>
  </w:num>
  <w:num w:numId="26" w16cid:durableId="121266924">
    <w:abstractNumId w:val="31"/>
  </w:num>
  <w:num w:numId="27" w16cid:durableId="1991403724">
    <w:abstractNumId w:val="27"/>
  </w:num>
  <w:num w:numId="28" w16cid:durableId="734551907">
    <w:abstractNumId w:val="22"/>
  </w:num>
  <w:num w:numId="29" w16cid:durableId="909264832">
    <w:abstractNumId w:val="37"/>
  </w:num>
  <w:num w:numId="30" w16cid:durableId="866678102">
    <w:abstractNumId w:val="28"/>
  </w:num>
  <w:num w:numId="31" w16cid:durableId="383801154">
    <w:abstractNumId w:val="33"/>
  </w:num>
  <w:num w:numId="32" w16cid:durableId="568686467">
    <w:abstractNumId w:val="24"/>
  </w:num>
  <w:num w:numId="33" w16cid:durableId="1245064474">
    <w:abstractNumId w:val="36"/>
  </w:num>
  <w:num w:numId="34" w16cid:durableId="1237128545">
    <w:abstractNumId w:val="35"/>
  </w:num>
  <w:num w:numId="35" w16cid:durableId="926839155">
    <w:abstractNumId w:val="18"/>
  </w:num>
  <w:num w:numId="36" w16cid:durableId="110907369">
    <w:abstractNumId w:val="23"/>
  </w:num>
  <w:num w:numId="37" w16cid:durableId="249776576">
    <w:abstractNumId w:val="19"/>
  </w:num>
  <w:num w:numId="38" w16cid:durableId="1404448252">
    <w:abstractNumId w:val="32"/>
  </w:num>
  <w:num w:numId="39" w16cid:durableId="537412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05"/>
    <w:rsid w:val="00007844"/>
    <w:rsid w:val="000724A1"/>
    <w:rsid w:val="00086D38"/>
    <w:rsid w:val="002118FC"/>
    <w:rsid w:val="00231566"/>
    <w:rsid w:val="002557C2"/>
    <w:rsid w:val="00257B7C"/>
    <w:rsid w:val="002C6071"/>
    <w:rsid w:val="002D1F45"/>
    <w:rsid w:val="003D2726"/>
    <w:rsid w:val="003D3B2B"/>
    <w:rsid w:val="004E4A0E"/>
    <w:rsid w:val="004F0900"/>
    <w:rsid w:val="00546C60"/>
    <w:rsid w:val="005A148B"/>
    <w:rsid w:val="005D0F14"/>
    <w:rsid w:val="00681496"/>
    <w:rsid w:val="006A3480"/>
    <w:rsid w:val="006B16C1"/>
    <w:rsid w:val="00731E12"/>
    <w:rsid w:val="00737429"/>
    <w:rsid w:val="008218A8"/>
    <w:rsid w:val="008B59C1"/>
    <w:rsid w:val="009D50D2"/>
    <w:rsid w:val="00A56038"/>
    <w:rsid w:val="00A9735C"/>
    <w:rsid w:val="00AB1606"/>
    <w:rsid w:val="00AE4505"/>
    <w:rsid w:val="00BC7015"/>
    <w:rsid w:val="00C15BA2"/>
    <w:rsid w:val="00C24BF0"/>
    <w:rsid w:val="00C33209"/>
    <w:rsid w:val="00C975E6"/>
    <w:rsid w:val="00D45D5F"/>
    <w:rsid w:val="00DA2B5E"/>
    <w:rsid w:val="00E75805"/>
    <w:rsid w:val="00EE706A"/>
    <w:rsid w:val="00F059A3"/>
    <w:rsid w:val="00FA19A0"/>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618D"/>
  <w15:chartTrackingRefBased/>
  <w15:docId w15:val="{C5442352-AD8F-FF4A-A753-76898D855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5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5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5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5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805"/>
    <w:rPr>
      <w:rFonts w:eastAsiaTheme="majorEastAsia" w:cstheme="majorBidi"/>
      <w:color w:val="272727" w:themeColor="text1" w:themeTint="D8"/>
    </w:rPr>
  </w:style>
  <w:style w:type="paragraph" w:styleId="Title">
    <w:name w:val="Title"/>
    <w:basedOn w:val="Normal"/>
    <w:next w:val="Normal"/>
    <w:link w:val="TitleChar"/>
    <w:uiPriority w:val="10"/>
    <w:qFormat/>
    <w:rsid w:val="00E75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805"/>
    <w:pPr>
      <w:spacing w:before="160"/>
      <w:jc w:val="center"/>
    </w:pPr>
    <w:rPr>
      <w:i/>
      <w:iCs/>
      <w:color w:val="404040" w:themeColor="text1" w:themeTint="BF"/>
    </w:rPr>
  </w:style>
  <w:style w:type="character" w:customStyle="1" w:styleId="QuoteChar">
    <w:name w:val="Quote Char"/>
    <w:basedOn w:val="DefaultParagraphFont"/>
    <w:link w:val="Quote"/>
    <w:uiPriority w:val="29"/>
    <w:rsid w:val="00E75805"/>
    <w:rPr>
      <w:i/>
      <w:iCs/>
      <w:color w:val="404040" w:themeColor="text1" w:themeTint="BF"/>
    </w:rPr>
  </w:style>
  <w:style w:type="paragraph" w:styleId="ListParagraph">
    <w:name w:val="List Paragraph"/>
    <w:basedOn w:val="Normal"/>
    <w:uiPriority w:val="34"/>
    <w:qFormat/>
    <w:rsid w:val="00E75805"/>
    <w:pPr>
      <w:ind w:left="720"/>
      <w:contextualSpacing/>
    </w:pPr>
  </w:style>
  <w:style w:type="character" w:styleId="IntenseEmphasis">
    <w:name w:val="Intense Emphasis"/>
    <w:basedOn w:val="DefaultParagraphFont"/>
    <w:uiPriority w:val="21"/>
    <w:qFormat/>
    <w:rsid w:val="00E75805"/>
    <w:rPr>
      <w:i/>
      <w:iCs/>
      <w:color w:val="0F4761" w:themeColor="accent1" w:themeShade="BF"/>
    </w:rPr>
  </w:style>
  <w:style w:type="paragraph" w:styleId="IntenseQuote">
    <w:name w:val="Intense Quote"/>
    <w:basedOn w:val="Normal"/>
    <w:next w:val="Normal"/>
    <w:link w:val="IntenseQuoteChar"/>
    <w:uiPriority w:val="30"/>
    <w:qFormat/>
    <w:rsid w:val="00E75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805"/>
    <w:rPr>
      <w:i/>
      <w:iCs/>
      <w:color w:val="0F4761" w:themeColor="accent1" w:themeShade="BF"/>
    </w:rPr>
  </w:style>
  <w:style w:type="character" w:styleId="IntenseReference">
    <w:name w:val="Intense Reference"/>
    <w:basedOn w:val="DefaultParagraphFont"/>
    <w:uiPriority w:val="32"/>
    <w:qFormat/>
    <w:rsid w:val="00E75805"/>
    <w:rPr>
      <w:b/>
      <w:bCs/>
      <w:smallCaps/>
      <w:color w:val="0F4761" w:themeColor="accent1" w:themeShade="BF"/>
      <w:spacing w:val="5"/>
    </w:rPr>
  </w:style>
  <w:style w:type="paragraph" w:styleId="NormalWeb">
    <w:name w:val="Normal (Web)"/>
    <w:basedOn w:val="Normal"/>
    <w:uiPriority w:val="99"/>
    <w:semiHidden/>
    <w:unhideWhenUsed/>
    <w:rsid w:val="006B16C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B16C1"/>
    <w:rPr>
      <w:b/>
      <w:bCs/>
    </w:rPr>
  </w:style>
  <w:style w:type="character" w:styleId="Hyperlink">
    <w:name w:val="Hyperlink"/>
    <w:basedOn w:val="DefaultParagraphFont"/>
    <w:uiPriority w:val="99"/>
    <w:unhideWhenUsed/>
    <w:rsid w:val="006B16C1"/>
    <w:rPr>
      <w:color w:val="0000FF"/>
      <w:u w:val="single"/>
    </w:rPr>
  </w:style>
  <w:style w:type="character" w:styleId="FollowedHyperlink">
    <w:name w:val="FollowedHyperlink"/>
    <w:basedOn w:val="DefaultParagraphFont"/>
    <w:uiPriority w:val="99"/>
    <w:semiHidden/>
    <w:unhideWhenUsed/>
    <w:rsid w:val="00681496"/>
    <w:rPr>
      <w:color w:val="96607D" w:themeColor="followedHyperlink"/>
      <w:u w:val="single"/>
    </w:rPr>
  </w:style>
  <w:style w:type="character" w:styleId="UnresolvedMention">
    <w:name w:val="Unresolved Mention"/>
    <w:basedOn w:val="DefaultParagraphFont"/>
    <w:uiPriority w:val="99"/>
    <w:semiHidden/>
    <w:unhideWhenUsed/>
    <w:rsid w:val="002D1F45"/>
    <w:rPr>
      <w:color w:val="605E5C"/>
      <w:shd w:val="clear" w:color="auto" w:fill="E1DFDD"/>
    </w:rPr>
  </w:style>
  <w:style w:type="character" w:customStyle="1" w:styleId="given-name">
    <w:name w:val="given-name"/>
    <w:basedOn w:val="DefaultParagraphFont"/>
    <w:rsid w:val="00EE706A"/>
  </w:style>
  <w:style w:type="character" w:customStyle="1" w:styleId="apple-converted-space">
    <w:name w:val="apple-converted-space"/>
    <w:basedOn w:val="DefaultParagraphFont"/>
    <w:rsid w:val="00EE706A"/>
  </w:style>
  <w:style w:type="character" w:customStyle="1" w:styleId="text">
    <w:name w:val="text"/>
    <w:basedOn w:val="DefaultParagraphFont"/>
    <w:rsid w:val="00EE706A"/>
  </w:style>
  <w:style w:type="character" w:customStyle="1" w:styleId="author-ref">
    <w:name w:val="author-ref"/>
    <w:basedOn w:val="DefaultParagraphFont"/>
    <w:rsid w:val="00EE706A"/>
  </w:style>
  <w:style w:type="character" w:styleId="Emphasis">
    <w:name w:val="Emphasis"/>
    <w:basedOn w:val="DefaultParagraphFont"/>
    <w:uiPriority w:val="20"/>
    <w:qFormat/>
    <w:rsid w:val="00FA19A0"/>
    <w:rPr>
      <w:i/>
      <w:iCs/>
    </w:rPr>
  </w:style>
  <w:style w:type="paragraph" w:styleId="Header">
    <w:name w:val="header"/>
    <w:basedOn w:val="Normal"/>
    <w:link w:val="HeaderChar"/>
    <w:uiPriority w:val="99"/>
    <w:unhideWhenUsed/>
    <w:rsid w:val="0008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D38"/>
  </w:style>
  <w:style w:type="paragraph" w:styleId="Footer">
    <w:name w:val="footer"/>
    <w:basedOn w:val="Normal"/>
    <w:link w:val="FooterChar"/>
    <w:uiPriority w:val="99"/>
    <w:unhideWhenUsed/>
    <w:rsid w:val="0008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D38"/>
  </w:style>
  <w:style w:type="paragraph" w:styleId="TOCHeading">
    <w:name w:val="TOC Heading"/>
    <w:basedOn w:val="Heading1"/>
    <w:next w:val="Normal"/>
    <w:uiPriority w:val="39"/>
    <w:unhideWhenUsed/>
    <w:qFormat/>
    <w:rsid w:val="00BC701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C7015"/>
    <w:pPr>
      <w:spacing w:before="120" w:after="0"/>
      <w:ind w:left="240"/>
    </w:pPr>
    <w:rPr>
      <w:b/>
      <w:bCs/>
      <w:sz w:val="22"/>
      <w:szCs w:val="22"/>
    </w:rPr>
  </w:style>
  <w:style w:type="paragraph" w:styleId="TOC3">
    <w:name w:val="toc 3"/>
    <w:basedOn w:val="Normal"/>
    <w:next w:val="Normal"/>
    <w:autoRedefine/>
    <w:uiPriority w:val="39"/>
    <w:unhideWhenUsed/>
    <w:rsid w:val="00BC7015"/>
    <w:pPr>
      <w:spacing w:after="0"/>
      <w:ind w:left="480"/>
    </w:pPr>
    <w:rPr>
      <w:sz w:val="20"/>
      <w:szCs w:val="20"/>
    </w:rPr>
  </w:style>
  <w:style w:type="paragraph" w:styleId="TOC1">
    <w:name w:val="toc 1"/>
    <w:basedOn w:val="Normal"/>
    <w:next w:val="Normal"/>
    <w:autoRedefine/>
    <w:uiPriority w:val="39"/>
    <w:unhideWhenUsed/>
    <w:rsid w:val="00BC7015"/>
    <w:pPr>
      <w:spacing w:before="120" w:after="0"/>
    </w:pPr>
    <w:rPr>
      <w:b/>
      <w:bCs/>
      <w:i/>
      <w:iCs/>
    </w:rPr>
  </w:style>
  <w:style w:type="paragraph" w:styleId="TOC4">
    <w:name w:val="toc 4"/>
    <w:basedOn w:val="Normal"/>
    <w:next w:val="Normal"/>
    <w:autoRedefine/>
    <w:uiPriority w:val="39"/>
    <w:semiHidden/>
    <w:unhideWhenUsed/>
    <w:rsid w:val="00BC7015"/>
    <w:pPr>
      <w:spacing w:after="0"/>
      <w:ind w:left="720"/>
    </w:pPr>
    <w:rPr>
      <w:sz w:val="20"/>
      <w:szCs w:val="20"/>
    </w:rPr>
  </w:style>
  <w:style w:type="paragraph" w:styleId="TOC5">
    <w:name w:val="toc 5"/>
    <w:basedOn w:val="Normal"/>
    <w:next w:val="Normal"/>
    <w:autoRedefine/>
    <w:uiPriority w:val="39"/>
    <w:semiHidden/>
    <w:unhideWhenUsed/>
    <w:rsid w:val="00BC7015"/>
    <w:pPr>
      <w:spacing w:after="0"/>
      <w:ind w:left="960"/>
    </w:pPr>
    <w:rPr>
      <w:sz w:val="20"/>
      <w:szCs w:val="20"/>
    </w:rPr>
  </w:style>
  <w:style w:type="paragraph" w:styleId="TOC6">
    <w:name w:val="toc 6"/>
    <w:basedOn w:val="Normal"/>
    <w:next w:val="Normal"/>
    <w:autoRedefine/>
    <w:uiPriority w:val="39"/>
    <w:semiHidden/>
    <w:unhideWhenUsed/>
    <w:rsid w:val="00BC7015"/>
    <w:pPr>
      <w:spacing w:after="0"/>
      <w:ind w:left="1200"/>
    </w:pPr>
    <w:rPr>
      <w:sz w:val="20"/>
      <w:szCs w:val="20"/>
    </w:rPr>
  </w:style>
  <w:style w:type="paragraph" w:styleId="TOC7">
    <w:name w:val="toc 7"/>
    <w:basedOn w:val="Normal"/>
    <w:next w:val="Normal"/>
    <w:autoRedefine/>
    <w:uiPriority w:val="39"/>
    <w:semiHidden/>
    <w:unhideWhenUsed/>
    <w:rsid w:val="00BC7015"/>
    <w:pPr>
      <w:spacing w:after="0"/>
      <w:ind w:left="1440"/>
    </w:pPr>
    <w:rPr>
      <w:sz w:val="20"/>
      <w:szCs w:val="20"/>
    </w:rPr>
  </w:style>
  <w:style w:type="paragraph" w:styleId="TOC8">
    <w:name w:val="toc 8"/>
    <w:basedOn w:val="Normal"/>
    <w:next w:val="Normal"/>
    <w:autoRedefine/>
    <w:uiPriority w:val="39"/>
    <w:semiHidden/>
    <w:unhideWhenUsed/>
    <w:rsid w:val="00BC7015"/>
    <w:pPr>
      <w:spacing w:after="0"/>
      <w:ind w:left="1680"/>
    </w:pPr>
    <w:rPr>
      <w:sz w:val="20"/>
      <w:szCs w:val="20"/>
    </w:rPr>
  </w:style>
  <w:style w:type="paragraph" w:styleId="TOC9">
    <w:name w:val="toc 9"/>
    <w:basedOn w:val="Normal"/>
    <w:next w:val="Normal"/>
    <w:autoRedefine/>
    <w:uiPriority w:val="39"/>
    <w:semiHidden/>
    <w:unhideWhenUsed/>
    <w:rsid w:val="00BC701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jssmt.com/Papers/738494.pdf" TargetMode="External"/><Relationship Id="rId18" Type="http://schemas.openxmlformats.org/officeDocument/2006/relationships/hyperlink" Target="https://www.britannica.com/money/Procter-and-Gamble-Company" TargetMode="External"/><Relationship Id="rId26" Type="http://schemas.openxmlformats.org/officeDocument/2006/relationships/hyperlink" Target="https://www.latterly.org/procter-gamble-pg-swot-analysis/" TargetMode="External"/><Relationship Id="rId39" Type="http://schemas.openxmlformats.org/officeDocument/2006/relationships/hyperlink" Target="https://www.researchandmarkets.com/reports/6068532/cleaning-hygiene-products-global-strategic" TargetMode="External"/><Relationship Id="rId21" Type="http://schemas.openxmlformats.org/officeDocument/2006/relationships/hyperlink" Target="https://www.forbes.com/sites/noahbarsky/2021/10/26/procter-gamble-tech-spending-boosts-supply-chain-resilience" TargetMode="External"/><Relationship Id="rId34" Type="http://schemas.openxmlformats.org/officeDocument/2006/relationships/hyperlink" Target="https://logisticsbusiness.com/transport-distribution/how-are-post-brexit-trade-rules-affecting-eu-uk-supply-chains/" TargetMode="External"/><Relationship Id="rId42" Type="http://schemas.openxmlformats.org/officeDocument/2006/relationships/hyperlink" Target="https://www.strategy-business.com/article/08304" TargetMode="External"/><Relationship Id="rId47" Type="http://schemas.openxmlformats.org/officeDocument/2006/relationships/hyperlink" Target="https://doi.org/10.1016/j.tre.2025.104495"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rporate.dow.com/en-us/news/press-releases/recyclability-of-air-capsule-e-commerce-packaging.html" TargetMode="External"/><Relationship Id="rId29" Type="http://schemas.openxmlformats.org/officeDocument/2006/relationships/hyperlink" Target="https://www.mbaskool.com/five-forces-analysis/companies/18322-procter-and-gamble-pag.html" TargetMode="External"/><Relationship Id="rId11" Type="http://schemas.openxmlformats.org/officeDocument/2006/relationships/hyperlink" Target="https://businessmodelanalyst.com/pg-competitors/" TargetMode="External"/><Relationship Id="rId24" Type="http://schemas.openxmlformats.org/officeDocument/2006/relationships/hyperlink" Target="https://hbr.org/video/2226595885001/innovation-at-procter--gamble" TargetMode="External"/><Relationship Id="rId32" Type="http://schemas.openxmlformats.org/officeDocument/2006/relationships/hyperlink" Target="https://panmore.com/procter-gamble-pestel-pestle-analysis-recommendations" TargetMode="External"/><Relationship Id="rId37" Type="http://schemas.openxmlformats.org/officeDocument/2006/relationships/hyperlink" Target="https://us.pg.com/pg-history/" TargetMode="External"/><Relationship Id="rId40" Type="http://schemas.openxmlformats.org/officeDocument/2006/relationships/hyperlink" Target="https://francis-press.com/uploads/papers/Q8KOiL4FlEVKEgEuNwamCZgoZsFFRQnliXzbRICc.pdf" TargetMode="External"/><Relationship Id="rId45" Type="http://schemas.openxmlformats.org/officeDocument/2006/relationships/hyperlink" Target="https://www.un.org/development/desa/dpad/wp-content/uploads/sites/45/FTI_2023_July.pdf" TargetMode="External"/><Relationship Id="rId5" Type="http://schemas.openxmlformats.org/officeDocument/2006/relationships/webSettings" Target="webSettings.xml"/><Relationship Id="rId15" Type="http://schemas.openxmlformats.org/officeDocument/2006/relationships/hyperlink" Target="https://dividendone.com/dividend-king-procter-gamble/" TargetMode="External"/><Relationship Id="rId23" Type="http://schemas.openxmlformats.org/officeDocument/2006/relationships/hyperlink" Target="https://www.grandviewresearch.com/industry-analysis/cleaning-hygiene-products-market-report" TargetMode="External"/><Relationship Id="rId28" Type="http://schemas.openxmlformats.org/officeDocument/2006/relationships/hyperlink" Target="https://www.marketing91.com/swot-analysis-procter-gamble/" TargetMode="External"/><Relationship Id="rId36" Type="http://schemas.openxmlformats.org/officeDocument/2006/relationships/hyperlink" Target="https://us.pg.com/blogs/packaging-solutions/" TargetMode="External"/><Relationship Id="rId49" Type="http://schemas.openxmlformats.org/officeDocument/2006/relationships/fontTable" Target="fontTable.xml"/><Relationship Id="rId10" Type="http://schemas.openxmlformats.org/officeDocument/2006/relationships/hyperlink" Target="https://www.btgadvisory.com/insights/general/uk-sme-manufacturers-navigate-cost-pressures-supply-risks-and-shifting-trade-patterns" TargetMode="External"/><Relationship Id="rId19" Type="http://schemas.openxmlformats.org/officeDocument/2006/relationships/hyperlink" Target="https://environment.ec.europa.eu/topics/waste-and-recycling/packaging-waste_en" TargetMode="External"/><Relationship Id="rId31" Type="http://schemas.openxmlformats.org/officeDocument/2006/relationships/hyperlink" Target="https://www.nasdaq.com/articles/procter-gamble-vs-unilever-who-holds-power-fmcg-race" TargetMode="External"/><Relationship Id="rId44" Type="http://schemas.openxmlformats.org/officeDocument/2006/relationships/hyperlink" Target="https://www.swotanalysis.com/procter-and-gamble" TargetMode="External"/><Relationship Id="rId4" Type="http://schemas.openxmlformats.org/officeDocument/2006/relationships/settings" Target="settings.xml"/><Relationship Id="rId9" Type="http://schemas.openxmlformats.org/officeDocument/2006/relationships/hyperlink" Target="https://www.academia.edu/33359720/Procter_and_Gamble_reanalysis" TargetMode="External"/><Relationship Id="rId14" Type="http://schemas.openxmlformats.org/officeDocument/2006/relationships/hyperlink" Target="https://www.consilium.europa.eu/en/press/press-releases/2025/06/10/council-and-parliament-strike-a-deal-to-make-detergents-safer-for-the-population-and-the-environment/" TargetMode="External"/><Relationship Id="rId22" Type="http://schemas.openxmlformats.org/officeDocument/2006/relationships/hyperlink" Target="https://freepestelanalysis.com/pestle-analysis-of-fmcg-industry/" TargetMode="External"/><Relationship Id="rId27" Type="http://schemas.openxmlformats.org/officeDocument/2006/relationships/hyperlink" Target="https://d3.harvard.edu/platform-digit/submission/pg-leads-consumer-goods-giants-in-race-to-figure-out-digital/" TargetMode="External"/><Relationship Id="rId30" Type="http://schemas.openxmlformats.org/officeDocument/2006/relationships/hyperlink" Target="https://www.mordorintelligence.com/industry-reports/baby-care-products-market" TargetMode="External"/><Relationship Id="rId35" Type="http://schemas.openxmlformats.org/officeDocument/2006/relationships/hyperlink" Target="https://us.pg.com/environmental-sustainability/" TargetMode="External"/><Relationship Id="rId43" Type="http://schemas.openxmlformats.org/officeDocument/2006/relationships/hyperlink" Target="https://www.supplychaindive.com/news/procter-gamble-supply-chain-restructuring/750640/" TargetMode="External"/><Relationship Id="rId48" Type="http://schemas.openxmlformats.org/officeDocument/2006/relationships/header" Target="header1.xml"/><Relationship Id="rId8" Type="http://schemas.openxmlformats.org/officeDocument/2006/relationships/hyperlink" Target="https://www.actualmarketresearch.com/product/global-personal-hygiene-market-overview" TargetMode="External"/><Relationship Id="rId3" Type="http://schemas.openxmlformats.org/officeDocument/2006/relationships/styles" Target="styles.xml"/><Relationship Id="rId12" Type="http://schemas.openxmlformats.org/officeDocument/2006/relationships/hyperlink" Target="https://business-news-today.com/the-great-consumer-goods-reset-why-unilever-procter-gamble-and-colgate-are-trimming-portfolios-in-2025/" TargetMode="External"/><Relationship Id="rId17" Type="http://schemas.openxmlformats.org/officeDocument/2006/relationships/hyperlink" Target="https://www.emergenresearch.com/industry-report/beauty-and-personal-care-market" TargetMode="External"/><Relationship Id="rId25" Type="http://schemas.openxmlformats.org/officeDocument/2006/relationships/hyperlink" Target="https://www.hivelr.com/2024/07/procter-gamble-pg-pestel-and-macro-environmental-analysis/" TargetMode="External"/><Relationship Id="rId33" Type="http://schemas.openxmlformats.org/officeDocument/2006/relationships/hyperlink" Target="https://panmore.com/procter-gamble-swot-analysis-recommendations" TargetMode="External"/><Relationship Id="rId38" Type="http://schemas.openxmlformats.org/officeDocument/2006/relationships/hyperlink" Target="https://www.researchgate.net/publication/350877666" TargetMode="External"/><Relationship Id="rId46" Type="http://schemas.openxmlformats.org/officeDocument/2006/relationships/hyperlink" Target="http://www.ijrms.com/olvolume2issue4/GedelaRakeshVarma-JaladiRavi-3.pdf" TargetMode="External"/><Relationship Id="rId20" Type="http://schemas.openxmlformats.org/officeDocument/2006/relationships/hyperlink" Target="https://www.ey.com/content/dam/ey-unified-site/ey-com/en-gl/alliances/documents/ey-pg-supply-chain-excellence-000421-22gbl.pdf" TargetMode="External"/><Relationship Id="rId41" Type="http://schemas.openxmlformats.org/officeDocument/2006/relationships/hyperlink" Target="https://www.statista.com/statistics/260963/leading-fmcg-companies-worldwide-based-on-sal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FF1457-6249-524F-99BF-ECC2F9EA4E98}">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D3CC6-035D-3D4B-BCE4-F0D17A25F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6317</Words>
  <Characters>45799</Characters>
  <Application>Microsoft Office Word</Application>
  <DocSecurity>0</DocSecurity>
  <Lines>776</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 Memories</dc:creator>
  <cp:keywords/>
  <dc:description/>
  <cp:lastModifiedBy>MOV Memories</cp:lastModifiedBy>
  <cp:revision>3</cp:revision>
  <dcterms:created xsi:type="dcterms:W3CDTF">2025-12-10T15:11:00Z</dcterms:created>
  <dcterms:modified xsi:type="dcterms:W3CDTF">2025-12-11T18:52:00Z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documentId_4617</vt:lpwstr>
  </property>
  <property fmtid="{D5CDD505-2E9C-101B-9397-08002B2CF9AE}" pid="3" name="grammarly_documentContext">
    <vt:lpwstr>{"goals":["inform","describe"],"domain":"academic","emotions":["analytical"],"dialect":"british","audience":"expert","style":"formal"}</vt:lpwstr>
  </property>
</Properties>
</file>