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7DE81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EF671A">
              <w:rPr>
                <w:b/>
                <w:color w:val="auto"/>
                <w:sz w:val="32"/>
              </w:rPr>
              <w:t>Michael McNally</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F50061F" w:rsidR="005A1BA3" w:rsidRDefault="00EF671A" w:rsidP="0022001B">
            <w:pPr>
              <w:overflowPunct/>
              <w:autoSpaceDE/>
              <w:autoSpaceDN/>
              <w:adjustRightInd/>
              <w:ind w:right="-330"/>
              <w:textAlignment w:val="auto"/>
              <w:rPr>
                <w:b/>
                <w:color w:val="auto"/>
                <w:sz w:val="32"/>
              </w:rPr>
            </w:pPr>
            <w:r>
              <w:rPr>
                <w:b/>
                <w:color w:val="auto"/>
                <w:sz w:val="32"/>
              </w:rPr>
              <w:t>2023881</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5E550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020A7F6A" w:rsidR="00AA666E" w:rsidRDefault="00025650" w:rsidP="00FF7EBB">
      <w:pPr>
        <w:jc w:val="both"/>
        <w:rPr>
          <w:b/>
          <w:sz w:val="24"/>
          <w:szCs w:val="24"/>
        </w:rPr>
      </w:pPr>
      <w:r w:rsidRPr="00025650">
        <w:rPr>
          <w:b/>
          <w:sz w:val="24"/>
          <w:szCs w:val="24"/>
        </w:rPr>
        <w:t>ANSWER:</w:t>
      </w:r>
    </w:p>
    <w:p w14:paraId="67C6B2EA" w14:textId="6E068A62" w:rsidR="00C33C97" w:rsidRDefault="00C33C97" w:rsidP="00FF7EBB">
      <w:pPr>
        <w:jc w:val="both"/>
        <w:rPr>
          <w:b/>
          <w:sz w:val="24"/>
          <w:szCs w:val="24"/>
        </w:rPr>
      </w:pPr>
    </w:p>
    <w:p w14:paraId="68E47930" w14:textId="77777777" w:rsidR="00C33C97" w:rsidRPr="00C33C97" w:rsidRDefault="00C33C97" w:rsidP="00C33C97">
      <w:pPr>
        <w:overflowPunct/>
        <w:autoSpaceDE/>
        <w:autoSpaceDN/>
        <w:adjustRightInd/>
        <w:spacing w:after="160" w:line="360" w:lineRule="auto"/>
        <w:jc w:val="both"/>
        <w:textAlignment w:val="auto"/>
        <w:rPr>
          <w:rFonts w:ascii="Calibri" w:eastAsia="Calibri" w:hAnsi="Calibri" w:cs="Times New Roman"/>
          <w:color w:val="auto"/>
          <w:sz w:val="22"/>
          <w:szCs w:val="22"/>
          <w:lang w:eastAsia="en-US"/>
        </w:rPr>
      </w:pPr>
      <w:r w:rsidRPr="00C33C97">
        <w:rPr>
          <w:rFonts w:ascii="Calibri" w:eastAsia="Calibri" w:hAnsi="Calibri" w:cs="Times New Roman"/>
          <w:color w:val="auto"/>
          <w:sz w:val="22"/>
          <w:szCs w:val="22"/>
          <w:lang w:eastAsia="en-US"/>
        </w:rPr>
        <w:t>The role of a police officer is challenging as it constantly changes, with each call out or incident, producing new risks to physical, emotional and mental health (Bengt, et al., 2009). This unique role consequently can cause a person to be overcome with stress and therefore requires a police constable to build and develop robust resilience to combat the day-to-day duties that they may face. During this essay I will be using the Gibbs (1988) reflective cycle to outline the coping strategies that I have applied to develop resilience and minimise stress since being attained as a Police Constable.</w:t>
      </w:r>
    </w:p>
    <w:p w14:paraId="200A06F3" w14:textId="77777777" w:rsidR="00C33C97" w:rsidRPr="00C33C97" w:rsidRDefault="00C33C97" w:rsidP="00C33C97">
      <w:pPr>
        <w:overflowPunct/>
        <w:autoSpaceDE/>
        <w:autoSpaceDN/>
        <w:adjustRightInd/>
        <w:spacing w:after="160" w:line="360" w:lineRule="auto"/>
        <w:jc w:val="both"/>
        <w:textAlignment w:val="auto"/>
        <w:rPr>
          <w:rFonts w:ascii="Calibri" w:eastAsia="Calibri" w:hAnsi="Calibri" w:cs="Times New Roman"/>
          <w:bCs/>
          <w:iCs/>
          <w:color w:val="auto"/>
          <w:sz w:val="22"/>
          <w:szCs w:val="22"/>
          <w:lang w:eastAsia="en-US"/>
        </w:rPr>
      </w:pPr>
      <w:r w:rsidRPr="00C33C97">
        <w:rPr>
          <w:rFonts w:ascii="Calibri" w:eastAsia="Calibri" w:hAnsi="Calibri" w:cs="Times New Roman"/>
          <w:bCs/>
          <w:iCs/>
          <w:color w:val="auto"/>
          <w:sz w:val="22"/>
          <w:szCs w:val="22"/>
          <w:lang w:eastAsia="en-US"/>
        </w:rPr>
        <w:t>According to Haglund et al (2007:889)</w:t>
      </w:r>
      <w:r w:rsidRPr="00C33C97">
        <w:rPr>
          <w:rFonts w:ascii="Calibri" w:eastAsia="Calibri" w:hAnsi="Calibri" w:cs="Times New Roman"/>
          <w:b/>
          <w:i/>
          <w:color w:val="auto"/>
          <w:sz w:val="22"/>
          <w:szCs w:val="22"/>
          <w:lang w:eastAsia="en-US"/>
        </w:rPr>
        <w:t xml:space="preserve"> </w:t>
      </w:r>
      <w:r w:rsidRPr="00C33C97">
        <w:rPr>
          <w:rFonts w:ascii="Calibri" w:eastAsia="Calibri" w:hAnsi="Calibri" w:cs="Times New Roman"/>
          <w:bCs/>
          <w:i/>
          <w:color w:val="auto"/>
          <w:sz w:val="22"/>
          <w:szCs w:val="22"/>
          <w:lang w:eastAsia="en-US"/>
        </w:rPr>
        <w:t xml:space="preserve">“Resilience refers to the ability to successfully adapt to stressors, maintaining psychological well-being in the face of adversity”. </w:t>
      </w:r>
      <w:r w:rsidRPr="00C33C97">
        <w:rPr>
          <w:rFonts w:ascii="Calibri" w:eastAsia="Calibri" w:hAnsi="Calibri" w:cs="Times New Roman"/>
          <w:color w:val="auto"/>
          <w:sz w:val="22"/>
          <w:szCs w:val="22"/>
          <w:lang w:eastAsia="en-US"/>
        </w:rPr>
        <w:t xml:space="preserve">To develop this resilience, I believe coping strategies must be utilised from day one, or arguably at the point of applying for the role. It is important to maintain a good level of health and wellbeing to enable a person to execute the role of a police constable, this links in with the aspects of the </w:t>
      </w:r>
      <w:r w:rsidRPr="00C33C97">
        <w:rPr>
          <w:rFonts w:ascii="Calibri" w:eastAsia="Calibri" w:hAnsi="Calibri" w:cs="Times New Roman"/>
          <w:bCs/>
          <w:iCs/>
          <w:color w:val="auto"/>
          <w:sz w:val="22"/>
          <w:szCs w:val="22"/>
          <w:lang w:eastAsia="en-US"/>
        </w:rPr>
        <w:t>police code of ethics</w:t>
      </w:r>
      <w:r w:rsidRPr="00C33C97">
        <w:rPr>
          <w:rFonts w:ascii="Calibri" w:eastAsia="Calibri" w:hAnsi="Calibri" w:cs="Times New Roman"/>
          <w:color w:val="auto"/>
          <w:sz w:val="22"/>
          <w:szCs w:val="22"/>
          <w:lang w:eastAsia="en-US"/>
        </w:rPr>
        <w:t xml:space="preserve"> (College of Policing, 2014) </w:t>
      </w:r>
      <w:r w:rsidRPr="00C33C97">
        <w:rPr>
          <w:rFonts w:ascii="Calibri" w:eastAsia="Calibri" w:hAnsi="Calibri" w:cs="Times New Roman"/>
          <w:bCs/>
          <w:iCs/>
          <w:color w:val="auto"/>
          <w:sz w:val="22"/>
          <w:szCs w:val="22"/>
          <w:lang w:eastAsia="en-US"/>
        </w:rPr>
        <w:t xml:space="preserve">sections 8 ‘Fitness for work’ and Section 1 ‘Honesty and integrity’. Fitness </w:t>
      </w:r>
      <w:r w:rsidRPr="00C33C97">
        <w:rPr>
          <w:rFonts w:ascii="Calibri" w:eastAsia="Calibri" w:hAnsi="Calibri" w:cs="Times New Roman"/>
          <w:color w:val="auto"/>
          <w:sz w:val="22"/>
          <w:szCs w:val="22"/>
          <w:lang w:eastAsia="en-US"/>
        </w:rPr>
        <w:t>for work does not just apply to person’s physical fitness but also attributes to a person’s mental health and general wellbeing. Honest and integrity plays its part in this as the mental wellbeing of a person is typically unknown, thus relying on the individual’s honesty and integrity to come forward and admit when they are unable to perform their duties or require support.</w:t>
      </w:r>
    </w:p>
    <w:p w14:paraId="3BB949F5" w14:textId="77777777" w:rsidR="00C33C97" w:rsidRPr="00C33C97" w:rsidRDefault="00C33C97" w:rsidP="00C33C97">
      <w:pPr>
        <w:overflowPunct/>
        <w:autoSpaceDE/>
        <w:autoSpaceDN/>
        <w:adjustRightInd/>
        <w:spacing w:after="160" w:line="360" w:lineRule="auto"/>
        <w:jc w:val="both"/>
        <w:textAlignment w:val="auto"/>
        <w:rPr>
          <w:rFonts w:ascii="Calibri" w:eastAsia="Calibri" w:hAnsi="Calibri" w:cs="Times New Roman"/>
          <w:color w:val="auto"/>
          <w:sz w:val="22"/>
          <w:szCs w:val="22"/>
          <w:lang w:eastAsia="en-US"/>
        </w:rPr>
      </w:pPr>
      <w:r w:rsidRPr="00C33C97">
        <w:rPr>
          <w:rFonts w:ascii="Calibri" w:eastAsia="Calibri" w:hAnsi="Calibri" w:cs="Times New Roman"/>
          <w:color w:val="auto"/>
          <w:sz w:val="22"/>
          <w:szCs w:val="22"/>
          <w:lang w:eastAsia="en-US"/>
        </w:rPr>
        <w:t xml:space="preserve">I adapted my coping strategies as the difficulty of the course progressed. I found that my most efficient coping strategy is keeping my physical health in order as it reduces and manages my stress (Jackson, 2013). This was difficult due to the Covid-19 pandemic bringing the gym industry to a standstill and impacted on my routine. To overcome this hurdle, I began with going on light runs and walks in my local area. This kept my body and mind active and I have a strong belief that by being outdoors boosted my positivity and work ethic. This is supported by Howell &amp; Passmore (2013) who argue nature affiliation has a positive impact on mental wellbeing. This allowed me to reflect on stressful incidents </w:t>
      </w:r>
      <w:r w:rsidRPr="00C33C97">
        <w:rPr>
          <w:rFonts w:ascii="Calibri" w:eastAsia="Calibri" w:hAnsi="Calibri" w:cs="Times New Roman"/>
          <w:color w:val="auto"/>
          <w:sz w:val="22"/>
          <w:szCs w:val="22"/>
          <w:lang w:eastAsia="en-US"/>
        </w:rPr>
        <w:lastRenderedPageBreak/>
        <w:t xml:space="preserve">during work and regulate my emotional reaction and build resilience. As the months passed the same runs and same routes become tedious and boring, due to the pandemic, the local restrictions only allowed for exercise in my local area and did not allow for driving to a new location. However, this was overcome by changing up the intensity and duration of each run or setting small goals and competitions with myself. For example, certain hill sections, I would try and time myself from bottom to top and attempt to beat that time the following day. Using this coping strategy also meant I would be compliant with </w:t>
      </w:r>
      <w:r w:rsidRPr="00C33C97">
        <w:rPr>
          <w:rFonts w:ascii="Calibri" w:eastAsia="Calibri" w:hAnsi="Calibri" w:cs="Times New Roman"/>
          <w:bCs/>
          <w:iCs/>
          <w:color w:val="auto"/>
          <w:sz w:val="22"/>
          <w:szCs w:val="22"/>
          <w:lang w:eastAsia="en-US"/>
        </w:rPr>
        <w:t>Section 8 fit for work</w:t>
      </w:r>
      <w:r w:rsidRPr="00C33C97">
        <w:rPr>
          <w:rFonts w:ascii="Calibri" w:eastAsia="Calibri" w:hAnsi="Calibri" w:cs="Times New Roman"/>
          <w:color w:val="auto"/>
          <w:sz w:val="22"/>
          <w:szCs w:val="22"/>
          <w:lang w:eastAsia="en-US"/>
        </w:rPr>
        <w:t xml:space="preserve">. As many of the other students stressed over the bleep test during the initial six months I felt at ease and confident that I would pass. This has now become a vital part of my daily routine, going forward this will continue to be a part of my coping strategy for resilience and to minimise stress. As the Covid-19 restrictions ease I will be attending the gym to reinforce this coping strategy and minimise the risk of complacency and boredom. </w:t>
      </w:r>
    </w:p>
    <w:p w14:paraId="4E56FFE3" w14:textId="52FB17D6" w:rsidR="00C33C97" w:rsidRPr="00C33C97" w:rsidRDefault="00C33C97" w:rsidP="00C33C97">
      <w:pPr>
        <w:overflowPunct/>
        <w:autoSpaceDE/>
        <w:autoSpaceDN/>
        <w:adjustRightInd/>
        <w:spacing w:after="160" w:line="360" w:lineRule="auto"/>
        <w:jc w:val="both"/>
        <w:textAlignment w:val="auto"/>
        <w:rPr>
          <w:rFonts w:ascii="Calibri" w:eastAsia="Calibri" w:hAnsi="Calibri" w:cs="Times New Roman"/>
          <w:color w:val="auto"/>
          <w:sz w:val="22"/>
          <w:szCs w:val="22"/>
          <w:lang w:eastAsia="en-US"/>
        </w:rPr>
      </w:pPr>
      <w:r w:rsidRPr="00C33C97">
        <w:rPr>
          <w:rFonts w:ascii="Calibri" w:eastAsia="Calibri" w:hAnsi="Calibri" w:cs="Times New Roman"/>
          <w:color w:val="auto"/>
          <w:sz w:val="22"/>
          <w:szCs w:val="22"/>
          <w:lang w:eastAsia="en-US"/>
        </w:rPr>
        <w:t xml:space="preserve">During the initial six months of training, after being attested as a police constable there was a pending doom among all the students in my class. This was in the form of two written exams. These exams are a crucial part of the initial training, they test the knowledge of everyone on all aspects of the policing criteria, and consist of two written exams each with 25 questions. To manage the stress, I created a plan for revision to prepare for the exam as much as possible. I achieved this by trialling different revision techniques until I found one that suited me best. The method I found that worked for me personally was writing flash cards and having my partner quiz me on all the subjects. This would allow me to revise while we were traveling in the car with the family or when we I had downtime in the house. </w:t>
      </w:r>
      <w:r>
        <w:rPr>
          <w:rFonts w:ascii="Calibri" w:eastAsia="Calibri" w:hAnsi="Calibri" w:cs="Times New Roman"/>
          <w:color w:val="auto"/>
          <w:sz w:val="22"/>
          <w:szCs w:val="22"/>
          <w:lang w:eastAsia="en-US"/>
        </w:rPr>
        <w:t>I f</w:t>
      </w:r>
      <w:r w:rsidRPr="00C33C97">
        <w:rPr>
          <w:rFonts w:ascii="Calibri" w:eastAsia="Calibri" w:hAnsi="Calibri" w:cs="Times New Roman"/>
          <w:color w:val="auto"/>
          <w:sz w:val="22"/>
          <w:szCs w:val="22"/>
          <w:lang w:eastAsia="en-US"/>
        </w:rPr>
        <w:t>elt the pressure of sitting an exam caused me the most stress. The exam was unfamiliar ground for me as I had not sat an exam since leaving school 15 years prior. Alongside my fitness routine, this method would allow me to ease the stress and perform better during my work period, and be more present at home. Although this allowed me to revise ‘on the go’, upon reflection I believe I should have explored other options to improve my revision and my overall exam score. If I had the option of re-sitting the exam, I would benefit from improving my time-management towards studying and analysing the lessons and workbooks in more detail. Despite this, the process enabled me to gain confidence in my ability, reduce stress and build resilience.</w:t>
      </w:r>
    </w:p>
    <w:p w14:paraId="7AA39708" w14:textId="77777777" w:rsidR="00C33C97" w:rsidRPr="00C33C97" w:rsidRDefault="00C33C97" w:rsidP="00C33C97">
      <w:pPr>
        <w:overflowPunct/>
        <w:autoSpaceDE/>
        <w:autoSpaceDN/>
        <w:adjustRightInd/>
        <w:spacing w:after="160" w:line="360" w:lineRule="auto"/>
        <w:jc w:val="both"/>
        <w:textAlignment w:val="auto"/>
        <w:rPr>
          <w:rFonts w:ascii="Calibri" w:eastAsia="Calibri" w:hAnsi="Calibri" w:cs="Times New Roman"/>
          <w:color w:val="auto"/>
          <w:sz w:val="22"/>
          <w:szCs w:val="22"/>
          <w:lang w:eastAsia="en-US"/>
        </w:rPr>
      </w:pPr>
      <w:r w:rsidRPr="00C33C97">
        <w:rPr>
          <w:rFonts w:ascii="Calibri" w:eastAsia="Calibri" w:hAnsi="Calibri" w:cs="Times New Roman"/>
          <w:color w:val="auto"/>
          <w:sz w:val="22"/>
          <w:szCs w:val="22"/>
          <w:lang w:eastAsia="en-US"/>
        </w:rPr>
        <w:t xml:space="preserve">In conclusion I have explored two different options to build resilience and minimise stress in my initial six months since being attained as Police Constable. Maintaining good general health and wellbeing through exercise and preparing for the exams through revision assisted with the process. I feel that without these strategies my wellbeing would have been negatively impacted causing stress, in turn this would have impacted negatively on my work life and home life. In hindsight I should have put more time and emphasis on revision to improve my general approach to studying. However, by </w:t>
      </w:r>
      <w:r w:rsidRPr="00C33C97">
        <w:rPr>
          <w:rFonts w:ascii="Calibri" w:eastAsia="Calibri" w:hAnsi="Calibri" w:cs="Times New Roman"/>
          <w:color w:val="auto"/>
          <w:sz w:val="22"/>
          <w:szCs w:val="22"/>
          <w:lang w:eastAsia="en-US"/>
        </w:rPr>
        <w:lastRenderedPageBreak/>
        <w:t xml:space="preserve">successfully completing the first stage of training and reflecting on my experience, I am aware of the coping strategies that have helped the most in building resilience and managing stress. </w:t>
      </w:r>
    </w:p>
    <w:p w14:paraId="70E5F980" w14:textId="77777777" w:rsidR="00C33C97" w:rsidRPr="00C33C97" w:rsidRDefault="00C33C97" w:rsidP="00C33C97">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C33C97">
        <w:rPr>
          <w:rFonts w:ascii="Calibri" w:eastAsia="Calibri" w:hAnsi="Calibri" w:cs="Times New Roman"/>
          <w:color w:val="auto"/>
          <w:sz w:val="22"/>
          <w:szCs w:val="22"/>
          <w:lang w:eastAsia="en-US"/>
        </w:rPr>
        <w:t>Word Count: 982</w:t>
      </w:r>
    </w:p>
    <w:p w14:paraId="41A19D69" w14:textId="77777777" w:rsidR="00C33C97" w:rsidRPr="00C33C97" w:rsidRDefault="00C33C97" w:rsidP="00C33C97">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C33C97">
        <w:rPr>
          <w:rFonts w:ascii="Calibri" w:eastAsia="Calibri" w:hAnsi="Calibri" w:cs="Times New Roman"/>
          <w:b/>
          <w:bCs/>
          <w:color w:val="auto"/>
          <w:sz w:val="22"/>
          <w:szCs w:val="22"/>
          <w:lang w:eastAsia="en-US"/>
        </w:rPr>
        <w:t xml:space="preserve">Reference List </w:t>
      </w:r>
    </w:p>
    <w:p w14:paraId="70208D00" w14:textId="77777777" w:rsidR="00C33C97" w:rsidRPr="00C33C97" w:rsidRDefault="00C33C97" w:rsidP="00C33C9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33C97">
        <w:rPr>
          <w:rFonts w:ascii="Calibri" w:eastAsia="Calibri" w:hAnsi="Calibri" w:cs="Times New Roman"/>
          <w:color w:val="auto"/>
          <w:sz w:val="22"/>
          <w:szCs w:val="22"/>
          <w:lang w:eastAsia="en-US"/>
        </w:rPr>
        <w:t>Arnetz, B. B., Nevedal, D. C., Lumley, M. A., Backman, L. and Lublin, A. (2009) ‘Trauma resilience training for police: Psychophysiological and performance effects’, </w:t>
      </w:r>
      <w:r w:rsidRPr="00C33C97">
        <w:rPr>
          <w:rFonts w:ascii="Calibri" w:eastAsia="Calibri" w:hAnsi="Calibri" w:cs="Times New Roman"/>
          <w:i/>
          <w:iCs/>
          <w:color w:val="auto"/>
          <w:sz w:val="22"/>
          <w:szCs w:val="22"/>
          <w:lang w:eastAsia="en-US"/>
        </w:rPr>
        <w:t>Journal of Police and criminal Psychology</w:t>
      </w:r>
      <w:r w:rsidRPr="00C33C97">
        <w:rPr>
          <w:rFonts w:ascii="Calibri" w:eastAsia="Calibri" w:hAnsi="Calibri" w:cs="Times New Roman"/>
          <w:color w:val="auto"/>
          <w:sz w:val="22"/>
          <w:szCs w:val="22"/>
          <w:lang w:eastAsia="en-US"/>
        </w:rPr>
        <w:t>, Vol. 24(1): 1-9.</w:t>
      </w:r>
    </w:p>
    <w:p w14:paraId="2BCE1A42" w14:textId="77777777" w:rsidR="00C33C97" w:rsidRPr="00C33C97" w:rsidRDefault="00C33C97" w:rsidP="00C33C97">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33C97">
        <w:rPr>
          <w:rFonts w:ascii="Calibri" w:eastAsia="Calibri" w:hAnsi="Calibri" w:cs="Times New Roman"/>
          <w:color w:val="auto"/>
          <w:sz w:val="22"/>
          <w:szCs w:val="22"/>
          <w:lang w:eastAsia="en-US"/>
        </w:rPr>
        <w:t xml:space="preserve">Gibbs, G. (1988). </w:t>
      </w:r>
      <w:r w:rsidRPr="00C33C97">
        <w:rPr>
          <w:rFonts w:ascii="Calibri" w:eastAsia="Calibri" w:hAnsi="Calibri" w:cs="Times New Roman"/>
          <w:i/>
          <w:iCs/>
          <w:color w:val="auto"/>
          <w:sz w:val="22"/>
          <w:szCs w:val="22"/>
          <w:lang w:eastAsia="en-US"/>
        </w:rPr>
        <w:t>Learning by doing: A guide to teaching and learning methods</w:t>
      </w:r>
      <w:r w:rsidRPr="00C33C97">
        <w:rPr>
          <w:rFonts w:ascii="Calibri" w:eastAsia="Calibri" w:hAnsi="Calibri" w:cs="Times New Roman"/>
          <w:color w:val="auto"/>
          <w:sz w:val="22"/>
          <w:szCs w:val="22"/>
          <w:lang w:eastAsia="en-US"/>
        </w:rPr>
        <w:t>. Oxford: Oxford Further Education Unit.</w:t>
      </w:r>
    </w:p>
    <w:p w14:paraId="1CD22720" w14:textId="77777777" w:rsidR="00C33C97" w:rsidRPr="00C33C97" w:rsidRDefault="00C33C97" w:rsidP="00C33C97">
      <w:pPr>
        <w:overflowPunct/>
        <w:autoSpaceDE/>
        <w:autoSpaceDN/>
        <w:adjustRightInd/>
        <w:spacing w:after="160" w:line="259" w:lineRule="auto"/>
        <w:textAlignment w:val="auto"/>
        <w:rPr>
          <w:rFonts w:ascii="Calibri" w:eastAsia="Calibri" w:hAnsi="Calibri" w:cs="Times New Roman"/>
          <w:b/>
          <w:i/>
          <w:color w:val="auto"/>
          <w:sz w:val="22"/>
          <w:szCs w:val="22"/>
          <w:lang w:eastAsia="en-US"/>
        </w:rPr>
      </w:pPr>
      <w:r w:rsidRPr="00C33C97">
        <w:rPr>
          <w:rFonts w:ascii="Calibri" w:eastAsia="Calibri" w:hAnsi="Calibri" w:cs="Times New Roman"/>
          <w:bCs/>
          <w:iCs/>
          <w:color w:val="auto"/>
          <w:sz w:val="22"/>
          <w:szCs w:val="22"/>
          <w:lang w:eastAsia="en-US"/>
        </w:rPr>
        <w:t>Haglund, M. E. M., Nestandt, P. S., Cooper, N. S., Southwick, S. M. and Charney, D.S (2007)</w:t>
      </w:r>
      <w:r w:rsidRPr="00C33C97">
        <w:rPr>
          <w:rFonts w:ascii="Calibri" w:eastAsia="Calibri" w:hAnsi="Calibri" w:cs="Times New Roman"/>
          <w:bCs/>
          <w:i/>
          <w:color w:val="auto"/>
          <w:sz w:val="22"/>
          <w:szCs w:val="22"/>
          <w:lang w:eastAsia="en-US"/>
        </w:rPr>
        <w:t xml:space="preserve"> </w:t>
      </w:r>
      <w:r w:rsidRPr="00C33C97">
        <w:rPr>
          <w:rFonts w:ascii="Calibri" w:eastAsia="Calibri" w:hAnsi="Calibri" w:cs="Times New Roman"/>
          <w:bCs/>
          <w:iCs/>
          <w:color w:val="auto"/>
          <w:sz w:val="22"/>
          <w:szCs w:val="22"/>
          <w:lang w:eastAsia="en-US"/>
        </w:rPr>
        <w:t>‘Psychobiological mechanisms of resilience: Relevance to prevention and treatment of stress related psychopathology’,</w:t>
      </w:r>
      <w:r w:rsidRPr="00C33C97">
        <w:rPr>
          <w:rFonts w:ascii="Calibri" w:eastAsia="Calibri" w:hAnsi="Calibri" w:cs="Times New Roman"/>
          <w:b/>
          <w:i/>
          <w:color w:val="auto"/>
          <w:sz w:val="22"/>
          <w:szCs w:val="22"/>
          <w:lang w:eastAsia="en-US"/>
        </w:rPr>
        <w:t xml:space="preserve"> </w:t>
      </w:r>
      <w:r w:rsidRPr="00C33C97">
        <w:rPr>
          <w:rFonts w:ascii="Calibri" w:eastAsia="Calibri" w:hAnsi="Calibri" w:cs="Times New Roman"/>
          <w:bCs/>
          <w:i/>
          <w:color w:val="auto"/>
          <w:sz w:val="22"/>
          <w:szCs w:val="22"/>
          <w:lang w:eastAsia="en-US"/>
        </w:rPr>
        <w:t>Development and Psychopathology</w:t>
      </w:r>
      <w:r w:rsidRPr="00C33C97">
        <w:rPr>
          <w:rFonts w:ascii="Calibri" w:eastAsia="Calibri" w:hAnsi="Calibri" w:cs="Times New Roman"/>
          <w:b/>
          <w:i/>
          <w:color w:val="auto"/>
          <w:sz w:val="22"/>
          <w:szCs w:val="22"/>
          <w:lang w:eastAsia="en-US"/>
        </w:rPr>
        <w:t xml:space="preserve">, </w:t>
      </w:r>
      <w:r w:rsidRPr="00C33C97">
        <w:rPr>
          <w:rFonts w:ascii="Calibri" w:eastAsia="Calibri" w:hAnsi="Calibri" w:cs="Times New Roman"/>
          <w:bCs/>
          <w:iCs/>
          <w:color w:val="auto"/>
          <w:sz w:val="22"/>
          <w:szCs w:val="22"/>
          <w:lang w:eastAsia="en-US"/>
        </w:rPr>
        <w:t>Vol. 19(3): 889-920.</w:t>
      </w:r>
    </w:p>
    <w:p w14:paraId="0BF7C43F" w14:textId="77777777" w:rsidR="00C33C97" w:rsidRPr="00025650" w:rsidRDefault="00C33C97" w:rsidP="00FF7EBB">
      <w:pPr>
        <w:jc w:val="both"/>
        <w:rPr>
          <w:b/>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A57AE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5E400E13" w:rsidR="00450C83" w:rsidRDefault="00450C83" w:rsidP="00450C83">
      <w:pPr>
        <w:jc w:val="both"/>
        <w:rPr>
          <w:b/>
          <w:sz w:val="24"/>
          <w:szCs w:val="24"/>
        </w:rPr>
      </w:pPr>
      <w:r w:rsidRPr="00450C83">
        <w:rPr>
          <w:b/>
          <w:sz w:val="24"/>
          <w:szCs w:val="24"/>
        </w:rPr>
        <w:t>ANSWER:</w:t>
      </w:r>
    </w:p>
    <w:p w14:paraId="5A68D5B4" w14:textId="2C2909B5" w:rsidR="005611BA" w:rsidRDefault="005611BA" w:rsidP="00450C83">
      <w:pPr>
        <w:jc w:val="both"/>
        <w:rPr>
          <w:b/>
          <w:sz w:val="24"/>
          <w:szCs w:val="24"/>
        </w:rPr>
      </w:pPr>
    </w:p>
    <w:p w14:paraId="0B460547" w14:textId="77777777" w:rsidR="005611BA" w:rsidRPr="005611BA" w:rsidRDefault="005611BA" w:rsidP="005611BA">
      <w:pPr>
        <w:overflowPunct/>
        <w:autoSpaceDE/>
        <w:autoSpaceDN/>
        <w:adjustRightInd/>
        <w:spacing w:after="160" w:line="360" w:lineRule="auto"/>
        <w:jc w:val="both"/>
        <w:textAlignment w:val="auto"/>
        <w:rPr>
          <w:rFonts w:ascii="Calibri" w:eastAsia="Arial" w:hAnsi="Calibri" w:cs="Times New Roman"/>
          <w:sz w:val="22"/>
          <w:szCs w:val="22"/>
          <w:lang w:eastAsia="en-US"/>
        </w:rPr>
      </w:pPr>
      <w:r w:rsidRPr="005611BA">
        <w:rPr>
          <w:rFonts w:ascii="Calibri" w:eastAsia="Calibri" w:hAnsi="Calibri" w:cs="Times New Roman"/>
          <w:color w:val="auto"/>
          <w:sz w:val="22"/>
          <w:szCs w:val="22"/>
          <w:lang w:eastAsia="en-US"/>
        </w:rPr>
        <w:t xml:space="preserve">For this essay I will be using </w:t>
      </w:r>
      <w:r w:rsidRPr="005611BA">
        <w:rPr>
          <w:rFonts w:ascii="Calibri" w:eastAsia="Arial" w:hAnsi="Calibri" w:cs="Times New Roman"/>
          <w:sz w:val="22"/>
          <w:szCs w:val="22"/>
          <w:lang w:eastAsia="en-US"/>
        </w:rPr>
        <w:t>Gibbs (1988) reflective cycle, to reflect and analyse policing an incident that I was involved in. During this incident I had to use communication skills, manage conflict and value differences and inclusion. Using this method will allow for positive criticism of my own work strategies and benefit me on future incidents. Firstly, I will provide a brief overview of the policing incident to provide context. I will then reflect on the incident and my role in dissolving the conflict.</w:t>
      </w:r>
    </w:p>
    <w:p w14:paraId="1845354F" w14:textId="77777777" w:rsidR="005611BA" w:rsidRPr="005611BA" w:rsidRDefault="005611BA" w:rsidP="005611BA">
      <w:pPr>
        <w:overflowPunct/>
        <w:autoSpaceDE/>
        <w:autoSpaceDN/>
        <w:adjustRightInd/>
        <w:spacing w:after="160" w:line="360" w:lineRule="auto"/>
        <w:jc w:val="both"/>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t xml:space="preserve">I was asked to attend a call as a grade one priority. The call was in relation to an ongoing disturbance at a home for vulnerable adults. During the journey to the location of the care home I was able to ask the control room for any additional information regarding the call. Control advised me that a call had come through from a member of staff, stating that a service user had lost control and smashed through the glass pane on the kitchen doors. He had then attacked staff resulting in them locking him in the living room area. The member of staff was not only concerned for their own safety and the </w:t>
      </w:r>
      <w:r w:rsidRPr="005611BA">
        <w:rPr>
          <w:rFonts w:ascii="Calibri" w:eastAsia="Calibri" w:hAnsi="Calibri" w:cs="Times New Roman"/>
          <w:color w:val="auto"/>
          <w:sz w:val="22"/>
          <w:szCs w:val="22"/>
          <w:lang w:eastAsia="en-US"/>
        </w:rPr>
        <w:lastRenderedPageBreak/>
        <w:t xml:space="preserve">safety of other staff but for the service user’s safety, as he had cut his arms while smashing the glass and was bleeding heavily. </w:t>
      </w:r>
    </w:p>
    <w:p w14:paraId="321ADA3D" w14:textId="77777777" w:rsidR="005611BA" w:rsidRPr="005611BA" w:rsidRDefault="005611BA" w:rsidP="005611BA">
      <w:pPr>
        <w:overflowPunct/>
        <w:autoSpaceDE/>
        <w:autoSpaceDN/>
        <w:adjustRightInd/>
        <w:spacing w:after="160" w:line="360" w:lineRule="auto"/>
        <w:jc w:val="both"/>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t xml:space="preserve">On attendance to the scene, I was greeted by staff from the home, they stated that the male inside the property had severe autism and was non-verbal, he reacts to body language and understands basic hand signals. The staff made me aware of two basic signals that the male uses, this consisted of pointing at objects that he may want, and if the male brought the palm of his hand to his mouth it suggesting that he was hungry. The male had been locked in the living room area of the property and could be heard banging at the doors and walls from outside. </w:t>
      </w:r>
    </w:p>
    <w:p w14:paraId="4B331506" w14:textId="77777777" w:rsidR="005611BA" w:rsidRPr="005611BA" w:rsidRDefault="005611BA" w:rsidP="005611BA">
      <w:pPr>
        <w:overflowPunct/>
        <w:autoSpaceDE/>
        <w:autoSpaceDN/>
        <w:adjustRightInd/>
        <w:spacing w:after="160" w:line="360" w:lineRule="auto"/>
        <w:jc w:val="both"/>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t xml:space="preserve">On entering the room I could see that the male was already uncomfortable and agitated as he was grinding his teeth and snarling in my direction. I raised my hands in front of my body and faced my open palms towards the male. Although I knew the male did not understand spoken words, I made sure to say that “everything is ok” trying to reassure him. Despite my best efforts at calming the male down he proceeded to charge at me. I was then forced to re-evaluate my strategy and had no other option but to use physical force, engaging in slight conflict with the male. As I had been trained in Officer Safety Week, I was able to restrain the male in a rear arm lock. Although the male continuously attempted to bite and lash out with his other arm I felt that I had him under control, and there was no need for pain compliance or pressure points.  When I felt that the male had stopped resisting and his breathing had slowed back to a normal rate I let the restraints go and stepped away from the male, so I could again re-evaluate my next approach. Although the male had engaged physically with me, I did not want to repeat that process, he did not understand that I was there to help and I needed to reflect this in my next approach. </w:t>
      </w:r>
    </w:p>
    <w:p w14:paraId="01BA703C" w14:textId="77777777" w:rsidR="005611BA" w:rsidRPr="005611BA" w:rsidRDefault="005611BA" w:rsidP="005611BA">
      <w:pPr>
        <w:overflowPunct/>
        <w:autoSpaceDE/>
        <w:autoSpaceDN/>
        <w:adjustRightInd/>
        <w:spacing w:after="160" w:line="360" w:lineRule="auto"/>
        <w:jc w:val="both"/>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t xml:space="preserve">At the point the male backed away from me, his one-to-one Nurse had arrived from the local hospital and entered the living room. In her hand was a chocolate biscuit that the male instantly recognised. This instantly de-escalated the male as he sat on the sofa and gesture that he was hungry. This allowed first aid to be applied on the male’s wounds and the remaining care staff to enter the room and begin cleaning the glass from the floor. The one-to-one nurse advised us that she was able to take over the incident and the police were no longer required. Care staff thanked us and advised that they did not want to support any criminal charges due to the male’s vulnerability and mental capacity and therefore no complaint or further action was made against the male. </w:t>
      </w:r>
    </w:p>
    <w:p w14:paraId="6870543C" w14:textId="77777777" w:rsidR="005611BA" w:rsidRPr="005611BA" w:rsidRDefault="005611BA" w:rsidP="005611BA">
      <w:pPr>
        <w:overflowPunct/>
        <w:autoSpaceDE/>
        <w:autoSpaceDN/>
        <w:adjustRightInd/>
        <w:spacing w:after="160" w:line="360" w:lineRule="auto"/>
        <w:jc w:val="both"/>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t xml:space="preserve">I feel that this incident produced numerous challenges due to the nature of the vulnerability of the male. I was also anxious at first as it was the first conflict I had been confronted with since joining the Police. I was aware that I was being assessed by the staff members and my tutor, this also built on my </w:t>
      </w:r>
      <w:r w:rsidRPr="005611BA">
        <w:rPr>
          <w:rFonts w:ascii="Calibri" w:eastAsia="Calibri" w:hAnsi="Calibri" w:cs="Times New Roman"/>
          <w:color w:val="auto"/>
          <w:sz w:val="22"/>
          <w:szCs w:val="22"/>
          <w:lang w:eastAsia="en-US"/>
        </w:rPr>
        <w:lastRenderedPageBreak/>
        <w:t>anxiety. Reflecting on Karpman’s (1968) drama triangle, the male had become both the persecutor and the victim. Although he had ultimately caused the damage and been the aggressor in the situation, he was also a vulnerable adult that had no concept or capacity to fully understand his actions and their consequences. The male was also injured and unable to aid with his own recovery, highlighting his vulnerability and victimhood. As part of the role of a Police Constable and considering the circumstances, I ultimately took the role of rescuer, as I was there to aid the male and de-escalate the situation and conflict.</w:t>
      </w:r>
    </w:p>
    <w:p w14:paraId="385C629B" w14:textId="77777777" w:rsidR="005611BA" w:rsidRPr="005611BA" w:rsidRDefault="005611BA" w:rsidP="005611BA">
      <w:pPr>
        <w:overflowPunct/>
        <w:autoSpaceDE/>
        <w:autoSpaceDN/>
        <w:adjustRightInd/>
        <w:spacing w:after="160" w:line="360" w:lineRule="auto"/>
        <w:jc w:val="both"/>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t xml:space="preserve">Communication is extremely important in a policing incident to ease and reassure victims and de-escalate conflict. I believe in this incident I was able to effectively use my tactical communication skills effectively to minimise the time spent using physical force. Although the male did not understand much verbal communication, I adapted my communication style to try and become more understandable to him. Upon reflection I had used Lashley’s (2009) verbal communication measures for individuals on the autistic spectrum: Address, direct, control input and praise. I addressed the male by his name (address), I then directed him to calm down and take a seat (direct), I made sure everyone was quiet not to take attention from my direction (control input) and finally gave praise when he calmed down and stopped being aggressive (praise). I also used non-verbal communication such as hand gestures and positive body language to reduce conflict, due to the males reduced verbal communication capabilities. These approaches enabled me to build a rapport with the male. I was also extremely conscious of not appearing judgemental or dismissive towards the male’s confusion and distress by ensuring my body language appeared calm and kind. I believe this helped avoid escalating the conflict and distress felt by the male. </w:t>
      </w:r>
    </w:p>
    <w:p w14:paraId="4B3FB8DD" w14:textId="77777777" w:rsidR="005611BA" w:rsidRPr="005611BA" w:rsidRDefault="005611BA" w:rsidP="005611BA">
      <w:pPr>
        <w:overflowPunct/>
        <w:autoSpaceDE/>
        <w:autoSpaceDN/>
        <w:adjustRightInd/>
        <w:spacing w:after="160" w:line="360" w:lineRule="auto"/>
        <w:jc w:val="both"/>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t xml:space="preserve">Alongside my communication attempts and building of rapport between me and the male, it became necessary to use force to aid in dissolving the conflict. Under the Criminal Law Act 1967 and the Police and Criminal Evidence Act 1984, the use of force and amount used was ‘reasonable’ to stop physical harm by restraining the male after exploring all possible non-violent means to reduce the conflict (College of Policing, 2021). It was unfortunate that had to use force but I also believe that the use of force used was justified, proportionate, legal, appropriate, necessary and ethical. Using the appropriate force ensured that no further distress and injury was caused to the male and by the male, this was a high priority for me and my tutor. This is emphasised as I received a letter of appreciation and thanks from the care home and the male’s family. The male’s vulnerability, as discussed above with his role within Karpman’s (1968) drama triangle, was a major factor to managing the conflict and approach that we adopted. Although he had caused damage, I was able to use Police discretion to ascertain a suitable outcome. </w:t>
      </w:r>
    </w:p>
    <w:p w14:paraId="66A3C6FB" w14:textId="77777777" w:rsidR="005611BA" w:rsidRPr="005611BA" w:rsidRDefault="005611BA" w:rsidP="005611BA">
      <w:pPr>
        <w:overflowPunct/>
        <w:autoSpaceDE/>
        <w:autoSpaceDN/>
        <w:adjustRightInd/>
        <w:spacing w:after="160" w:line="360" w:lineRule="auto"/>
        <w:jc w:val="both"/>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lastRenderedPageBreak/>
        <w:t xml:space="preserve">Moving forward it would benefit both the Police, the care home and the male, if the care home staff had additional training to deal with conflict situations. I feel that it would also benefit me personally and the police if additional training on dealing with disabilities and situations, where the perpetrator/victim had no capacity for understanding verbal command, was provided. This would allow for better understanding on different communication techniques for all parties involved and minimise time spent dealing with conflict. I would also benefit from educating myself on different disabilities that may cause similar issues, in order to understand the position of the perpetrator/subject and their needs. If a similar situation arose in the future, I feel I would be better prepared after dealing with this incident. However, I would take the time to speak with the designated one to one nurse, prior to arrival, to ascertain the best method for dealing with the subject. </w:t>
      </w:r>
    </w:p>
    <w:p w14:paraId="34157D13" w14:textId="77777777" w:rsidR="005611BA" w:rsidRPr="005611BA" w:rsidRDefault="005611BA" w:rsidP="005611B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t>Word Count: 1413</w:t>
      </w:r>
    </w:p>
    <w:p w14:paraId="376C1F57" w14:textId="77777777" w:rsidR="005611BA" w:rsidRPr="005611BA" w:rsidRDefault="005611BA" w:rsidP="005611BA">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5611BA">
        <w:rPr>
          <w:rFonts w:ascii="Calibri" w:eastAsia="Calibri" w:hAnsi="Calibri" w:cs="Times New Roman"/>
          <w:b/>
          <w:bCs/>
          <w:color w:val="auto"/>
          <w:sz w:val="22"/>
          <w:szCs w:val="22"/>
          <w:lang w:eastAsia="en-US"/>
        </w:rPr>
        <w:t xml:space="preserve">Reference List </w:t>
      </w:r>
    </w:p>
    <w:p w14:paraId="49FB137D" w14:textId="77777777" w:rsidR="005611BA" w:rsidRPr="005611BA" w:rsidRDefault="005611BA" w:rsidP="005611BA">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5611BA">
        <w:rPr>
          <w:rFonts w:ascii="Calibri" w:eastAsia="Calibri" w:hAnsi="Calibri" w:cs="Times New Roman"/>
          <w:color w:val="auto"/>
          <w:sz w:val="22"/>
          <w:szCs w:val="22"/>
          <w:lang w:eastAsia="en-US"/>
        </w:rPr>
        <w:t xml:space="preserve">College of Policing (2021) </w:t>
      </w:r>
      <w:r w:rsidRPr="005611BA">
        <w:rPr>
          <w:rFonts w:ascii="Calibri" w:eastAsia="Calibri" w:hAnsi="Calibri" w:cs="Times New Roman"/>
          <w:i/>
          <w:iCs/>
          <w:color w:val="auto"/>
          <w:sz w:val="22"/>
          <w:szCs w:val="22"/>
          <w:lang w:eastAsia="en-US"/>
        </w:rPr>
        <w:t xml:space="preserve">Police use of force. </w:t>
      </w:r>
      <w:r w:rsidRPr="005611BA">
        <w:rPr>
          <w:rFonts w:ascii="Calibri" w:eastAsia="Calibri" w:hAnsi="Calibri" w:cs="Times New Roman"/>
          <w:color w:val="auto"/>
          <w:sz w:val="22"/>
          <w:szCs w:val="22"/>
          <w:lang w:eastAsia="en-US"/>
        </w:rPr>
        <w:t xml:space="preserve">Available online at </w:t>
      </w:r>
      <w:hyperlink r:id="rId20" w:history="1">
        <w:r w:rsidRPr="005611BA">
          <w:rPr>
            <w:rFonts w:ascii="Calibri" w:eastAsia="Calibri" w:hAnsi="Calibri" w:cs="Times New Roman"/>
            <w:color w:val="0563C1"/>
            <w:sz w:val="22"/>
            <w:szCs w:val="22"/>
            <w:u w:val="single"/>
            <w:lang w:eastAsia="en-US"/>
          </w:rPr>
          <w:t>https://www.app.college.police.uk/app-content/public-order/core-principles-and-legislation/police-use-of-force/</w:t>
        </w:r>
      </w:hyperlink>
      <w:r w:rsidRPr="005611BA">
        <w:rPr>
          <w:rFonts w:ascii="Calibri" w:eastAsia="Calibri" w:hAnsi="Calibri" w:cs="Times New Roman"/>
          <w:color w:val="auto"/>
          <w:sz w:val="22"/>
          <w:szCs w:val="22"/>
          <w:lang w:eastAsia="en-US"/>
        </w:rPr>
        <w:t xml:space="preserve"> [Accessed on 1 September, 2021].</w:t>
      </w:r>
    </w:p>
    <w:p w14:paraId="402775CE" w14:textId="77777777" w:rsidR="005611BA" w:rsidRPr="005611BA" w:rsidRDefault="005611BA" w:rsidP="005611B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t xml:space="preserve">Criminal Law Act 1967, c. 58. Available online at </w:t>
      </w:r>
      <w:hyperlink r:id="rId21" w:history="1">
        <w:r w:rsidRPr="005611BA">
          <w:rPr>
            <w:rFonts w:ascii="Calibri" w:eastAsia="Calibri" w:hAnsi="Calibri" w:cs="Times New Roman"/>
            <w:color w:val="0563C1"/>
            <w:sz w:val="22"/>
            <w:szCs w:val="22"/>
            <w:u w:val="single"/>
            <w:lang w:eastAsia="en-US"/>
          </w:rPr>
          <w:t>https://www.legislation.gov.uk/ukpga/1967/58/contents</w:t>
        </w:r>
      </w:hyperlink>
      <w:r w:rsidRPr="005611BA">
        <w:rPr>
          <w:rFonts w:ascii="Calibri" w:eastAsia="Calibri" w:hAnsi="Calibri" w:cs="Times New Roman"/>
          <w:color w:val="auto"/>
          <w:sz w:val="22"/>
          <w:szCs w:val="22"/>
          <w:lang w:eastAsia="en-US"/>
        </w:rPr>
        <w:t xml:space="preserve"> [Accessed on 1 September, 2021].</w:t>
      </w:r>
    </w:p>
    <w:p w14:paraId="44DF400B" w14:textId="77777777" w:rsidR="005611BA" w:rsidRPr="005611BA" w:rsidRDefault="005611BA" w:rsidP="005611B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t>Gibbs, G. (1988). Learning by doing: A guide to teaching and learning methods. Oxford: Oxford Further Education Unit.</w:t>
      </w:r>
    </w:p>
    <w:p w14:paraId="43A8C887" w14:textId="77777777" w:rsidR="005611BA" w:rsidRPr="005611BA" w:rsidRDefault="005611BA" w:rsidP="005611B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t xml:space="preserve">Karpman, S. B. (1968) ‘Fairy tales and script drama analysis’, </w:t>
      </w:r>
      <w:r w:rsidRPr="005611BA">
        <w:rPr>
          <w:rFonts w:ascii="Calibri" w:eastAsia="Calibri" w:hAnsi="Calibri" w:cs="Times New Roman"/>
          <w:i/>
          <w:iCs/>
          <w:color w:val="auto"/>
          <w:sz w:val="22"/>
          <w:szCs w:val="22"/>
          <w:lang w:eastAsia="en-US"/>
        </w:rPr>
        <w:t>Transactional Analysis Bulletin</w:t>
      </w:r>
      <w:r w:rsidRPr="005611BA">
        <w:rPr>
          <w:rFonts w:ascii="Calibri" w:eastAsia="Calibri" w:hAnsi="Calibri" w:cs="Times New Roman"/>
          <w:color w:val="auto"/>
          <w:sz w:val="22"/>
          <w:szCs w:val="22"/>
          <w:lang w:eastAsia="en-US"/>
        </w:rPr>
        <w:t>, Vol. 7(26): 39–43.</w:t>
      </w:r>
    </w:p>
    <w:p w14:paraId="3D21B76A" w14:textId="77777777" w:rsidR="005611BA" w:rsidRPr="005611BA" w:rsidRDefault="005611BA" w:rsidP="005611B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t>Lashley, J. (2009). Autism spectrum disorders: A special needs subject response guide for police officers. </w:t>
      </w:r>
      <w:r w:rsidRPr="005611BA">
        <w:rPr>
          <w:rFonts w:ascii="Calibri" w:eastAsia="Calibri" w:hAnsi="Calibri" w:cs="Times New Roman"/>
          <w:i/>
          <w:iCs/>
          <w:color w:val="auto"/>
          <w:sz w:val="22"/>
          <w:szCs w:val="22"/>
          <w:lang w:eastAsia="en-US"/>
        </w:rPr>
        <w:t>Milwaukee: Children's Hospital and Health System</w:t>
      </w:r>
      <w:r w:rsidRPr="005611BA">
        <w:rPr>
          <w:rFonts w:ascii="Calibri" w:eastAsia="Calibri" w:hAnsi="Calibri" w:cs="Times New Roman"/>
          <w:color w:val="auto"/>
          <w:sz w:val="22"/>
          <w:szCs w:val="22"/>
          <w:lang w:eastAsia="en-US"/>
        </w:rPr>
        <w:t xml:space="preserve">. Available online at </w:t>
      </w:r>
      <w:hyperlink r:id="rId22" w:history="1">
        <w:r w:rsidRPr="005611BA">
          <w:rPr>
            <w:rFonts w:ascii="Calibri" w:eastAsia="Calibri" w:hAnsi="Calibri" w:cs="Times New Roman"/>
            <w:color w:val="0563C1"/>
            <w:sz w:val="22"/>
            <w:szCs w:val="22"/>
            <w:u w:val="single"/>
            <w:lang w:eastAsia="en-US"/>
          </w:rPr>
          <w:t>https://www.researchgate.net/profile/Joel-Lashley/publication/235996329_Autism_Spectrum_Disorders_A_Special_Needs_Subject_Response_Guide_for_Police_Officers_C/links/00b7d5155dd685d7c1000000/Autism-Spectrum-Disorders-A-Special-Needs-Subject-Response-Guide-for-Police-Officers-C.pdf</w:t>
        </w:r>
      </w:hyperlink>
      <w:r w:rsidRPr="005611BA">
        <w:rPr>
          <w:rFonts w:ascii="Calibri" w:eastAsia="Calibri" w:hAnsi="Calibri" w:cs="Times New Roman"/>
          <w:color w:val="auto"/>
          <w:sz w:val="22"/>
          <w:szCs w:val="22"/>
          <w:lang w:eastAsia="en-US"/>
        </w:rPr>
        <w:t xml:space="preserve"> [Accessed on 31 August, 2021].</w:t>
      </w:r>
    </w:p>
    <w:p w14:paraId="51862537" w14:textId="77777777" w:rsidR="005611BA" w:rsidRPr="005611BA" w:rsidRDefault="005611BA" w:rsidP="005611BA">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t xml:space="preserve">Police and Criminal Evidence Act 1984, c. 60. Available online at </w:t>
      </w:r>
      <w:hyperlink r:id="rId23" w:history="1">
        <w:r w:rsidRPr="005611BA">
          <w:rPr>
            <w:rFonts w:ascii="Calibri" w:eastAsia="Calibri" w:hAnsi="Calibri" w:cs="Times New Roman"/>
            <w:color w:val="0563C1"/>
            <w:sz w:val="22"/>
            <w:szCs w:val="22"/>
            <w:u w:val="single"/>
            <w:lang w:eastAsia="en-US"/>
          </w:rPr>
          <w:t>https://www.legislation.gov.uk/ukpga/1984/60/contents</w:t>
        </w:r>
      </w:hyperlink>
      <w:r w:rsidRPr="005611BA">
        <w:rPr>
          <w:rFonts w:ascii="Calibri" w:eastAsia="Calibri" w:hAnsi="Calibri" w:cs="Times New Roman"/>
          <w:color w:val="auto"/>
          <w:sz w:val="22"/>
          <w:szCs w:val="22"/>
          <w:lang w:eastAsia="en-US"/>
        </w:rPr>
        <w:t xml:space="preserve"> [Accessed on 1 September, 2021].</w:t>
      </w:r>
    </w:p>
    <w:p w14:paraId="224E824E" w14:textId="77777777" w:rsidR="005611BA" w:rsidRPr="005611BA" w:rsidRDefault="005611BA" w:rsidP="005611BA">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3D663A66" w14:textId="77777777" w:rsidR="005611BA" w:rsidRPr="00450C83" w:rsidRDefault="005611BA" w:rsidP="00450C83">
      <w:pPr>
        <w:jc w:val="both"/>
        <w:rPr>
          <w:b/>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5EDDF9" w14:textId="77777777" w:rsidR="004E0D1C" w:rsidRPr="004E0D1C" w:rsidRDefault="004E0D1C" w:rsidP="004E0D1C">
      <w:pPr>
        <w:spacing w:line="360" w:lineRule="auto"/>
        <w:jc w:val="both"/>
        <w:rPr>
          <w:rFonts w:ascii="Calibri" w:hAnsi="Calibri" w:cs="Calibri"/>
          <w:sz w:val="22"/>
          <w:szCs w:val="22"/>
        </w:rPr>
      </w:pPr>
      <w:r w:rsidRPr="004E0D1C">
        <w:rPr>
          <w:rFonts w:ascii="Calibri" w:hAnsi="Calibri" w:cs="Calibri"/>
          <w:sz w:val="22"/>
          <w:szCs w:val="22"/>
        </w:rPr>
        <w:t xml:space="preserve">During this essay I will be using the Gibbs (1988) Reflective Cycle practice to analyse an incident that I was involved with where criminal justice, valuing difference and inclusion were key factors to the incident. Using this reflective method will assist in analysing the incident, outcomes and allow for effective learning for future incidents. I will do this by providing a description of the incident and then a reflect on my engagement and decision making towards handling a hate crime incident. </w:t>
      </w:r>
    </w:p>
    <w:p w14:paraId="28767300" w14:textId="77777777" w:rsidR="004E0D1C" w:rsidRPr="004E0D1C" w:rsidRDefault="004E0D1C" w:rsidP="004E0D1C">
      <w:pPr>
        <w:spacing w:line="360" w:lineRule="auto"/>
        <w:jc w:val="both"/>
        <w:rPr>
          <w:rFonts w:ascii="Calibri" w:hAnsi="Calibri" w:cs="Calibri"/>
          <w:sz w:val="22"/>
          <w:szCs w:val="22"/>
          <w:u w:val="single"/>
        </w:rPr>
      </w:pPr>
    </w:p>
    <w:p w14:paraId="63267CCC" w14:textId="77777777" w:rsidR="004E0D1C" w:rsidRPr="004E0D1C" w:rsidRDefault="004E0D1C" w:rsidP="004E0D1C">
      <w:pPr>
        <w:spacing w:line="360" w:lineRule="auto"/>
        <w:jc w:val="both"/>
        <w:rPr>
          <w:rFonts w:ascii="Calibri" w:hAnsi="Calibri" w:cs="Calibri"/>
          <w:sz w:val="22"/>
          <w:szCs w:val="22"/>
        </w:rPr>
      </w:pPr>
      <w:r w:rsidRPr="004E0D1C">
        <w:rPr>
          <w:rFonts w:ascii="Calibri" w:hAnsi="Calibri" w:cs="Calibri"/>
          <w:sz w:val="22"/>
          <w:szCs w:val="22"/>
        </w:rPr>
        <w:t>I had been asked to attend a call along with my tutor, relating to a possible hate crime that had occurred earlier that evening. The call had come from an Asian male stating that he had stopped at the cash point on the way home from work, and been approached by his partners brother who had yelled racial abuse at him. The suspect was heard saying the words “</w:t>
      </w:r>
      <w:r w:rsidRPr="004E0D1C">
        <w:rPr>
          <w:rFonts w:ascii="Calibri" w:hAnsi="Calibri" w:cs="Calibri"/>
          <w:i/>
          <w:iCs/>
          <w:sz w:val="22"/>
          <w:szCs w:val="22"/>
        </w:rPr>
        <w:t>Go back to your own country.”</w:t>
      </w:r>
    </w:p>
    <w:p w14:paraId="568E87FB" w14:textId="77777777" w:rsidR="004E0D1C" w:rsidRPr="004E0D1C" w:rsidRDefault="004E0D1C" w:rsidP="004E0D1C">
      <w:pPr>
        <w:spacing w:line="360" w:lineRule="auto"/>
        <w:jc w:val="both"/>
        <w:rPr>
          <w:rFonts w:ascii="Calibri" w:hAnsi="Calibri" w:cs="Calibri"/>
          <w:sz w:val="22"/>
          <w:szCs w:val="22"/>
        </w:rPr>
      </w:pPr>
      <w:r w:rsidRPr="004E0D1C">
        <w:rPr>
          <w:rFonts w:ascii="Calibri" w:hAnsi="Calibri" w:cs="Calibri"/>
          <w:sz w:val="22"/>
          <w:szCs w:val="22"/>
        </w:rPr>
        <w:t xml:space="preserve">This had been an ongoing issue for the victim as he had reported similar incidents over the previous two years. Hate crimes are understood by the police and CPS as </w:t>
      </w:r>
    </w:p>
    <w:p w14:paraId="35039B46" w14:textId="77777777" w:rsidR="004E0D1C" w:rsidRPr="004E0D1C" w:rsidRDefault="004E0D1C" w:rsidP="004E0D1C">
      <w:pPr>
        <w:spacing w:line="360" w:lineRule="auto"/>
        <w:jc w:val="both"/>
        <w:rPr>
          <w:rFonts w:ascii="Calibri" w:hAnsi="Calibri" w:cs="Calibri"/>
          <w:sz w:val="22"/>
          <w:szCs w:val="22"/>
        </w:rPr>
      </w:pPr>
    </w:p>
    <w:p w14:paraId="6668A644" w14:textId="77777777" w:rsidR="004E0D1C" w:rsidRPr="004E0D1C" w:rsidRDefault="004E0D1C" w:rsidP="004E0D1C">
      <w:pPr>
        <w:spacing w:line="360" w:lineRule="auto"/>
        <w:jc w:val="both"/>
        <w:rPr>
          <w:rFonts w:ascii="Calibri" w:hAnsi="Calibri" w:cs="Calibri"/>
          <w:i/>
          <w:iCs/>
          <w:sz w:val="22"/>
          <w:szCs w:val="22"/>
        </w:rPr>
      </w:pPr>
      <w:r w:rsidRPr="004E0D1C">
        <w:rPr>
          <w:rFonts w:ascii="Calibri" w:hAnsi="Calibri" w:cs="Calibri"/>
          <w:i/>
          <w:iCs/>
          <w:sz w:val="22"/>
          <w:szCs w:val="22"/>
        </w:rPr>
        <w:lastRenderedPageBreak/>
        <w:t xml:space="preserve">"Any criminal offence which is perceived by the victim or any other person, to be motivated by hostility or prejudice, based on a person's disability or perceived disability; race or perceived race; or religion or perceived religion; or sexual orientation or perceived sexual orientation or transgender identity or perceived transgender identity." </w:t>
      </w:r>
      <w:r w:rsidRPr="004E0D1C">
        <w:rPr>
          <w:rFonts w:ascii="Calibri" w:hAnsi="Calibri" w:cs="Calibri"/>
          <w:sz w:val="22"/>
          <w:szCs w:val="22"/>
        </w:rPr>
        <w:t>(Crown Prosecution Service, n.d.)</w:t>
      </w:r>
    </w:p>
    <w:p w14:paraId="57BF76BD" w14:textId="77777777" w:rsidR="004E0D1C" w:rsidRPr="004E0D1C" w:rsidRDefault="004E0D1C" w:rsidP="004E0D1C">
      <w:pPr>
        <w:spacing w:line="360" w:lineRule="auto"/>
        <w:jc w:val="both"/>
        <w:rPr>
          <w:rFonts w:ascii="Calibri" w:hAnsi="Calibri" w:cs="Calibri"/>
          <w:i/>
          <w:iCs/>
          <w:sz w:val="22"/>
          <w:szCs w:val="22"/>
        </w:rPr>
      </w:pPr>
    </w:p>
    <w:p w14:paraId="673B0A0C" w14:textId="77777777" w:rsidR="004E0D1C" w:rsidRPr="004E0D1C" w:rsidRDefault="004E0D1C" w:rsidP="004E0D1C">
      <w:pPr>
        <w:shd w:val="clear" w:color="auto" w:fill="FFFFFF"/>
        <w:overflowPunct/>
        <w:autoSpaceDE/>
        <w:autoSpaceDN/>
        <w:adjustRightInd/>
        <w:spacing w:after="285" w:line="360" w:lineRule="auto"/>
        <w:textAlignment w:val="auto"/>
        <w:rPr>
          <w:rFonts w:ascii="Calibri" w:hAnsi="Calibri" w:cs="Calibri"/>
          <w:bCs/>
          <w:iCs/>
          <w:color w:val="0B0C0C"/>
          <w:sz w:val="22"/>
          <w:szCs w:val="22"/>
        </w:rPr>
      </w:pPr>
      <w:r w:rsidRPr="004E0D1C">
        <w:rPr>
          <w:rFonts w:ascii="Calibri" w:hAnsi="Calibri" w:cs="Calibri"/>
          <w:bCs/>
          <w:iCs/>
          <w:color w:val="0B0C0C"/>
          <w:sz w:val="22"/>
          <w:szCs w:val="22"/>
        </w:rPr>
        <w:t>The government recognise that a hate crime can include verbal abuse rooted in prejudice and hostility towards victims based on the protected characteristics mentioned above (HM Government, n.d.). The mentioned above incident can therefore be classed as a racially motivated hate crime</w:t>
      </w:r>
      <w:r w:rsidRPr="004E0D1C">
        <w:rPr>
          <w:rFonts w:ascii="Calibri" w:hAnsi="Calibri" w:cs="Calibri"/>
          <w:bCs/>
          <w:i/>
          <w:color w:val="0B0C0C"/>
          <w:sz w:val="22"/>
          <w:szCs w:val="22"/>
        </w:rPr>
        <w:t xml:space="preserve">. </w:t>
      </w:r>
    </w:p>
    <w:p w14:paraId="5EFD62F2" w14:textId="77777777" w:rsidR="004E0D1C" w:rsidRPr="004E0D1C" w:rsidRDefault="004E0D1C" w:rsidP="004E0D1C">
      <w:pPr>
        <w:shd w:val="clear" w:color="auto" w:fill="FFFFFF"/>
        <w:overflowPunct/>
        <w:autoSpaceDE/>
        <w:autoSpaceDN/>
        <w:adjustRightInd/>
        <w:spacing w:line="360" w:lineRule="auto"/>
        <w:textAlignment w:val="auto"/>
        <w:rPr>
          <w:rFonts w:ascii="Calibri" w:hAnsi="Calibri" w:cs="Calibri"/>
          <w:color w:val="0B0C0C"/>
          <w:sz w:val="22"/>
          <w:szCs w:val="22"/>
        </w:rPr>
      </w:pPr>
      <w:r w:rsidRPr="004E0D1C">
        <w:rPr>
          <w:rFonts w:ascii="Calibri" w:hAnsi="Calibri" w:cs="Calibri"/>
          <w:color w:val="0B0C0C"/>
          <w:sz w:val="22"/>
          <w:szCs w:val="22"/>
        </w:rPr>
        <w:t xml:space="preserve">The call handler advised the victim to return home lock his doors and not to engage with the suspect. </w:t>
      </w:r>
    </w:p>
    <w:p w14:paraId="39C9D008" w14:textId="77777777" w:rsidR="004E0D1C" w:rsidRPr="004E0D1C" w:rsidRDefault="004E0D1C" w:rsidP="004E0D1C">
      <w:pPr>
        <w:shd w:val="clear" w:color="auto" w:fill="FFFFFF"/>
        <w:overflowPunct/>
        <w:autoSpaceDE/>
        <w:autoSpaceDN/>
        <w:adjustRightInd/>
        <w:spacing w:line="360" w:lineRule="auto"/>
        <w:textAlignment w:val="auto"/>
        <w:rPr>
          <w:rFonts w:ascii="Calibri" w:hAnsi="Calibri" w:cs="Calibri"/>
          <w:color w:val="0B0C0C"/>
          <w:sz w:val="22"/>
          <w:szCs w:val="22"/>
        </w:rPr>
      </w:pPr>
      <w:r w:rsidRPr="004E0D1C">
        <w:rPr>
          <w:rFonts w:ascii="Calibri" w:hAnsi="Calibri" w:cs="Calibri"/>
          <w:color w:val="0B0C0C"/>
          <w:sz w:val="22"/>
          <w:szCs w:val="22"/>
        </w:rPr>
        <w:t xml:space="preserve">The victim and his wife were at their home property on my attendance. They disclosed to myself that they had both been receiving abuse from the family of the wife since she had converted to the Muslim religion and married her husband two years previous. The wife had been born in to a white Cristian family that lived in a small village with little to no ethnic diversity. She stated that she had found comfort and joy, not only when she found met her husband but was introduce to the Muslim community. They stated that since the marriage it had been a constant stream of racial abuse and bigotry. It seemed to them the only option going forward was to move away to a more ethnically diverse community where they could live without fear of abuse and harassment, and not be judged on their religious beliefs. </w:t>
      </w:r>
    </w:p>
    <w:p w14:paraId="0E3E8EE3" w14:textId="77777777" w:rsidR="004E0D1C" w:rsidRPr="004E0D1C" w:rsidRDefault="004E0D1C" w:rsidP="004E0D1C">
      <w:pPr>
        <w:shd w:val="clear" w:color="auto" w:fill="FFFFFF"/>
        <w:overflowPunct/>
        <w:autoSpaceDE/>
        <w:autoSpaceDN/>
        <w:adjustRightInd/>
        <w:spacing w:line="360" w:lineRule="auto"/>
        <w:textAlignment w:val="auto"/>
        <w:rPr>
          <w:rFonts w:ascii="Calibri" w:hAnsi="Calibri" w:cs="Calibri"/>
          <w:color w:val="0B0C0C"/>
          <w:sz w:val="22"/>
          <w:szCs w:val="22"/>
        </w:rPr>
      </w:pPr>
    </w:p>
    <w:p w14:paraId="10FC54FD" w14:textId="77777777" w:rsidR="004E0D1C" w:rsidRPr="004E0D1C" w:rsidRDefault="004E0D1C" w:rsidP="004E0D1C">
      <w:pPr>
        <w:shd w:val="clear" w:color="auto" w:fill="FFFFFF"/>
        <w:overflowPunct/>
        <w:autoSpaceDE/>
        <w:autoSpaceDN/>
        <w:adjustRightInd/>
        <w:spacing w:line="360" w:lineRule="auto"/>
        <w:textAlignment w:val="auto"/>
        <w:rPr>
          <w:rFonts w:ascii="Calibri" w:hAnsi="Calibri" w:cs="Calibri"/>
          <w:color w:val="0B0C0C"/>
          <w:sz w:val="22"/>
          <w:szCs w:val="22"/>
        </w:rPr>
      </w:pPr>
      <w:r w:rsidRPr="004E0D1C">
        <w:rPr>
          <w:rFonts w:ascii="Calibri" w:hAnsi="Calibri" w:cs="Calibri"/>
          <w:color w:val="0B0C0C"/>
          <w:sz w:val="22"/>
          <w:szCs w:val="22"/>
        </w:rPr>
        <w:t xml:space="preserve">After the disclosure form the couple, it was now apparent that both were victims of crime. Not only was there a case of a racial hate against the husband, but a religious hate aspect targeted at both of them. In line with the </w:t>
      </w:r>
      <w:r w:rsidRPr="004E0D1C">
        <w:rPr>
          <w:rFonts w:ascii="Calibri" w:hAnsi="Calibri" w:cs="Calibri"/>
          <w:bCs/>
          <w:color w:val="0B0C0C"/>
          <w:sz w:val="22"/>
          <w:szCs w:val="22"/>
        </w:rPr>
        <w:t>victims of crime code of practice section</w:t>
      </w:r>
      <w:r w:rsidRPr="004E0D1C">
        <w:rPr>
          <w:rFonts w:ascii="Calibri" w:hAnsi="Calibri" w:cs="Calibri"/>
          <w:color w:val="0B0C0C"/>
          <w:sz w:val="22"/>
          <w:szCs w:val="22"/>
        </w:rPr>
        <w:t xml:space="preserve"> 1 it was important that I fully understood what they disclosed and required of the police and what police could provide going forward (Ministry of Justice, 2020). I proceeded to take statement from each of them individually and gave them options of victim support that was available, in line </w:t>
      </w:r>
      <w:r w:rsidRPr="004E0D1C">
        <w:rPr>
          <w:rFonts w:ascii="Calibri" w:hAnsi="Calibri" w:cs="Calibri"/>
          <w:bCs/>
          <w:color w:val="0B0C0C"/>
          <w:sz w:val="22"/>
          <w:szCs w:val="22"/>
        </w:rPr>
        <w:t>with victims of crime section 7</w:t>
      </w:r>
      <w:r w:rsidRPr="004E0D1C">
        <w:rPr>
          <w:rFonts w:ascii="Calibri" w:hAnsi="Calibri" w:cs="Calibri"/>
          <w:b/>
          <w:color w:val="0B0C0C"/>
          <w:sz w:val="22"/>
          <w:szCs w:val="22"/>
        </w:rPr>
        <w:t xml:space="preserve"> </w:t>
      </w:r>
      <w:r w:rsidRPr="004E0D1C">
        <w:rPr>
          <w:rFonts w:ascii="Calibri" w:hAnsi="Calibri" w:cs="Calibri"/>
          <w:bCs/>
          <w:color w:val="0B0C0C"/>
          <w:sz w:val="22"/>
          <w:szCs w:val="22"/>
        </w:rPr>
        <w:t>(Ministry of Justice, 2020),</w:t>
      </w:r>
      <w:r w:rsidRPr="004E0D1C">
        <w:rPr>
          <w:rFonts w:ascii="Calibri" w:hAnsi="Calibri" w:cs="Calibri"/>
          <w:color w:val="0B0C0C"/>
          <w:sz w:val="22"/>
          <w:szCs w:val="22"/>
        </w:rPr>
        <w:t xml:space="preserve"> I provided them with an opportunity to make a victim personal statement, they accepted but wanted to allow for the case to progress before giving a statement of that affect as they were unsure of how the next case would affect them going forward. I ensured that couple that the behaviour of the family was not acceptable and it was unfair that they should live in fear. This also reflects transparency and integrity values of policing, as I made proceedings clear to the victim (College of Policing, 2016). I stated that they had the right to live wherever they </w:t>
      </w:r>
      <w:r w:rsidRPr="004E0D1C">
        <w:rPr>
          <w:rFonts w:ascii="Calibri" w:hAnsi="Calibri" w:cs="Calibri"/>
          <w:color w:val="0B0C0C"/>
          <w:sz w:val="22"/>
          <w:szCs w:val="22"/>
        </w:rPr>
        <w:lastRenderedPageBreak/>
        <w:t xml:space="preserve">deemed suitable for their family and should not receive criticism for any protected characteristic no matter how diverse the community was. </w:t>
      </w:r>
    </w:p>
    <w:p w14:paraId="3B551C11" w14:textId="77777777" w:rsidR="004E0D1C" w:rsidRPr="004E0D1C" w:rsidRDefault="004E0D1C" w:rsidP="004E0D1C">
      <w:pPr>
        <w:shd w:val="clear" w:color="auto" w:fill="FFFFFF"/>
        <w:overflowPunct/>
        <w:autoSpaceDE/>
        <w:autoSpaceDN/>
        <w:adjustRightInd/>
        <w:spacing w:line="360" w:lineRule="auto"/>
        <w:textAlignment w:val="auto"/>
        <w:rPr>
          <w:rFonts w:ascii="Calibri" w:hAnsi="Calibri" w:cs="Calibri"/>
          <w:color w:val="0B0C0C"/>
          <w:sz w:val="22"/>
          <w:szCs w:val="22"/>
        </w:rPr>
      </w:pPr>
    </w:p>
    <w:p w14:paraId="4B228DD2" w14:textId="77777777" w:rsidR="004E0D1C" w:rsidRPr="004E0D1C" w:rsidRDefault="004E0D1C" w:rsidP="004E0D1C">
      <w:pPr>
        <w:shd w:val="clear" w:color="auto" w:fill="FFFFFF"/>
        <w:overflowPunct/>
        <w:autoSpaceDE/>
        <w:autoSpaceDN/>
        <w:adjustRightInd/>
        <w:spacing w:line="360" w:lineRule="auto"/>
        <w:textAlignment w:val="auto"/>
        <w:rPr>
          <w:rFonts w:ascii="Calibri" w:hAnsi="Calibri" w:cs="Calibri"/>
          <w:color w:val="0B0C0C"/>
          <w:sz w:val="22"/>
          <w:szCs w:val="22"/>
        </w:rPr>
      </w:pPr>
      <w:r w:rsidRPr="004E0D1C">
        <w:rPr>
          <w:rFonts w:ascii="Calibri" w:hAnsi="Calibri" w:cs="Calibri"/>
          <w:color w:val="0B0C0C"/>
          <w:sz w:val="22"/>
          <w:szCs w:val="22"/>
        </w:rPr>
        <w:t xml:space="preserve">Considering what had been disclosed and gathering CCTV evidence from the cash point and text messages received on the couple’s phone. I contacted my Sargent to update him on the situation. Giving the evidence provided, my Sargent authorised arrest enquiries for the brother of the victim. </w:t>
      </w:r>
    </w:p>
    <w:p w14:paraId="07A77C5F" w14:textId="77777777" w:rsidR="004E0D1C" w:rsidRPr="004E0D1C" w:rsidRDefault="004E0D1C" w:rsidP="004E0D1C">
      <w:pPr>
        <w:shd w:val="clear" w:color="auto" w:fill="FFFFFF"/>
        <w:overflowPunct/>
        <w:autoSpaceDE/>
        <w:autoSpaceDN/>
        <w:adjustRightInd/>
        <w:spacing w:line="360" w:lineRule="auto"/>
        <w:textAlignment w:val="auto"/>
        <w:rPr>
          <w:rFonts w:ascii="Calibri" w:hAnsi="Calibri" w:cs="Calibri"/>
          <w:color w:val="0B0C0C"/>
          <w:sz w:val="22"/>
          <w:szCs w:val="22"/>
        </w:rPr>
      </w:pPr>
      <w:r w:rsidRPr="004E0D1C">
        <w:rPr>
          <w:rFonts w:ascii="Calibri" w:hAnsi="Calibri" w:cs="Calibri"/>
          <w:color w:val="0B0C0C"/>
          <w:sz w:val="22"/>
          <w:szCs w:val="22"/>
        </w:rPr>
        <w:t>An effective arrest was consequently made and the male in question provide a significant statement after caution, “I can’t believe that Paki is getting me arrested.” The necessity of arrest was to conduct a prompt and effective investigation and to protect a vulnerable person. The male was then conveyed to custody. The decision to arrest reflected the policing value of public service. I felt that it was in the publics interest for this individual to be arrested as it increased the wellbeing and safety of individuals in the community (College of Policing, 2016).</w:t>
      </w:r>
    </w:p>
    <w:p w14:paraId="3F5AFC23" w14:textId="77777777" w:rsidR="004E0D1C" w:rsidRPr="004E0D1C" w:rsidRDefault="004E0D1C" w:rsidP="004E0D1C">
      <w:pPr>
        <w:shd w:val="clear" w:color="auto" w:fill="FFFFFF"/>
        <w:overflowPunct/>
        <w:autoSpaceDE/>
        <w:autoSpaceDN/>
        <w:adjustRightInd/>
        <w:spacing w:line="360" w:lineRule="auto"/>
        <w:textAlignment w:val="auto"/>
        <w:rPr>
          <w:rFonts w:ascii="Calibri" w:hAnsi="Calibri" w:cs="Calibri"/>
          <w:color w:val="0B0C0C"/>
          <w:sz w:val="22"/>
          <w:szCs w:val="22"/>
        </w:rPr>
      </w:pPr>
    </w:p>
    <w:p w14:paraId="2087AA53" w14:textId="77777777" w:rsidR="004E0D1C" w:rsidRPr="004E0D1C" w:rsidRDefault="004E0D1C" w:rsidP="004E0D1C">
      <w:pPr>
        <w:shd w:val="clear" w:color="auto" w:fill="FFFFFF"/>
        <w:overflowPunct/>
        <w:autoSpaceDE/>
        <w:autoSpaceDN/>
        <w:adjustRightInd/>
        <w:spacing w:line="360" w:lineRule="auto"/>
        <w:textAlignment w:val="auto"/>
        <w:rPr>
          <w:rFonts w:ascii="Calibri" w:hAnsi="Calibri" w:cs="Calibri"/>
          <w:color w:val="0B0C0C"/>
          <w:sz w:val="22"/>
          <w:szCs w:val="22"/>
        </w:rPr>
      </w:pPr>
      <w:r w:rsidRPr="004E0D1C">
        <w:rPr>
          <w:rFonts w:ascii="Calibri" w:hAnsi="Calibri" w:cs="Calibri"/>
          <w:color w:val="0B0C0C"/>
          <w:sz w:val="22"/>
          <w:szCs w:val="22"/>
        </w:rPr>
        <w:t xml:space="preserve">Following his arrest the male was charged and released with bail conditions pending a cps decision. The bail conditions included no contact to his sister and her husband, directly or indirectly. This was of great relief to the victims as they felt they would gain some rest bite from the abuse and although the final decision was yet to be decided they had begun to receive some justice for what they had been victim to.  </w:t>
      </w:r>
    </w:p>
    <w:p w14:paraId="0F9E034E" w14:textId="77777777" w:rsidR="004E0D1C" w:rsidRPr="004E0D1C" w:rsidRDefault="004E0D1C" w:rsidP="004E0D1C">
      <w:pPr>
        <w:shd w:val="clear" w:color="auto" w:fill="FFFFFF"/>
        <w:overflowPunct/>
        <w:autoSpaceDE/>
        <w:autoSpaceDN/>
        <w:adjustRightInd/>
        <w:spacing w:line="360" w:lineRule="auto"/>
        <w:textAlignment w:val="auto"/>
        <w:rPr>
          <w:rFonts w:ascii="Calibri" w:hAnsi="Calibri" w:cs="Calibri"/>
          <w:color w:val="0B0C0C"/>
          <w:sz w:val="22"/>
          <w:szCs w:val="22"/>
        </w:rPr>
      </w:pPr>
    </w:p>
    <w:p w14:paraId="3BF16FF3" w14:textId="77777777" w:rsidR="004E0D1C" w:rsidRPr="004E0D1C" w:rsidRDefault="004E0D1C" w:rsidP="004E0D1C">
      <w:pPr>
        <w:shd w:val="clear" w:color="auto" w:fill="FFFFFF"/>
        <w:overflowPunct/>
        <w:autoSpaceDE/>
        <w:autoSpaceDN/>
        <w:adjustRightInd/>
        <w:spacing w:line="360" w:lineRule="auto"/>
        <w:textAlignment w:val="auto"/>
        <w:rPr>
          <w:rFonts w:ascii="Calibri" w:hAnsi="Calibri" w:cs="Calibri"/>
          <w:color w:val="0B0C0C"/>
          <w:sz w:val="22"/>
          <w:szCs w:val="22"/>
        </w:rPr>
      </w:pPr>
      <w:r w:rsidRPr="004E0D1C">
        <w:rPr>
          <w:rFonts w:ascii="Calibri" w:hAnsi="Calibri" w:cs="Calibri"/>
          <w:color w:val="0B0C0C"/>
          <w:sz w:val="22"/>
          <w:szCs w:val="22"/>
        </w:rPr>
        <w:t xml:space="preserve">I felt that in this day and age this type of crime is completely unjustified. Although there are some areas of the country with little to no ethnic diversity it should still be vital that the education system and family upbringing should eradicate this type of thinking. I am in disbelief that people can attack others for their protected characteristics, and even concern themselves with how other people decide to live their lives. I believe that everyone is entitled to live how they deem fit, providing they stay within the boundaries of the law and are accepting that everyone is entitled to their own beliefs and choices. </w:t>
      </w:r>
    </w:p>
    <w:p w14:paraId="386081FD" w14:textId="77777777" w:rsidR="004E0D1C" w:rsidRPr="004E0D1C" w:rsidRDefault="004E0D1C" w:rsidP="004E0D1C">
      <w:pPr>
        <w:shd w:val="clear" w:color="auto" w:fill="FFFFFF"/>
        <w:overflowPunct/>
        <w:autoSpaceDE/>
        <w:autoSpaceDN/>
        <w:adjustRightInd/>
        <w:spacing w:line="360" w:lineRule="auto"/>
        <w:textAlignment w:val="auto"/>
        <w:rPr>
          <w:rFonts w:ascii="Calibri" w:hAnsi="Calibri" w:cs="Calibri"/>
          <w:color w:val="0B0C0C"/>
          <w:sz w:val="22"/>
          <w:szCs w:val="22"/>
        </w:rPr>
      </w:pPr>
    </w:p>
    <w:p w14:paraId="6967900A" w14:textId="77777777" w:rsidR="004E0D1C" w:rsidRPr="004E0D1C" w:rsidRDefault="004E0D1C" w:rsidP="004E0D1C">
      <w:pPr>
        <w:shd w:val="clear" w:color="auto" w:fill="FFFFFF"/>
        <w:overflowPunct/>
        <w:autoSpaceDE/>
        <w:autoSpaceDN/>
        <w:adjustRightInd/>
        <w:spacing w:line="360" w:lineRule="auto"/>
        <w:textAlignment w:val="auto"/>
        <w:rPr>
          <w:rFonts w:ascii="Calibri" w:hAnsi="Calibri" w:cs="Calibri"/>
          <w:color w:val="0B0C0C"/>
          <w:sz w:val="22"/>
          <w:szCs w:val="22"/>
        </w:rPr>
      </w:pPr>
      <w:r w:rsidRPr="004E0D1C">
        <w:rPr>
          <w:rFonts w:ascii="Calibri" w:hAnsi="Calibri" w:cs="Calibri"/>
          <w:color w:val="0B0C0C"/>
          <w:sz w:val="22"/>
          <w:szCs w:val="22"/>
        </w:rPr>
        <w:t>The prompt gathering of evidence and investigation were key elements to making the arrest in this case. This in turn give the victims a positive outlook on the police and the criminal justice system. On a negative point the couple still must await a final decision on the case and still do not feel safe on the area they live. This is highly disappointing as they are nice people and the community would benefit from their inclusion. During this investigation key elements of the police code of practice were covered including impartiality, transparency and public service</w:t>
      </w:r>
      <w:r w:rsidRPr="004E0D1C">
        <w:rPr>
          <w:rFonts w:ascii="Calibri" w:hAnsi="Calibri" w:cs="Calibri"/>
          <w:bCs/>
          <w:color w:val="0B0C0C"/>
          <w:sz w:val="22"/>
          <w:szCs w:val="22"/>
        </w:rPr>
        <w:t xml:space="preserve"> (College of Policing, 2016).</w:t>
      </w:r>
    </w:p>
    <w:p w14:paraId="450DB443" w14:textId="77777777" w:rsidR="004E0D1C" w:rsidRPr="004E0D1C" w:rsidRDefault="004E0D1C" w:rsidP="004E0D1C">
      <w:pPr>
        <w:shd w:val="clear" w:color="auto" w:fill="FFFFFF"/>
        <w:overflowPunct/>
        <w:autoSpaceDE/>
        <w:autoSpaceDN/>
        <w:adjustRightInd/>
        <w:spacing w:line="360" w:lineRule="auto"/>
        <w:textAlignment w:val="auto"/>
        <w:rPr>
          <w:rFonts w:ascii="Calibri" w:hAnsi="Calibri" w:cs="Calibri"/>
          <w:color w:val="0B0C0C"/>
          <w:sz w:val="22"/>
          <w:szCs w:val="22"/>
        </w:rPr>
      </w:pPr>
    </w:p>
    <w:p w14:paraId="39C94602" w14:textId="77777777" w:rsidR="004E0D1C" w:rsidRPr="004E0D1C" w:rsidRDefault="004E0D1C" w:rsidP="004E0D1C">
      <w:pPr>
        <w:shd w:val="clear" w:color="auto" w:fill="FFFFFF"/>
        <w:overflowPunct/>
        <w:autoSpaceDE/>
        <w:autoSpaceDN/>
        <w:adjustRightInd/>
        <w:spacing w:line="360" w:lineRule="auto"/>
        <w:textAlignment w:val="auto"/>
        <w:rPr>
          <w:rFonts w:ascii="Calibri" w:hAnsi="Calibri" w:cs="Calibri"/>
          <w:color w:val="0B0C0C"/>
          <w:sz w:val="22"/>
          <w:szCs w:val="22"/>
        </w:rPr>
      </w:pPr>
      <w:r w:rsidRPr="004E0D1C">
        <w:rPr>
          <w:rFonts w:ascii="Calibri" w:hAnsi="Calibri" w:cs="Calibri"/>
          <w:color w:val="0B0C0C"/>
          <w:sz w:val="22"/>
          <w:szCs w:val="22"/>
        </w:rPr>
        <w:lastRenderedPageBreak/>
        <w:t xml:space="preserve">After reviewing this case it would improve the general lifestyle of all communities no matter how diverse if they would educate themselves on all aspects of protected characteristics. This is a broad and continuously evolving matter that requires everyone to evaluate and begin to understand to help communities come together and provide a better future for the next generation. In turn this will reduce the incident of hate crime enabling the police and criminal justice system to concentrate on other aspects of crime. I am aware of campaigns and workshops that are provided by the police and other agencies that tackle these kind of hate issues. In future I would like to see more people partaking in these events. If this was issue was to rise again, I would hope that my actions would result in the victims to feel safer and as a result stay within that community rather than feel that they have no choice but to move away. I would put more emphasis on the education of the offenders. </w:t>
      </w:r>
    </w:p>
    <w:p w14:paraId="798F8221" w14:textId="77777777" w:rsidR="004E0D1C" w:rsidRPr="004E0D1C" w:rsidRDefault="004E0D1C" w:rsidP="004E0D1C">
      <w:pPr>
        <w:shd w:val="clear" w:color="auto" w:fill="FFFFFF"/>
        <w:overflowPunct/>
        <w:autoSpaceDE/>
        <w:autoSpaceDN/>
        <w:adjustRightInd/>
        <w:textAlignment w:val="auto"/>
        <w:rPr>
          <w:rFonts w:ascii="Calibri" w:hAnsi="Calibri" w:cs="Calibri"/>
          <w:color w:val="0B0C0C"/>
          <w:sz w:val="22"/>
          <w:szCs w:val="22"/>
        </w:rPr>
      </w:pPr>
    </w:p>
    <w:p w14:paraId="1180302A" w14:textId="77777777" w:rsidR="004E0D1C" w:rsidRPr="004E0D1C" w:rsidRDefault="004E0D1C" w:rsidP="004E0D1C">
      <w:pPr>
        <w:shd w:val="clear" w:color="auto" w:fill="FFFFFF"/>
        <w:overflowPunct/>
        <w:autoSpaceDE/>
        <w:autoSpaceDN/>
        <w:adjustRightInd/>
        <w:textAlignment w:val="auto"/>
        <w:rPr>
          <w:rFonts w:ascii="Calibri" w:hAnsi="Calibri" w:cs="Calibri"/>
          <w:color w:val="0B0C0C"/>
          <w:sz w:val="22"/>
          <w:szCs w:val="22"/>
        </w:rPr>
      </w:pPr>
      <w:r w:rsidRPr="004E0D1C">
        <w:rPr>
          <w:rFonts w:ascii="Calibri" w:hAnsi="Calibri" w:cs="Calibri"/>
          <w:color w:val="0B0C0C"/>
          <w:sz w:val="22"/>
          <w:szCs w:val="22"/>
        </w:rPr>
        <w:t>Word Count: 1345</w:t>
      </w:r>
    </w:p>
    <w:p w14:paraId="7DC47E9D" w14:textId="77777777" w:rsidR="004E0D1C" w:rsidRPr="004E0D1C" w:rsidRDefault="004E0D1C" w:rsidP="004E0D1C">
      <w:pPr>
        <w:shd w:val="clear" w:color="auto" w:fill="FFFFFF"/>
        <w:overflowPunct/>
        <w:autoSpaceDE/>
        <w:autoSpaceDN/>
        <w:adjustRightInd/>
        <w:textAlignment w:val="auto"/>
        <w:rPr>
          <w:rFonts w:ascii="Calibri" w:hAnsi="Calibri" w:cs="Calibri"/>
          <w:color w:val="0B0C0C"/>
          <w:sz w:val="22"/>
          <w:szCs w:val="22"/>
        </w:rPr>
      </w:pPr>
    </w:p>
    <w:p w14:paraId="763A588C" w14:textId="77777777" w:rsidR="004E0D1C" w:rsidRPr="004E0D1C" w:rsidRDefault="004E0D1C" w:rsidP="004E0D1C">
      <w:pPr>
        <w:shd w:val="clear" w:color="auto" w:fill="FFFFFF"/>
        <w:overflowPunct/>
        <w:autoSpaceDE/>
        <w:autoSpaceDN/>
        <w:adjustRightInd/>
        <w:textAlignment w:val="auto"/>
        <w:rPr>
          <w:rFonts w:ascii="Calibri" w:hAnsi="Calibri" w:cs="Calibri"/>
          <w:b/>
          <w:bCs/>
          <w:color w:val="0B0C0C"/>
          <w:sz w:val="22"/>
          <w:szCs w:val="22"/>
        </w:rPr>
      </w:pPr>
      <w:r w:rsidRPr="004E0D1C">
        <w:rPr>
          <w:rFonts w:ascii="Calibri" w:hAnsi="Calibri" w:cs="Calibri"/>
          <w:b/>
          <w:bCs/>
          <w:color w:val="0B0C0C"/>
          <w:sz w:val="22"/>
          <w:szCs w:val="22"/>
        </w:rPr>
        <w:t xml:space="preserve">Reference List </w:t>
      </w:r>
    </w:p>
    <w:p w14:paraId="3763FB74" w14:textId="77777777" w:rsidR="004E0D1C" w:rsidRPr="004E0D1C" w:rsidRDefault="004E0D1C" w:rsidP="004E0D1C">
      <w:pPr>
        <w:shd w:val="clear" w:color="auto" w:fill="FFFFFF"/>
        <w:overflowPunct/>
        <w:autoSpaceDE/>
        <w:autoSpaceDN/>
        <w:adjustRightInd/>
        <w:textAlignment w:val="auto"/>
        <w:rPr>
          <w:rFonts w:ascii="Calibri" w:hAnsi="Calibri" w:cs="Calibri"/>
          <w:color w:val="0B0C0C"/>
          <w:sz w:val="22"/>
          <w:szCs w:val="22"/>
        </w:rPr>
      </w:pPr>
    </w:p>
    <w:p w14:paraId="11B27014" w14:textId="77777777" w:rsidR="004E0D1C" w:rsidRPr="004E0D1C" w:rsidRDefault="004E0D1C" w:rsidP="004E0D1C">
      <w:pPr>
        <w:rPr>
          <w:rFonts w:ascii="Calibri" w:hAnsi="Calibri" w:cs="Calibri"/>
          <w:sz w:val="22"/>
          <w:szCs w:val="22"/>
        </w:rPr>
      </w:pPr>
    </w:p>
    <w:p w14:paraId="05826811" w14:textId="77777777" w:rsidR="004E0D1C" w:rsidRPr="004E0D1C" w:rsidRDefault="004E0D1C" w:rsidP="004E0D1C">
      <w:pPr>
        <w:rPr>
          <w:rFonts w:ascii="Calibri" w:hAnsi="Calibri" w:cs="Calibri"/>
          <w:sz w:val="22"/>
          <w:szCs w:val="22"/>
        </w:rPr>
      </w:pPr>
      <w:r w:rsidRPr="004E0D1C">
        <w:rPr>
          <w:rFonts w:ascii="Calibri" w:hAnsi="Calibri" w:cs="Calibri"/>
          <w:sz w:val="22"/>
          <w:szCs w:val="22"/>
        </w:rPr>
        <w:t xml:space="preserve">Collage of Policing (2016) </w:t>
      </w:r>
      <w:r w:rsidRPr="004E0D1C">
        <w:rPr>
          <w:rFonts w:ascii="Calibri" w:hAnsi="Calibri" w:cs="Calibri"/>
          <w:i/>
          <w:iCs/>
          <w:sz w:val="22"/>
          <w:szCs w:val="22"/>
        </w:rPr>
        <w:t>Competency and Values Framework for policing</w:t>
      </w:r>
      <w:r w:rsidRPr="004E0D1C">
        <w:rPr>
          <w:rFonts w:ascii="Calibri" w:hAnsi="Calibri" w:cs="Calibri"/>
          <w:sz w:val="22"/>
          <w:szCs w:val="22"/>
        </w:rPr>
        <w:t xml:space="preserve">. Available online at </w:t>
      </w:r>
      <w:hyperlink r:id="rId24" w:history="1">
        <w:r w:rsidRPr="004E0D1C">
          <w:rPr>
            <w:rFonts w:ascii="Calibri" w:hAnsi="Calibri" w:cs="Calibri"/>
            <w:color w:val="0563C1"/>
            <w:sz w:val="22"/>
            <w:szCs w:val="22"/>
            <w:u w:val="single"/>
          </w:rPr>
          <w:t>https://d17wy4t6ps30xx.cloudfront.net/production/uploads/2017/09/Competency-and-Values-Framework-for-Policing_4.11.16.pdf</w:t>
        </w:r>
      </w:hyperlink>
      <w:r w:rsidRPr="004E0D1C">
        <w:rPr>
          <w:rFonts w:ascii="Calibri" w:hAnsi="Calibri" w:cs="Calibri"/>
          <w:sz w:val="22"/>
          <w:szCs w:val="22"/>
        </w:rPr>
        <w:t xml:space="preserve"> [Accessed on 2 September, 2021].</w:t>
      </w:r>
    </w:p>
    <w:p w14:paraId="76DEFB83" w14:textId="77777777" w:rsidR="004E0D1C" w:rsidRPr="004E0D1C" w:rsidRDefault="004E0D1C" w:rsidP="004E0D1C">
      <w:pPr>
        <w:rPr>
          <w:rFonts w:ascii="Calibri" w:hAnsi="Calibri" w:cs="Calibri"/>
          <w:sz w:val="22"/>
          <w:szCs w:val="22"/>
        </w:rPr>
      </w:pPr>
    </w:p>
    <w:p w14:paraId="6363B84A" w14:textId="77777777" w:rsidR="004E0D1C" w:rsidRPr="004E0D1C" w:rsidRDefault="004E0D1C" w:rsidP="004E0D1C">
      <w:pPr>
        <w:rPr>
          <w:rFonts w:ascii="Calibri" w:hAnsi="Calibri" w:cs="Calibri"/>
          <w:sz w:val="22"/>
          <w:szCs w:val="22"/>
        </w:rPr>
      </w:pPr>
      <w:r w:rsidRPr="004E0D1C">
        <w:rPr>
          <w:rFonts w:ascii="Calibri" w:hAnsi="Calibri" w:cs="Calibri"/>
          <w:sz w:val="22"/>
          <w:szCs w:val="22"/>
        </w:rPr>
        <w:t xml:space="preserve">Crown Prosecution Service (n.d.) </w:t>
      </w:r>
      <w:r w:rsidRPr="004E0D1C">
        <w:rPr>
          <w:rFonts w:ascii="Calibri" w:hAnsi="Calibri" w:cs="Calibri"/>
          <w:i/>
          <w:iCs/>
          <w:sz w:val="22"/>
          <w:szCs w:val="22"/>
        </w:rPr>
        <w:t xml:space="preserve">Hate Crime. </w:t>
      </w:r>
      <w:r w:rsidRPr="004E0D1C">
        <w:rPr>
          <w:rFonts w:ascii="Calibri" w:hAnsi="Calibri" w:cs="Calibri"/>
          <w:sz w:val="22"/>
          <w:szCs w:val="22"/>
        </w:rPr>
        <w:t xml:space="preserve">Available online at </w:t>
      </w:r>
      <w:hyperlink r:id="rId25" w:history="1">
        <w:r w:rsidRPr="004E0D1C">
          <w:rPr>
            <w:rFonts w:ascii="Calibri" w:hAnsi="Calibri" w:cs="Calibri"/>
            <w:color w:val="0563C1"/>
            <w:sz w:val="22"/>
            <w:szCs w:val="22"/>
            <w:u w:val="single"/>
          </w:rPr>
          <w:t>https://www.cps.gov.uk/crime-info/hate-crime</w:t>
        </w:r>
      </w:hyperlink>
      <w:r w:rsidRPr="004E0D1C">
        <w:rPr>
          <w:rFonts w:ascii="Calibri" w:hAnsi="Calibri" w:cs="Calibri"/>
          <w:sz w:val="22"/>
          <w:szCs w:val="22"/>
        </w:rPr>
        <w:t xml:space="preserve"> [Accessed on 28 August, 2021].</w:t>
      </w:r>
    </w:p>
    <w:p w14:paraId="03A1D7B6" w14:textId="77777777" w:rsidR="004E0D1C" w:rsidRPr="004E0D1C" w:rsidRDefault="004E0D1C" w:rsidP="004E0D1C">
      <w:pPr>
        <w:rPr>
          <w:rFonts w:ascii="Calibri" w:hAnsi="Calibri" w:cs="Calibri"/>
          <w:sz w:val="22"/>
          <w:szCs w:val="22"/>
        </w:rPr>
      </w:pPr>
    </w:p>
    <w:p w14:paraId="72DD1903" w14:textId="77777777" w:rsidR="004E0D1C" w:rsidRPr="004E0D1C" w:rsidRDefault="004E0D1C" w:rsidP="004E0D1C">
      <w:pPr>
        <w:rPr>
          <w:rFonts w:ascii="Calibri" w:hAnsi="Calibri" w:cs="Calibri"/>
          <w:sz w:val="22"/>
          <w:szCs w:val="22"/>
        </w:rPr>
      </w:pPr>
      <w:r w:rsidRPr="004E0D1C">
        <w:rPr>
          <w:rFonts w:ascii="Calibri" w:hAnsi="Calibri" w:cs="Calibri"/>
          <w:sz w:val="22"/>
          <w:szCs w:val="22"/>
        </w:rPr>
        <w:t xml:space="preserve">HM Government (n.d.) Hate Crime. Available online at </w:t>
      </w:r>
      <w:hyperlink r:id="rId26" w:history="1">
        <w:r w:rsidRPr="004E0D1C">
          <w:rPr>
            <w:rFonts w:ascii="Calibri" w:hAnsi="Calibri" w:cs="Calibri"/>
            <w:color w:val="0563C1"/>
            <w:sz w:val="22"/>
            <w:szCs w:val="22"/>
            <w:u w:val="single"/>
          </w:rPr>
          <w:t>https://hatecrime.campaign.gov.uk/</w:t>
        </w:r>
      </w:hyperlink>
      <w:r w:rsidRPr="004E0D1C">
        <w:rPr>
          <w:rFonts w:ascii="Calibri" w:hAnsi="Calibri" w:cs="Calibri"/>
          <w:sz w:val="22"/>
          <w:szCs w:val="22"/>
        </w:rPr>
        <w:t xml:space="preserve"> [Accessed on 27 August, 2021].</w:t>
      </w:r>
    </w:p>
    <w:p w14:paraId="27157543" w14:textId="77777777" w:rsidR="004E0D1C" w:rsidRPr="004E0D1C" w:rsidRDefault="004E0D1C" w:rsidP="004E0D1C">
      <w:pPr>
        <w:rPr>
          <w:rFonts w:ascii="Calibri" w:hAnsi="Calibri" w:cs="Calibri"/>
          <w:sz w:val="22"/>
          <w:szCs w:val="22"/>
        </w:rPr>
      </w:pPr>
    </w:p>
    <w:p w14:paraId="7D4057D7" w14:textId="77777777" w:rsidR="004E0D1C" w:rsidRPr="004E0D1C" w:rsidRDefault="004E0D1C" w:rsidP="004E0D1C">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4E0D1C">
        <w:rPr>
          <w:rFonts w:ascii="Calibri" w:eastAsia="Calibri" w:hAnsi="Calibri" w:cs="Times New Roman"/>
          <w:color w:val="auto"/>
          <w:sz w:val="22"/>
          <w:szCs w:val="22"/>
          <w:lang w:eastAsia="en-US"/>
        </w:rPr>
        <w:t>Gibbs, G. (1988). Learning by doing: A guide to teaching and learning methods. Oxford: Oxford Further Education Unit.</w:t>
      </w:r>
    </w:p>
    <w:p w14:paraId="2876BE68" w14:textId="77777777" w:rsidR="004E0D1C" w:rsidRPr="004E0D1C" w:rsidRDefault="004E0D1C" w:rsidP="004E0D1C">
      <w:pPr>
        <w:rPr>
          <w:rFonts w:ascii="Calibri" w:hAnsi="Calibri" w:cs="Calibri"/>
          <w:sz w:val="22"/>
          <w:szCs w:val="22"/>
        </w:rPr>
      </w:pPr>
    </w:p>
    <w:p w14:paraId="6E735373" w14:textId="77777777" w:rsidR="004E0D1C" w:rsidRPr="004E0D1C" w:rsidRDefault="004E0D1C" w:rsidP="004E0D1C">
      <w:pPr>
        <w:rPr>
          <w:rFonts w:ascii="Calibri" w:hAnsi="Calibri" w:cs="Calibri"/>
          <w:sz w:val="22"/>
          <w:szCs w:val="22"/>
        </w:rPr>
      </w:pPr>
      <w:r w:rsidRPr="004E0D1C">
        <w:rPr>
          <w:rFonts w:ascii="Calibri" w:hAnsi="Calibri" w:cs="Calibri"/>
          <w:sz w:val="22"/>
          <w:szCs w:val="22"/>
        </w:rPr>
        <w:t xml:space="preserve">Ministry of Justice (2020) </w:t>
      </w:r>
      <w:r w:rsidRPr="004E0D1C">
        <w:rPr>
          <w:rFonts w:ascii="Calibri" w:hAnsi="Calibri" w:cs="Calibri"/>
          <w:i/>
          <w:iCs/>
          <w:sz w:val="22"/>
          <w:szCs w:val="22"/>
        </w:rPr>
        <w:t xml:space="preserve">Code of Practice for Victims of Crime in England and Wales. </w:t>
      </w:r>
      <w:r w:rsidRPr="004E0D1C">
        <w:rPr>
          <w:rFonts w:ascii="Calibri" w:hAnsi="Calibri" w:cs="Calibri"/>
          <w:sz w:val="22"/>
          <w:szCs w:val="22"/>
        </w:rPr>
        <w:t xml:space="preserve">Available online at </w:t>
      </w:r>
      <w:hyperlink r:id="rId27" w:history="1">
        <w:r w:rsidRPr="004E0D1C">
          <w:rPr>
            <w:rFonts w:ascii="Calibri" w:hAnsi="Calibri" w:cs="Calibri"/>
            <w:color w:val="0563C1"/>
            <w:sz w:val="22"/>
            <w:szCs w:val="22"/>
            <w:u w:val="single"/>
          </w:rPr>
          <w:t>https://assets.publishing.service.gov.uk/government/uploads/system/uploads/attachment_data/file/936239/victims-code-2020.pdf</w:t>
        </w:r>
      </w:hyperlink>
      <w:r w:rsidRPr="004E0D1C">
        <w:rPr>
          <w:rFonts w:ascii="Calibri" w:hAnsi="Calibri" w:cs="Calibri"/>
          <w:sz w:val="22"/>
          <w:szCs w:val="22"/>
        </w:rPr>
        <w:t xml:space="preserve"> [Accessed on 1 September, 2021]. </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4D162C56" w:rsidR="003C458C" w:rsidRDefault="003C458C" w:rsidP="003C458C">
      <w:pPr>
        <w:jc w:val="both"/>
        <w:rPr>
          <w:b/>
          <w:sz w:val="24"/>
          <w:szCs w:val="24"/>
        </w:rPr>
      </w:pPr>
      <w:r w:rsidRPr="00450C83">
        <w:rPr>
          <w:b/>
          <w:sz w:val="24"/>
          <w:szCs w:val="24"/>
        </w:rPr>
        <w:t>ANSWER:</w:t>
      </w:r>
    </w:p>
    <w:p w14:paraId="66AFCA3D" w14:textId="3B56502F" w:rsidR="005E5505" w:rsidRDefault="005E5505" w:rsidP="003C458C">
      <w:pPr>
        <w:jc w:val="both"/>
        <w:rPr>
          <w:b/>
          <w:sz w:val="24"/>
          <w:szCs w:val="24"/>
        </w:rPr>
      </w:pPr>
    </w:p>
    <w:p w14:paraId="1498D88A" w14:textId="77777777" w:rsidR="005E5505" w:rsidRPr="005E5505" w:rsidRDefault="005E5505" w:rsidP="004E0D1C">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E5505">
        <w:rPr>
          <w:rFonts w:ascii="Calibri" w:eastAsia="Calibri" w:hAnsi="Calibri" w:cs="Times New Roman"/>
          <w:color w:val="auto"/>
          <w:sz w:val="22"/>
          <w:szCs w:val="22"/>
          <w:lang w:eastAsia="en-US"/>
        </w:rPr>
        <w:t xml:space="preserve">In this essay I will be reflecting an incident that I was involved with where decision making and discretion, conducting investigation and criminal justice were key factors to my involvement. During this incident I will describe how I effectively used the Police National Decision Model to assist in my decisions. Firstly, I will give a brief description of the incident, following that I will reflect on my feelings, evaluate and analyse my involvement then conclude on what approach I would use if a similar event arose. </w:t>
      </w:r>
    </w:p>
    <w:p w14:paraId="46B7E00D" w14:textId="77777777" w:rsidR="005E5505" w:rsidRPr="005E5505" w:rsidRDefault="005E5505" w:rsidP="004E0D1C">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E5505">
        <w:rPr>
          <w:rFonts w:ascii="Calibri" w:eastAsia="Calibri" w:hAnsi="Calibri" w:cs="Times New Roman"/>
          <w:color w:val="auto"/>
          <w:sz w:val="22"/>
          <w:szCs w:val="22"/>
          <w:lang w:eastAsia="en-US"/>
        </w:rPr>
        <w:t xml:space="preserve">I was asked to attend a call for an ongoing domestic. The call had been reported by a concerned neighbour that had heard shouting coming from the property. Quick searches were made in relation to the property in question, I discovered that the property was occupied by the tenant and her sister. There was also information stating that the sister of the tenant was registered on tag to the premises. There had been numerous incidents reported at the property over the last six months none of them resulting in prosecution as the majority had been reported as verbal arguments only with no criminal offences.  Despite my prior knowledge to these past incidents, I attended the property with an open and non-judgmental mindset to ensure the individuals were faced with no </w:t>
      </w:r>
      <w:r w:rsidRPr="005E5505">
        <w:rPr>
          <w:rFonts w:ascii="Calibri" w:eastAsia="Calibri" w:hAnsi="Calibri" w:cs="Times New Roman"/>
          <w:color w:val="auto"/>
          <w:sz w:val="22"/>
          <w:szCs w:val="22"/>
          <w:lang w:eastAsia="en-US"/>
        </w:rPr>
        <w:lastRenderedPageBreak/>
        <w:t xml:space="preserve">bias. This upheld policing values of impartiality as my policing was </w:t>
      </w:r>
      <w:r w:rsidRPr="005E5505">
        <w:rPr>
          <w:rFonts w:ascii="Calibri" w:eastAsia="Calibri" w:hAnsi="Calibri" w:cs="Times New Roman"/>
          <w:i/>
          <w:iCs/>
          <w:color w:val="auto"/>
          <w:sz w:val="22"/>
          <w:szCs w:val="22"/>
          <w:lang w:eastAsia="en-US"/>
        </w:rPr>
        <w:t xml:space="preserve">“fair and objective” </w:t>
      </w:r>
      <w:r w:rsidRPr="005E5505">
        <w:rPr>
          <w:rFonts w:ascii="Calibri" w:eastAsia="Calibri" w:hAnsi="Calibri" w:cs="Times New Roman"/>
          <w:color w:val="auto"/>
          <w:sz w:val="22"/>
          <w:szCs w:val="22"/>
          <w:lang w:eastAsia="en-US"/>
        </w:rPr>
        <w:t>(Collage of Policing, 2016: 5).</w:t>
      </w:r>
    </w:p>
    <w:p w14:paraId="171B3C39" w14:textId="77777777" w:rsidR="005E5505" w:rsidRPr="005E5505" w:rsidRDefault="005E5505" w:rsidP="004E0D1C">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E5505">
        <w:rPr>
          <w:rFonts w:ascii="Calibri" w:eastAsia="Calibri" w:hAnsi="Calibri" w:cs="Times New Roman"/>
          <w:color w:val="auto"/>
          <w:sz w:val="22"/>
          <w:szCs w:val="22"/>
          <w:lang w:eastAsia="en-US"/>
        </w:rPr>
        <w:t xml:space="preserve">On attendance to the scene there seemed to be no disturbance at the property and to shouting coming from the property. The tenant invited me in to the property and disclosed that she had been having a verbal argument with her sister again, regarding her sisters contribution to the upkeep of the property. She stated that her sister had retreated back to her bedroom to calm down and give each other space. As described in the previous incidents no crimes had been disclosed and no offences had been committed. The tenant stated that she no longer wanted her sister to live at the premises and asked if we could arrange accommodation for her. I explained that this was not the role of the police but I would assist where possible. I then went to the bedroom of the sister to discuss the matter with her. She confirmed that they had a verbal argument only but agreed it would be best for her to leave the property. She explained that she had been to court the previous day in relation to her tag and the court had ordered the removal of due to her good cooperation. The issue was the court had arranged for the removal within thirty six hours and the tag was still active. At the time she was in contact with her probation officer to see what options she had available. I asked if it was possible to speak to her probation officer and she handed over the phone. I explained to the probation officer the circumstances of the call that I had attended and stated that due to the fact that it was a domestic incident, the Police procedure was to remove one of the involved people from the property and take them to a place of safety, for a cooling off period to prevent a further breach of the peace. As the tenant was registered on the house record it was unfair to ask them to leave the property, thus the sister would need to be removed. In normal circumstances this would not be an issue but due to the tag it was important to clarify where she stood legally with leaving. The probation officer confirmed that the tag was due to be removed and advised that it would no longer be an issue for her to leave. Another issue is that the sister had no friends or family in the area and had no funds available to stay at a hotel. I then asked probation if they would assist in finding a temporary accommodation for the sister until a permanent solution is available. Probation agreed and between us we contacted the council and arranged a place of safety that was suitable for all parties. The sisters then apologised to each other before I conveyed the one to her new place of safety. </w:t>
      </w:r>
    </w:p>
    <w:p w14:paraId="0AE226F5" w14:textId="77777777" w:rsidR="005E5505" w:rsidRPr="005E5505" w:rsidRDefault="005E5505" w:rsidP="004E0D1C">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E5505">
        <w:rPr>
          <w:rFonts w:ascii="Calibri" w:eastAsia="Calibri" w:hAnsi="Calibri" w:cs="Times New Roman"/>
          <w:color w:val="auto"/>
          <w:sz w:val="22"/>
          <w:szCs w:val="22"/>
          <w:lang w:eastAsia="en-US"/>
        </w:rPr>
        <w:t xml:space="preserve">During this incident I used the Police National Decision Model to assist in my decision making, firstly I utilised all the tools that I had at available, to gather as much information as possible. This information helped to build a picture on the situation and possible people involved before even attending the scene. During this information gathering I took care to analyse any warning markers </w:t>
      </w:r>
      <w:r w:rsidRPr="005E5505">
        <w:rPr>
          <w:rFonts w:ascii="Calibri" w:eastAsia="Calibri" w:hAnsi="Calibri" w:cs="Times New Roman"/>
          <w:color w:val="auto"/>
          <w:sz w:val="22"/>
          <w:szCs w:val="22"/>
          <w:lang w:eastAsia="en-US"/>
        </w:rPr>
        <w:lastRenderedPageBreak/>
        <w:t>on the people involved or markers on the property. This allowed for a the potential hazards and risk to be evaluated and determine if other factors would need to be considered, for instance we may have required additional officers at the location or the attendance of an ambulance. Then I considered our powers and policy. With this type of incident it is important to consider the powers and police before arrival as it might require uses of force or method of entry for example and these have to be justified, proportionate, legal, accountable, necessary and ethical in all situations. It was discussed before arrival, what possible options we had, due to the nature of the call and the policy of the Police it was already determined that at least one persons at the property would need to be removed to assure safeguarding. We also discussed possible tactical options ideally this would consist of communication only but as a precaution we prepared for other methods such as use of force. As this is a continuous cycle of evaluation and action this decision making was a factor throughout the incident.</w:t>
      </w:r>
    </w:p>
    <w:p w14:paraId="20FD4D16" w14:textId="77777777" w:rsidR="005E5505" w:rsidRPr="005E5505" w:rsidRDefault="005E5505" w:rsidP="004E0D1C">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E5505">
        <w:rPr>
          <w:rFonts w:ascii="Calibri" w:eastAsia="Calibri" w:hAnsi="Calibri" w:cs="Times New Roman"/>
          <w:color w:val="auto"/>
          <w:sz w:val="22"/>
          <w:szCs w:val="22"/>
          <w:lang w:eastAsia="en-US"/>
        </w:rPr>
        <w:t>Often police discretion is used alongside domestic violence incidents (Myhill &amp; Johnson, 2016). A key element of dealing with this incident was the use of discretion. Although no offences were disclosed it was still of importance to establish what had gone on and who had been the instigator in the incident and who was the victim if there was either. As the house tenant had let her sister stay with her out of her own good will, and since then there had been numerous calls for disturbances at the address, I was willing to assist in finding temporary accommodation to resolve the issue without seeking a criminal persecution. A deciding factor in this was that it would not be in the public’s interest to persecute and there were no offences disclosed, therefore it was only a decision do prevent further breach of the peace. This directly reflects the police value of ensuring public service, as I engaged with the individuals at the incident to meet and respect their needs and wishes to overall ensure that there was no threat to the safety of society as a whole (College of Policing, 2016). This also reflected another value that I engaged with: transparency. For instance I made sure that my decisions and discretion was clearly understood by my colleagues and the individuals present at the incident (College of Policing, 2016).</w:t>
      </w:r>
    </w:p>
    <w:p w14:paraId="308314CB" w14:textId="77777777" w:rsidR="005E5505" w:rsidRPr="005E5505" w:rsidRDefault="005E5505" w:rsidP="004E0D1C">
      <w:pPr>
        <w:overflowPunct/>
        <w:autoSpaceDE/>
        <w:autoSpaceDN/>
        <w:adjustRightInd/>
        <w:spacing w:after="160" w:line="360" w:lineRule="auto"/>
        <w:textAlignment w:val="auto"/>
        <w:rPr>
          <w:rFonts w:ascii="Calibri" w:eastAsia="Calibri" w:hAnsi="Calibri" w:cs="Times New Roman"/>
          <w:color w:val="auto"/>
          <w:sz w:val="22"/>
          <w:szCs w:val="22"/>
          <w:lang w:eastAsia="en-US"/>
        </w:rPr>
      </w:pPr>
      <w:r w:rsidRPr="005E5505">
        <w:rPr>
          <w:rFonts w:ascii="Calibri" w:eastAsia="Calibri" w:hAnsi="Calibri" w:cs="Times New Roman"/>
          <w:color w:val="auto"/>
          <w:sz w:val="22"/>
          <w:szCs w:val="22"/>
          <w:lang w:eastAsia="en-US"/>
        </w:rPr>
        <w:t xml:space="preserve">I believe that dealing with the situation in this way provided the best outcomes for all parties involved. After making door to door enquiries it was established that this would resolve many neighbour issues also. I updated the record on NICHE and provided public protection notices for the both parties involved. Probation services and housing were also updated on the final steps taken in the investigation and all parties agreed it was the best course of action considering the circumstances. On reflection this incident could have been resolved by providing a place of safety for </w:t>
      </w:r>
      <w:r w:rsidRPr="005E5505">
        <w:rPr>
          <w:rFonts w:ascii="Calibri" w:eastAsia="Calibri" w:hAnsi="Calibri" w:cs="Times New Roman"/>
          <w:color w:val="auto"/>
          <w:sz w:val="22"/>
          <w:szCs w:val="22"/>
          <w:lang w:eastAsia="en-US"/>
        </w:rPr>
        <w:lastRenderedPageBreak/>
        <w:t xml:space="preserve">the female for one night, but I believe this would have resulted in more incidents further down the line.  </w:t>
      </w:r>
    </w:p>
    <w:p w14:paraId="2FC17462" w14:textId="77777777" w:rsidR="005E5505" w:rsidRPr="005E5505" w:rsidRDefault="005E5505" w:rsidP="005E55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E5505">
        <w:rPr>
          <w:rFonts w:ascii="Calibri" w:eastAsia="Calibri" w:hAnsi="Calibri" w:cs="Times New Roman"/>
          <w:color w:val="auto"/>
          <w:sz w:val="22"/>
          <w:szCs w:val="22"/>
          <w:lang w:eastAsia="en-US"/>
        </w:rPr>
        <w:t>Word Count: 1350</w:t>
      </w:r>
    </w:p>
    <w:p w14:paraId="2B9A95C4" w14:textId="77777777" w:rsidR="005E5505" w:rsidRPr="005E5505" w:rsidRDefault="005E5505" w:rsidP="005E55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E5505">
        <w:rPr>
          <w:rFonts w:ascii="Calibri" w:eastAsia="Calibri" w:hAnsi="Calibri" w:cs="Times New Roman"/>
          <w:color w:val="auto"/>
          <w:sz w:val="22"/>
          <w:szCs w:val="22"/>
          <w:lang w:eastAsia="en-US"/>
        </w:rPr>
        <w:t>Reference List</w:t>
      </w:r>
    </w:p>
    <w:p w14:paraId="64704296" w14:textId="77777777" w:rsidR="005E5505" w:rsidRPr="005E5505" w:rsidRDefault="005E5505" w:rsidP="005E55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E5505">
        <w:rPr>
          <w:rFonts w:ascii="Calibri" w:eastAsia="Calibri" w:hAnsi="Calibri" w:cs="Times New Roman"/>
          <w:color w:val="auto"/>
          <w:sz w:val="22"/>
          <w:szCs w:val="22"/>
          <w:lang w:eastAsia="en-US"/>
        </w:rPr>
        <w:t>Myhill, A. and Johnson, K. (2016) ‘Police use of discretion in response to domestic violence’, </w:t>
      </w:r>
      <w:r w:rsidRPr="005E5505">
        <w:rPr>
          <w:rFonts w:ascii="Calibri" w:eastAsia="Calibri" w:hAnsi="Calibri" w:cs="Times New Roman"/>
          <w:i/>
          <w:iCs/>
          <w:color w:val="auto"/>
          <w:sz w:val="22"/>
          <w:szCs w:val="22"/>
          <w:lang w:eastAsia="en-US"/>
        </w:rPr>
        <w:t>Criminology &amp; Criminal Justice</w:t>
      </w:r>
      <w:r w:rsidRPr="005E5505">
        <w:rPr>
          <w:rFonts w:ascii="Calibri" w:eastAsia="Calibri" w:hAnsi="Calibri" w:cs="Times New Roman"/>
          <w:color w:val="auto"/>
          <w:sz w:val="22"/>
          <w:szCs w:val="22"/>
          <w:lang w:eastAsia="en-US"/>
        </w:rPr>
        <w:t>, Vol. 16(1): 3-20.</w:t>
      </w:r>
    </w:p>
    <w:p w14:paraId="41B77226" w14:textId="77777777" w:rsidR="005E5505" w:rsidRPr="005E5505" w:rsidRDefault="005E5505" w:rsidP="005E55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E5505">
        <w:rPr>
          <w:rFonts w:ascii="Calibri" w:eastAsia="Calibri" w:hAnsi="Calibri" w:cs="Times New Roman"/>
          <w:color w:val="auto"/>
          <w:sz w:val="22"/>
          <w:szCs w:val="22"/>
          <w:lang w:eastAsia="en-US"/>
        </w:rPr>
        <w:t xml:space="preserve">Collage of Policing (2016) </w:t>
      </w:r>
      <w:r w:rsidRPr="005E5505">
        <w:rPr>
          <w:rFonts w:ascii="Calibri" w:eastAsia="Calibri" w:hAnsi="Calibri" w:cs="Times New Roman"/>
          <w:i/>
          <w:iCs/>
          <w:color w:val="auto"/>
          <w:sz w:val="22"/>
          <w:szCs w:val="22"/>
          <w:lang w:eastAsia="en-US"/>
        </w:rPr>
        <w:t>Competency and Values Framework for policing</w:t>
      </w:r>
      <w:r w:rsidRPr="005E5505">
        <w:rPr>
          <w:rFonts w:ascii="Calibri" w:eastAsia="Calibri" w:hAnsi="Calibri" w:cs="Times New Roman"/>
          <w:color w:val="auto"/>
          <w:sz w:val="22"/>
          <w:szCs w:val="22"/>
          <w:lang w:eastAsia="en-US"/>
        </w:rPr>
        <w:t xml:space="preserve">. Available online at </w:t>
      </w:r>
      <w:hyperlink r:id="rId28" w:history="1">
        <w:r w:rsidRPr="005E5505">
          <w:rPr>
            <w:rFonts w:ascii="Calibri" w:eastAsia="Calibri" w:hAnsi="Calibri" w:cs="Times New Roman"/>
            <w:color w:val="0000FF"/>
            <w:sz w:val="22"/>
            <w:szCs w:val="22"/>
            <w:u w:val="single"/>
            <w:lang w:eastAsia="en-US"/>
          </w:rPr>
          <w:t>https://d17wy4t6ps30xx.cloudfront.net/production/uploads/2017/09/Competency-and-Values-Framework-for-Policing_4.11.16.pdf</w:t>
        </w:r>
      </w:hyperlink>
      <w:r w:rsidRPr="005E5505">
        <w:rPr>
          <w:rFonts w:ascii="Calibri" w:eastAsia="Calibri" w:hAnsi="Calibri" w:cs="Times New Roman"/>
          <w:color w:val="auto"/>
          <w:sz w:val="22"/>
          <w:szCs w:val="22"/>
          <w:lang w:eastAsia="en-US"/>
        </w:rPr>
        <w:t xml:space="preserve"> [Accessed on 2 September, 2021].</w:t>
      </w:r>
    </w:p>
    <w:p w14:paraId="35A2E6BC" w14:textId="77777777" w:rsidR="005E5505" w:rsidRPr="005E5505" w:rsidRDefault="005E5505" w:rsidP="005E5505">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794EF908" w14:textId="77777777" w:rsidR="005E5505" w:rsidRPr="00450C83" w:rsidRDefault="005E5505" w:rsidP="003C458C">
      <w:pPr>
        <w:jc w:val="both"/>
        <w:rPr>
          <w:b/>
          <w:sz w:val="24"/>
          <w:szCs w:val="24"/>
        </w:rPr>
      </w:pP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A57AEB">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19AD3C8A" w:rsidR="00220D06" w:rsidRPr="00270EEB" w:rsidRDefault="009571FC" w:rsidP="00FF7EBB">
            <w:pPr>
              <w:jc w:val="both"/>
              <w:rPr>
                <w:sz w:val="24"/>
                <w:szCs w:val="24"/>
              </w:rPr>
            </w:pPr>
            <w:r>
              <w:rPr>
                <w:sz w:val="24"/>
                <w:szCs w:val="24"/>
              </w:rPr>
              <w:t>Blue Light Driver Training.</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02321167" w14:textId="77777777" w:rsidR="00A57AEB" w:rsidRDefault="00A57AEB" w:rsidP="00FF7EBB">
            <w:pPr>
              <w:jc w:val="both"/>
              <w:rPr>
                <w:sz w:val="24"/>
                <w:szCs w:val="24"/>
              </w:rPr>
            </w:pPr>
            <w:r>
              <w:rPr>
                <w:sz w:val="24"/>
                <w:szCs w:val="24"/>
              </w:rPr>
              <w:t xml:space="preserve">            </w:t>
            </w:r>
          </w:p>
          <w:p w14:paraId="2006FF7E" w14:textId="77777777" w:rsidR="00A57AEB" w:rsidRDefault="00A57AEB" w:rsidP="00FF7EBB">
            <w:pPr>
              <w:jc w:val="both"/>
              <w:rPr>
                <w:sz w:val="24"/>
                <w:szCs w:val="24"/>
              </w:rPr>
            </w:pPr>
          </w:p>
          <w:p w14:paraId="1DD535CE" w14:textId="22B9778A" w:rsidR="00220D06" w:rsidRPr="00270EEB" w:rsidRDefault="00A57AEB" w:rsidP="00FF7EBB">
            <w:pPr>
              <w:jc w:val="both"/>
              <w:rPr>
                <w:sz w:val="24"/>
                <w:szCs w:val="24"/>
              </w:rPr>
            </w:pPr>
            <w:r>
              <w:rPr>
                <w:sz w:val="24"/>
                <w:szCs w:val="24"/>
              </w:rPr>
              <w:t xml:space="preserve"> Attend </w:t>
            </w:r>
            <w:r w:rsidR="009571FC">
              <w:rPr>
                <w:sz w:val="24"/>
                <w:szCs w:val="24"/>
              </w:rPr>
              <w:t>the provided</w:t>
            </w:r>
            <w:r>
              <w:rPr>
                <w:sz w:val="24"/>
                <w:szCs w:val="24"/>
              </w:rPr>
              <w:t xml:space="preserve"> </w:t>
            </w:r>
            <w:r w:rsidR="009571FC">
              <w:rPr>
                <w:sz w:val="24"/>
                <w:szCs w:val="24"/>
              </w:rPr>
              <w:t xml:space="preserve">course </w:t>
            </w:r>
            <w:r>
              <w:rPr>
                <w:sz w:val="24"/>
                <w:szCs w:val="24"/>
              </w:rPr>
              <w:t>when my initial probation</w:t>
            </w:r>
            <w:r w:rsidR="009571FC">
              <w:rPr>
                <w:sz w:val="24"/>
                <w:szCs w:val="24"/>
              </w:rPr>
              <w:t xml:space="preserve"> </w:t>
            </w:r>
            <w:r>
              <w:rPr>
                <w:sz w:val="24"/>
                <w:szCs w:val="24"/>
              </w:rPr>
              <w:t>period is complete.</w:t>
            </w:r>
          </w:p>
        </w:tc>
        <w:tc>
          <w:tcPr>
            <w:tcW w:w="2230" w:type="dxa"/>
            <w:shd w:val="clear" w:color="auto" w:fill="auto"/>
          </w:tcPr>
          <w:p w14:paraId="177DD410" w14:textId="41A900AF" w:rsidR="00A57AEB" w:rsidRDefault="00A57AEB" w:rsidP="00FF7EBB">
            <w:pPr>
              <w:jc w:val="both"/>
              <w:rPr>
                <w:sz w:val="24"/>
                <w:szCs w:val="24"/>
              </w:rPr>
            </w:pPr>
          </w:p>
          <w:p w14:paraId="0B8C1D4F" w14:textId="2ACBC770" w:rsidR="00A57AEB" w:rsidRDefault="00A57AEB" w:rsidP="00A57AEB">
            <w:pPr>
              <w:rPr>
                <w:sz w:val="24"/>
                <w:szCs w:val="24"/>
              </w:rPr>
            </w:pPr>
          </w:p>
          <w:p w14:paraId="0CAF48B5" w14:textId="77777777" w:rsidR="00220D06" w:rsidRDefault="00A57AEB" w:rsidP="00A57AEB">
            <w:pPr>
              <w:rPr>
                <w:sz w:val="24"/>
                <w:szCs w:val="24"/>
              </w:rPr>
            </w:pPr>
            <w:r>
              <w:rPr>
                <w:sz w:val="24"/>
                <w:szCs w:val="24"/>
              </w:rPr>
              <w:t>Authorisation from Sargent and Inspector to attend.</w:t>
            </w:r>
          </w:p>
          <w:p w14:paraId="66AEDAF1" w14:textId="3237C629" w:rsidR="00A57AEB" w:rsidRPr="00A57AEB" w:rsidRDefault="00A57AEB" w:rsidP="00A57AEB">
            <w:pPr>
              <w:rPr>
                <w:sz w:val="24"/>
                <w:szCs w:val="24"/>
              </w:rPr>
            </w:pPr>
            <w:r>
              <w:rPr>
                <w:sz w:val="24"/>
                <w:szCs w:val="24"/>
              </w:rPr>
              <w:t>Prior advice from experienced officers.</w:t>
            </w:r>
          </w:p>
        </w:tc>
        <w:tc>
          <w:tcPr>
            <w:tcW w:w="2230" w:type="dxa"/>
            <w:shd w:val="clear" w:color="auto" w:fill="auto"/>
          </w:tcPr>
          <w:p w14:paraId="3CC035A6" w14:textId="77777777" w:rsidR="62FE5CAF" w:rsidRDefault="62FE5CAF" w:rsidP="62FE5CAF">
            <w:pPr>
              <w:jc w:val="both"/>
              <w:rPr>
                <w:sz w:val="24"/>
                <w:szCs w:val="24"/>
              </w:rPr>
            </w:pPr>
          </w:p>
          <w:p w14:paraId="3F14A340" w14:textId="77777777" w:rsidR="00A57AEB" w:rsidRDefault="00A57AEB" w:rsidP="62FE5CAF">
            <w:pPr>
              <w:jc w:val="both"/>
              <w:rPr>
                <w:sz w:val="24"/>
                <w:szCs w:val="24"/>
              </w:rPr>
            </w:pPr>
          </w:p>
          <w:p w14:paraId="1F90E38B" w14:textId="205D0CD6" w:rsidR="00A57AEB" w:rsidRDefault="00A57AEB" w:rsidP="62FE5CAF">
            <w:pPr>
              <w:jc w:val="both"/>
              <w:rPr>
                <w:sz w:val="24"/>
                <w:szCs w:val="24"/>
              </w:rPr>
            </w:pPr>
            <w:r>
              <w:rPr>
                <w:sz w:val="24"/>
                <w:szCs w:val="24"/>
              </w:rPr>
              <w:t>Within six months</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05DD319F" w:rsidR="00220D06" w:rsidRPr="00270EEB" w:rsidRDefault="00A57AEB" w:rsidP="00FF7EBB">
            <w:pPr>
              <w:jc w:val="both"/>
              <w:rPr>
                <w:sz w:val="24"/>
                <w:szCs w:val="24"/>
              </w:rPr>
            </w:pPr>
            <w:r>
              <w:rPr>
                <w:sz w:val="24"/>
                <w:szCs w:val="24"/>
              </w:rPr>
              <w:t xml:space="preserve">Advanced search </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D2C9215" w:rsidR="00A57AEB" w:rsidRDefault="00A57AEB" w:rsidP="00FF7EBB">
            <w:pPr>
              <w:jc w:val="both"/>
              <w:rPr>
                <w:sz w:val="24"/>
                <w:szCs w:val="24"/>
              </w:rPr>
            </w:pPr>
          </w:p>
          <w:p w14:paraId="61ED238B" w14:textId="471F9B66" w:rsidR="00A57AEB" w:rsidRDefault="00A57AEB" w:rsidP="00A57AEB">
            <w:pPr>
              <w:rPr>
                <w:sz w:val="24"/>
                <w:szCs w:val="24"/>
              </w:rPr>
            </w:pPr>
          </w:p>
          <w:p w14:paraId="22996648" w14:textId="1703C66F" w:rsidR="00220D06" w:rsidRPr="00A57AEB" w:rsidRDefault="00A57AEB" w:rsidP="00A57AEB">
            <w:pPr>
              <w:rPr>
                <w:sz w:val="24"/>
                <w:szCs w:val="24"/>
              </w:rPr>
            </w:pPr>
            <w:r>
              <w:rPr>
                <w:sz w:val="24"/>
                <w:szCs w:val="24"/>
              </w:rPr>
              <w:t xml:space="preserve">Collecting evidence of previous searches I have conducted to use as a portfolio to gain access to the course. </w:t>
            </w:r>
          </w:p>
        </w:tc>
        <w:tc>
          <w:tcPr>
            <w:tcW w:w="2230" w:type="dxa"/>
            <w:shd w:val="clear" w:color="auto" w:fill="auto"/>
          </w:tcPr>
          <w:p w14:paraId="55CDA8EA" w14:textId="71358E2B" w:rsidR="00A57AEB" w:rsidRDefault="00A57AEB" w:rsidP="00FF7EBB">
            <w:pPr>
              <w:jc w:val="both"/>
              <w:rPr>
                <w:sz w:val="24"/>
                <w:szCs w:val="24"/>
              </w:rPr>
            </w:pPr>
          </w:p>
          <w:p w14:paraId="2E9BFC10" w14:textId="52FEDEAB" w:rsidR="00A57AEB" w:rsidRDefault="00A57AEB" w:rsidP="00A57AEB">
            <w:pPr>
              <w:rPr>
                <w:sz w:val="24"/>
                <w:szCs w:val="24"/>
              </w:rPr>
            </w:pPr>
          </w:p>
          <w:p w14:paraId="16B12283" w14:textId="7AD89304" w:rsidR="00220D06" w:rsidRPr="00A57AEB" w:rsidRDefault="00A57AEB" w:rsidP="00A57AEB">
            <w:pPr>
              <w:rPr>
                <w:sz w:val="24"/>
                <w:szCs w:val="24"/>
              </w:rPr>
            </w:pPr>
            <w:r>
              <w:rPr>
                <w:sz w:val="24"/>
                <w:szCs w:val="24"/>
              </w:rPr>
              <w:t xml:space="preserve">Authorisation from inspector. Search tasking by PSC and Sargent. </w:t>
            </w:r>
          </w:p>
        </w:tc>
        <w:tc>
          <w:tcPr>
            <w:tcW w:w="2230" w:type="dxa"/>
            <w:shd w:val="clear" w:color="auto" w:fill="auto"/>
          </w:tcPr>
          <w:p w14:paraId="25AAFC86" w14:textId="74C5E2DA" w:rsidR="00A57AEB" w:rsidRDefault="00A57AEB" w:rsidP="62FE5CAF">
            <w:pPr>
              <w:jc w:val="both"/>
              <w:rPr>
                <w:sz w:val="24"/>
                <w:szCs w:val="24"/>
              </w:rPr>
            </w:pPr>
          </w:p>
          <w:p w14:paraId="4E2B5615" w14:textId="77777777" w:rsidR="00A57AEB" w:rsidRPr="00A57AEB" w:rsidRDefault="00A57AEB" w:rsidP="00A57AEB">
            <w:pPr>
              <w:rPr>
                <w:sz w:val="24"/>
                <w:szCs w:val="24"/>
              </w:rPr>
            </w:pPr>
          </w:p>
          <w:p w14:paraId="669CC698" w14:textId="1BCEA24F" w:rsidR="00A57AEB" w:rsidRDefault="00A57AEB" w:rsidP="00A57AEB">
            <w:pPr>
              <w:rPr>
                <w:sz w:val="24"/>
                <w:szCs w:val="24"/>
              </w:rPr>
            </w:pPr>
          </w:p>
          <w:p w14:paraId="61357495" w14:textId="333AC746" w:rsidR="62FE5CAF" w:rsidRPr="00A57AEB" w:rsidRDefault="00A57AEB" w:rsidP="00A57AEB">
            <w:pPr>
              <w:rPr>
                <w:sz w:val="24"/>
                <w:szCs w:val="24"/>
              </w:rPr>
            </w:pPr>
            <w:r>
              <w:rPr>
                <w:sz w:val="24"/>
                <w:szCs w:val="24"/>
              </w:rPr>
              <w:t>Within two years</w:t>
            </w:r>
          </w:p>
        </w:tc>
      </w:tr>
      <w:tr w:rsidR="00A57AEB" w:rsidRPr="00270EEB" w14:paraId="32973BBE" w14:textId="77777777" w:rsidTr="6E3AA50A">
        <w:tc>
          <w:tcPr>
            <w:tcW w:w="2318" w:type="dxa"/>
            <w:shd w:val="clear" w:color="auto" w:fill="auto"/>
          </w:tcPr>
          <w:p w14:paraId="27365973" w14:textId="77777777" w:rsidR="00A57AEB" w:rsidRPr="00270EEB" w:rsidRDefault="00A57AEB" w:rsidP="00A57AEB">
            <w:pPr>
              <w:jc w:val="both"/>
              <w:rPr>
                <w:sz w:val="24"/>
                <w:szCs w:val="24"/>
              </w:rPr>
            </w:pPr>
          </w:p>
          <w:p w14:paraId="6B12593B" w14:textId="77777777" w:rsidR="00A57AEB" w:rsidRPr="00270EEB" w:rsidRDefault="00A57AEB" w:rsidP="00A57AEB">
            <w:pPr>
              <w:jc w:val="both"/>
              <w:rPr>
                <w:sz w:val="24"/>
                <w:szCs w:val="24"/>
              </w:rPr>
            </w:pPr>
          </w:p>
          <w:p w14:paraId="39F61F13" w14:textId="77777777" w:rsidR="00A57AEB" w:rsidRPr="00270EEB" w:rsidRDefault="00A57AEB" w:rsidP="00A57AEB">
            <w:pPr>
              <w:jc w:val="both"/>
              <w:rPr>
                <w:sz w:val="24"/>
                <w:szCs w:val="24"/>
              </w:rPr>
            </w:pPr>
          </w:p>
          <w:p w14:paraId="3212F272" w14:textId="10B86DCE" w:rsidR="00A57AEB" w:rsidRPr="00270EEB" w:rsidRDefault="00A57AEB" w:rsidP="00A57AEB">
            <w:pPr>
              <w:jc w:val="both"/>
              <w:rPr>
                <w:sz w:val="24"/>
                <w:szCs w:val="24"/>
              </w:rPr>
            </w:pPr>
            <w:r>
              <w:rPr>
                <w:sz w:val="24"/>
                <w:szCs w:val="24"/>
              </w:rPr>
              <w:t>Taser training.</w:t>
            </w:r>
          </w:p>
          <w:p w14:paraId="1BEBD163" w14:textId="77777777" w:rsidR="00A57AEB" w:rsidRPr="00270EEB" w:rsidRDefault="00A57AEB" w:rsidP="00A57AEB">
            <w:pPr>
              <w:jc w:val="both"/>
              <w:rPr>
                <w:sz w:val="24"/>
                <w:szCs w:val="24"/>
              </w:rPr>
            </w:pPr>
          </w:p>
          <w:p w14:paraId="40CC91DD" w14:textId="77777777" w:rsidR="00A57AEB" w:rsidRPr="00270EEB" w:rsidRDefault="00A57AEB" w:rsidP="00A57AEB">
            <w:pPr>
              <w:jc w:val="both"/>
              <w:rPr>
                <w:sz w:val="24"/>
                <w:szCs w:val="24"/>
              </w:rPr>
            </w:pPr>
          </w:p>
          <w:p w14:paraId="0304AF65" w14:textId="77777777" w:rsidR="00A57AEB" w:rsidRPr="00270EEB" w:rsidRDefault="00A57AEB" w:rsidP="00A57AEB">
            <w:pPr>
              <w:jc w:val="both"/>
              <w:rPr>
                <w:sz w:val="24"/>
                <w:szCs w:val="24"/>
              </w:rPr>
            </w:pPr>
          </w:p>
          <w:p w14:paraId="65C95C94" w14:textId="77777777" w:rsidR="00A57AEB" w:rsidRPr="00270EEB" w:rsidRDefault="00A57AEB" w:rsidP="00A57AEB">
            <w:pPr>
              <w:jc w:val="both"/>
              <w:rPr>
                <w:sz w:val="24"/>
                <w:szCs w:val="24"/>
              </w:rPr>
            </w:pPr>
          </w:p>
          <w:p w14:paraId="78F17E05" w14:textId="77777777" w:rsidR="00A57AEB" w:rsidRPr="00270EEB" w:rsidRDefault="00A57AEB" w:rsidP="00A57AEB">
            <w:pPr>
              <w:jc w:val="both"/>
              <w:rPr>
                <w:sz w:val="24"/>
                <w:szCs w:val="24"/>
              </w:rPr>
            </w:pPr>
          </w:p>
          <w:p w14:paraId="637C7801" w14:textId="77777777" w:rsidR="00A57AEB" w:rsidRPr="00270EEB" w:rsidRDefault="00A57AEB" w:rsidP="00A57AEB">
            <w:pPr>
              <w:jc w:val="both"/>
              <w:rPr>
                <w:sz w:val="24"/>
                <w:szCs w:val="24"/>
              </w:rPr>
            </w:pPr>
          </w:p>
          <w:p w14:paraId="3914B7AC" w14:textId="77777777" w:rsidR="00A57AEB" w:rsidRPr="00270EEB" w:rsidRDefault="00A57AEB" w:rsidP="00A57AEB">
            <w:pPr>
              <w:jc w:val="both"/>
              <w:rPr>
                <w:sz w:val="24"/>
                <w:szCs w:val="24"/>
              </w:rPr>
            </w:pPr>
          </w:p>
          <w:p w14:paraId="6AD71E3E" w14:textId="77777777" w:rsidR="00A57AEB" w:rsidRPr="00270EEB" w:rsidRDefault="00A57AEB" w:rsidP="00A57AEB">
            <w:pPr>
              <w:jc w:val="both"/>
              <w:rPr>
                <w:sz w:val="24"/>
                <w:szCs w:val="24"/>
              </w:rPr>
            </w:pPr>
          </w:p>
          <w:p w14:paraId="59B02BC7" w14:textId="77777777" w:rsidR="00A57AEB" w:rsidRPr="00270EEB" w:rsidRDefault="00A57AEB" w:rsidP="00A57AEB">
            <w:pPr>
              <w:jc w:val="both"/>
              <w:rPr>
                <w:sz w:val="24"/>
                <w:szCs w:val="24"/>
              </w:rPr>
            </w:pPr>
          </w:p>
        </w:tc>
        <w:tc>
          <w:tcPr>
            <w:tcW w:w="2249" w:type="dxa"/>
            <w:shd w:val="clear" w:color="auto" w:fill="auto"/>
          </w:tcPr>
          <w:p w14:paraId="568C69DA" w14:textId="58CCFFF1" w:rsidR="00A57AEB" w:rsidRDefault="00A57AEB" w:rsidP="00A57AEB">
            <w:pPr>
              <w:jc w:val="both"/>
              <w:rPr>
                <w:sz w:val="24"/>
                <w:szCs w:val="24"/>
              </w:rPr>
            </w:pPr>
          </w:p>
          <w:p w14:paraId="4B83A986" w14:textId="2B00A884" w:rsidR="00A57AEB" w:rsidRDefault="00A57AEB" w:rsidP="00A57AEB">
            <w:pPr>
              <w:rPr>
                <w:sz w:val="24"/>
                <w:szCs w:val="24"/>
              </w:rPr>
            </w:pPr>
          </w:p>
          <w:p w14:paraId="534D8706" w14:textId="259E467B" w:rsidR="00A57AEB" w:rsidRPr="00A57AEB" w:rsidRDefault="00A57AEB" w:rsidP="00A57AEB">
            <w:pPr>
              <w:rPr>
                <w:sz w:val="24"/>
                <w:szCs w:val="24"/>
              </w:rPr>
            </w:pPr>
            <w:r>
              <w:rPr>
                <w:sz w:val="24"/>
                <w:szCs w:val="24"/>
              </w:rPr>
              <w:t>Providing evidence that I can manage conflict. Prove responsibility and judgement on high risk calls.</w:t>
            </w:r>
          </w:p>
        </w:tc>
        <w:tc>
          <w:tcPr>
            <w:tcW w:w="2230" w:type="dxa"/>
            <w:shd w:val="clear" w:color="auto" w:fill="auto"/>
          </w:tcPr>
          <w:p w14:paraId="06A71052" w14:textId="77777777" w:rsidR="00A57AEB" w:rsidRDefault="00A57AEB" w:rsidP="00A57AEB">
            <w:pPr>
              <w:jc w:val="both"/>
              <w:rPr>
                <w:sz w:val="24"/>
                <w:szCs w:val="24"/>
              </w:rPr>
            </w:pPr>
          </w:p>
          <w:p w14:paraId="5229DC40" w14:textId="77777777" w:rsidR="00A57AEB" w:rsidRDefault="00A57AEB" w:rsidP="00A57AEB">
            <w:pPr>
              <w:rPr>
                <w:sz w:val="24"/>
                <w:szCs w:val="24"/>
              </w:rPr>
            </w:pPr>
          </w:p>
          <w:p w14:paraId="2AF36183" w14:textId="77777777" w:rsidR="00A57AEB" w:rsidRDefault="00A57AEB" w:rsidP="00A57AEB">
            <w:pPr>
              <w:rPr>
                <w:sz w:val="24"/>
                <w:szCs w:val="24"/>
              </w:rPr>
            </w:pPr>
            <w:r>
              <w:rPr>
                <w:sz w:val="24"/>
                <w:szCs w:val="24"/>
              </w:rPr>
              <w:t>Authorisation from Sargent and Inspector to attend.</w:t>
            </w:r>
          </w:p>
          <w:p w14:paraId="5506B8D9" w14:textId="55F0A565" w:rsidR="00A57AEB" w:rsidRPr="00A57AEB" w:rsidRDefault="00A57AEB" w:rsidP="00A57AEB">
            <w:pPr>
              <w:rPr>
                <w:sz w:val="24"/>
                <w:szCs w:val="24"/>
              </w:rPr>
            </w:pPr>
            <w:r>
              <w:rPr>
                <w:sz w:val="24"/>
                <w:szCs w:val="24"/>
              </w:rPr>
              <w:t>Prior advice from experienced officers.</w:t>
            </w:r>
          </w:p>
        </w:tc>
        <w:tc>
          <w:tcPr>
            <w:tcW w:w="2230" w:type="dxa"/>
            <w:shd w:val="clear" w:color="auto" w:fill="auto"/>
          </w:tcPr>
          <w:p w14:paraId="5A4090B6" w14:textId="641F83EC" w:rsidR="00A57AEB" w:rsidRDefault="00A57AEB" w:rsidP="00A57AEB">
            <w:pPr>
              <w:jc w:val="both"/>
              <w:rPr>
                <w:sz w:val="24"/>
                <w:szCs w:val="24"/>
              </w:rPr>
            </w:pPr>
          </w:p>
          <w:p w14:paraId="12EDCC61" w14:textId="77777777" w:rsidR="00A57AEB" w:rsidRPr="00A57AEB" w:rsidRDefault="00A57AEB" w:rsidP="00A57AEB">
            <w:pPr>
              <w:rPr>
                <w:sz w:val="24"/>
                <w:szCs w:val="24"/>
              </w:rPr>
            </w:pPr>
          </w:p>
          <w:p w14:paraId="1F8B330D" w14:textId="77777777" w:rsidR="00A57AEB" w:rsidRPr="00A57AEB" w:rsidRDefault="00A57AEB" w:rsidP="00A57AEB">
            <w:pPr>
              <w:rPr>
                <w:sz w:val="24"/>
                <w:szCs w:val="24"/>
              </w:rPr>
            </w:pPr>
          </w:p>
          <w:p w14:paraId="3458740B" w14:textId="77777777" w:rsidR="00A57AEB" w:rsidRPr="00A57AEB" w:rsidRDefault="00A57AEB" w:rsidP="00A57AEB">
            <w:pPr>
              <w:rPr>
                <w:sz w:val="24"/>
                <w:szCs w:val="24"/>
              </w:rPr>
            </w:pPr>
          </w:p>
          <w:p w14:paraId="2814ED2D" w14:textId="4B4B65D3" w:rsidR="00A57AEB" w:rsidRDefault="00A57AEB" w:rsidP="00A57AEB">
            <w:pPr>
              <w:rPr>
                <w:sz w:val="24"/>
                <w:szCs w:val="24"/>
              </w:rPr>
            </w:pPr>
          </w:p>
          <w:p w14:paraId="268E2393" w14:textId="7FB5CA97" w:rsidR="00A57AEB" w:rsidRPr="00A57AEB" w:rsidRDefault="00A57AEB" w:rsidP="00A57AEB">
            <w:pPr>
              <w:rPr>
                <w:sz w:val="24"/>
                <w:szCs w:val="24"/>
              </w:rPr>
            </w:pPr>
            <w:r>
              <w:rPr>
                <w:sz w:val="24"/>
                <w:szCs w:val="24"/>
              </w:rPr>
              <w:t>Within one year.</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3296C9D3" w14:textId="4F63E982" w:rsidR="005E5505" w:rsidRPr="004E0D1C"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79D874D" w14:textId="77777777" w:rsidR="004E0D1C" w:rsidRPr="004E0D1C" w:rsidRDefault="004E0D1C" w:rsidP="004E0D1C">
      <w:pPr>
        <w:rPr>
          <w:rFonts w:ascii="Calibri" w:hAnsi="Calibri" w:cs="Calibri"/>
          <w:sz w:val="22"/>
          <w:szCs w:val="22"/>
        </w:rPr>
      </w:pPr>
    </w:p>
    <w:p w14:paraId="615C5D20" w14:textId="77777777" w:rsidR="004E0D1C" w:rsidRPr="004E0D1C" w:rsidRDefault="004E0D1C" w:rsidP="004E0D1C">
      <w:pPr>
        <w:rPr>
          <w:rFonts w:ascii="Calibri" w:hAnsi="Calibri" w:cs="Calibri"/>
          <w:sz w:val="22"/>
          <w:szCs w:val="22"/>
        </w:rPr>
      </w:pPr>
    </w:p>
    <w:p w14:paraId="2F6D91C2" w14:textId="77777777" w:rsidR="004E0D1C" w:rsidRPr="00C33C97" w:rsidRDefault="004E0D1C" w:rsidP="005E55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33C97">
        <w:rPr>
          <w:rFonts w:ascii="Calibri" w:eastAsia="Calibri" w:hAnsi="Calibri" w:cs="Times New Roman"/>
          <w:color w:val="auto"/>
          <w:sz w:val="22"/>
          <w:szCs w:val="22"/>
          <w:lang w:eastAsia="en-US"/>
        </w:rPr>
        <w:t>Arnetz, B. B., Nevedal, D. C., Lumley, M. A., Backman, L. and Lublin, A. (2009) ‘Trauma resilience training for police: Psychophysiological and performance effects’, </w:t>
      </w:r>
      <w:r w:rsidRPr="00C33C97">
        <w:rPr>
          <w:rFonts w:ascii="Calibri" w:eastAsia="Calibri" w:hAnsi="Calibri" w:cs="Times New Roman"/>
          <w:i/>
          <w:iCs/>
          <w:color w:val="auto"/>
          <w:sz w:val="22"/>
          <w:szCs w:val="22"/>
          <w:lang w:eastAsia="en-US"/>
        </w:rPr>
        <w:t>Journal of Police and criminal Psychology</w:t>
      </w:r>
      <w:r w:rsidRPr="00C33C97">
        <w:rPr>
          <w:rFonts w:ascii="Calibri" w:eastAsia="Calibri" w:hAnsi="Calibri" w:cs="Times New Roman"/>
          <w:color w:val="auto"/>
          <w:sz w:val="22"/>
          <w:szCs w:val="22"/>
          <w:lang w:eastAsia="en-US"/>
        </w:rPr>
        <w:t>, Vol. 24(1): 1-9.</w:t>
      </w:r>
    </w:p>
    <w:p w14:paraId="197D7FFE" w14:textId="77777777" w:rsidR="004E0D1C" w:rsidRDefault="004E0D1C" w:rsidP="005E55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E5505">
        <w:rPr>
          <w:rFonts w:ascii="Calibri" w:eastAsia="Calibri" w:hAnsi="Calibri" w:cs="Times New Roman"/>
          <w:color w:val="auto"/>
          <w:sz w:val="22"/>
          <w:szCs w:val="22"/>
          <w:lang w:eastAsia="en-US"/>
        </w:rPr>
        <w:t xml:space="preserve">Collage of Policing (2016) </w:t>
      </w:r>
      <w:r w:rsidRPr="005E5505">
        <w:rPr>
          <w:rFonts w:ascii="Calibri" w:eastAsia="Calibri" w:hAnsi="Calibri" w:cs="Times New Roman"/>
          <w:i/>
          <w:iCs/>
          <w:color w:val="auto"/>
          <w:sz w:val="22"/>
          <w:szCs w:val="22"/>
          <w:lang w:eastAsia="en-US"/>
        </w:rPr>
        <w:t>Competency and Values Framework for policing</w:t>
      </w:r>
      <w:r w:rsidRPr="005E5505">
        <w:rPr>
          <w:rFonts w:ascii="Calibri" w:eastAsia="Calibri" w:hAnsi="Calibri" w:cs="Times New Roman"/>
          <w:color w:val="auto"/>
          <w:sz w:val="22"/>
          <w:szCs w:val="22"/>
          <w:lang w:eastAsia="en-US"/>
        </w:rPr>
        <w:t xml:space="preserve">. Available online at </w:t>
      </w:r>
      <w:hyperlink r:id="rId35" w:history="1">
        <w:r w:rsidRPr="004E0D1C">
          <w:rPr>
            <w:rFonts w:ascii="Calibri" w:eastAsia="Calibri" w:hAnsi="Calibri" w:cs="Times New Roman"/>
            <w:color w:val="0070C0"/>
            <w:sz w:val="22"/>
            <w:szCs w:val="22"/>
            <w:u w:val="single"/>
            <w:lang w:eastAsia="en-US"/>
          </w:rPr>
          <w:t>https://d17wy4t6ps30xx.cloudfront.net/production/uploads/2017/09/Competency-and-Values-Framework-for-Policing_4.11.16.pdf</w:t>
        </w:r>
      </w:hyperlink>
      <w:r w:rsidRPr="004E0D1C">
        <w:rPr>
          <w:rFonts w:ascii="Calibri" w:eastAsia="Calibri" w:hAnsi="Calibri" w:cs="Times New Roman"/>
          <w:color w:val="0070C0"/>
          <w:sz w:val="22"/>
          <w:szCs w:val="22"/>
          <w:lang w:eastAsia="en-US"/>
        </w:rPr>
        <w:t xml:space="preserve"> </w:t>
      </w:r>
      <w:r w:rsidRPr="005E5505">
        <w:rPr>
          <w:rFonts w:ascii="Calibri" w:eastAsia="Calibri" w:hAnsi="Calibri" w:cs="Times New Roman"/>
          <w:color w:val="auto"/>
          <w:sz w:val="22"/>
          <w:szCs w:val="22"/>
          <w:lang w:eastAsia="en-US"/>
        </w:rPr>
        <w:t>[Accessed on 2 September, 2021].</w:t>
      </w:r>
    </w:p>
    <w:p w14:paraId="7EA3F5CE" w14:textId="77777777" w:rsidR="004E0D1C" w:rsidRPr="005611BA" w:rsidRDefault="004E0D1C" w:rsidP="005E5505">
      <w:pPr>
        <w:overflowPunct/>
        <w:autoSpaceDE/>
        <w:autoSpaceDN/>
        <w:adjustRightInd/>
        <w:spacing w:after="160" w:line="259" w:lineRule="auto"/>
        <w:textAlignment w:val="auto"/>
        <w:rPr>
          <w:rFonts w:ascii="Calibri" w:eastAsia="Calibri" w:hAnsi="Calibri" w:cs="Times New Roman"/>
          <w:b/>
          <w:bCs/>
          <w:color w:val="auto"/>
          <w:sz w:val="22"/>
          <w:szCs w:val="22"/>
          <w:lang w:eastAsia="en-US"/>
        </w:rPr>
      </w:pPr>
      <w:r w:rsidRPr="005611BA">
        <w:rPr>
          <w:rFonts w:ascii="Calibri" w:eastAsia="Calibri" w:hAnsi="Calibri" w:cs="Times New Roman"/>
          <w:color w:val="auto"/>
          <w:sz w:val="22"/>
          <w:szCs w:val="22"/>
          <w:lang w:eastAsia="en-US"/>
        </w:rPr>
        <w:t xml:space="preserve">College of Policing (2021) </w:t>
      </w:r>
      <w:r w:rsidRPr="005611BA">
        <w:rPr>
          <w:rFonts w:ascii="Calibri" w:eastAsia="Calibri" w:hAnsi="Calibri" w:cs="Times New Roman"/>
          <w:i/>
          <w:iCs/>
          <w:color w:val="auto"/>
          <w:sz w:val="22"/>
          <w:szCs w:val="22"/>
          <w:lang w:eastAsia="en-US"/>
        </w:rPr>
        <w:t xml:space="preserve">Police use of force. </w:t>
      </w:r>
      <w:r w:rsidRPr="005611BA">
        <w:rPr>
          <w:rFonts w:ascii="Calibri" w:eastAsia="Calibri" w:hAnsi="Calibri" w:cs="Times New Roman"/>
          <w:color w:val="auto"/>
          <w:sz w:val="22"/>
          <w:szCs w:val="22"/>
          <w:lang w:eastAsia="en-US"/>
        </w:rPr>
        <w:t xml:space="preserve">Available online at </w:t>
      </w:r>
      <w:hyperlink r:id="rId36" w:history="1">
        <w:r w:rsidRPr="005611BA">
          <w:rPr>
            <w:rFonts w:ascii="Calibri" w:eastAsia="Calibri" w:hAnsi="Calibri" w:cs="Times New Roman"/>
            <w:color w:val="0563C1"/>
            <w:sz w:val="22"/>
            <w:szCs w:val="22"/>
            <w:u w:val="single"/>
            <w:lang w:eastAsia="en-US"/>
          </w:rPr>
          <w:t>https://www.app.college.police.uk/app-content/public-order/core-principles-and-legislation/police-use-of-force/</w:t>
        </w:r>
      </w:hyperlink>
      <w:r w:rsidRPr="005611BA">
        <w:rPr>
          <w:rFonts w:ascii="Calibri" w:eastAsia="Calibri" w:hAnsi="Calibri" w:cs="Times New Roman"/>
          <w:color w:val="auto"/>
          <w:sz w:val="22"/>
          <w:szCs w:val="22"/>
          <w:lang w:eastAsia="en-US"/>
        </w:rPr>
        <w:t xml:space="preserve"> [Accessed on 1 September, 2021].</w:t>
      </w:r>
    </w:p>
    <w:p w14:paraId="7319EB6D" w14:textId="77777777" w:rsidR="004E0D1C" w:rsidRPr="005611BA" w:rsidRDefault="004E0D1C" w:rsidP="005E55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t xml:space="preserve">Criminal Law Act 1967, c. 58. Available online at </w:t>
      </w:r>
      <w:hyperlink r:id="rId37" w:history="1">
        <w:r w:rsidRPr="005611BA">
          <w:rPr>
            <w:rFonts w:ascii="Calibri" w:eastAsia="Calibri" w:hAnsi="Calibri" w:cs="Times New Roman"/>
            <w:color w:val="0563C1"/>
            <w:sz w:val="22"/>
            <w:szCs w:val="22"/>
            <w:u w:val="single"/>
            <w:lang w:eastAsia="en-US"/>
          </w:rPr>
          <w:t>https://www.legislation.gov.uk/ukpga/1967/58/contents</w:t>
        </w:r>
      </w:hyperlink>
      <w:r w:rsidRPr="005611BA">
        <w:rPr>
          <w:rFonts w:ascii="Calibri" w:eastAsia="Calibri" w:hAnsi="Calibri" w:cs="Times New Roman"/>
          <w:color w:val="auto"/>
          <w:sz w:val="22"/>
          <w:szCs w:val="22"/>
          <w:lang w:eastAsia="en-US"/>
        </w:rPr>
        <w:t xml:space="preserve"> [Accessed on 1 September, 2021].</w:t>
      </w:r>
    </w:p>
    <w:p w14:paraId="44699DB9" w14:textId="77777777" w:rsidR="004E0D1C" w:rsidRPr="004E0D1C" w:rsidRDefault="004E0D1C" w:rsidP="004E0D1C">
      <w:pPr>
        <w:rPr>
          <w:rFonts w:ascii="Calibri" w:hAnsi="Calibri" w:cs="Calibri"/>
          <w:sz w:val="22"/>
          <w:szCs w:val="22"/>
        </w:rPr>
      </w:pPr>
      <w:r w:rsidRPr="004E0D1C">
        <w:rPr>
          <w:rFonts w:ascii="Calibri" w:hAnsi="Calibri" w:cs="Calibri"/>
          <w:sz w:val="22"/>
          <w:szCs w:val="22"/>
        </w:rPr>
        <w:t xml:space="preserve">Crown Prosecution Service (n.d.) </w:t>
      </w:r>
      <w:r w:rsidRPr="004E0D1C">
        <w:rPr>
          <w:rFonts w:ascii="Calibri" w:hAnsi="Calibri" w:cs="Calibri"/>
          <w:i/>
          <w:iCs/>
          <w:sz w:val="22"/>
          <w:szCs w:val="22"/>
        </w:rPr>
        <w:t xml:space="preserve">Hate Crime. </w:t>
      </w:r>
      <w:r w:rsidRPr="004E0D1C">
        <w:rPr>
          <w:rFonts w:ascii="Calibri" w:hAnsi="Calibri" w:cs="Calibri"/>
          <w:sz w:val="22"/>
          <w:szCs w:val="22"/>
        </w:rPr>
        <w:t xml:space="preserve">Available online at </w:t>
      </w:r>
      <w:hyperlink r:id="rId38" w:history="1">
        <w:r w:rsidRPr="004E0D1C">
          <w:rPr>
            <w:rFonts w:ascii="Calibri" w:hAnsi="Calibri" w:cs="Calibri"/>
            <w:color w:val="0563C1"/>
            <w:sz w:val="22"/>
            <w:szCs w:val="22"/>
            <w:u w:val="single"/>
          </w:rPr>
          <w:t>https://www.cps.gov.uk/crime-info/hate-crime</w:t>
        </w:r>
      </w:hyperlink>
      <w:r w:rsidRPr="004E0D1C">
        <w:rPr>
          <w:rFonts w:ascii="Calibri" w:hAnsi="Calibri" w:cs="Calibri"/>
          <w:sz w:val="22"/>
          <w:szCs w:val="22"/>
        </w:rPr>
        <w:t xml:space="preserve"> [Accessed on 28 August, 2021].</w:t>
      </w:r>
    </w:p>
    <w:p w14:paraId="22D4960E" w14:textId="77777777" w:rsidR="004E0D1C" w:rsidRPr="005611BA" w:rsidRDefault="004E0D1C" w:rsidP="005E55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t>Gibbs, G. (1988). Learning by doing: A guide to teaching and learning methods. Oxford: Oxford Further Education Unit.</w:t>
      </w:r>
    </w:p>
    <w:p w14:paraId="508D5460" w14:textId="77777777" w:rsidR="004E0D1C" w:rsidRPr="00C33C97" w:rsidRDefault="004E0D1C" w:rsidP="005E55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C33C97">
        <w:rPr>
          <w:rFonts w:ascii="Calibri" w:eastAsia="Calibri" w:hAnsi="Calibri" w:cs="Times New Roman"/>
          <w:color w:val="auto"/>
          <w:sz w:val="22"/>
          <w:szCs w:val="22"/>
          <w:lang w:eastAsia="en-US"/>
        </w:rPr>
        <w:t xml:space="preserve">Gibbs, G. (1988). </w:t>
      </w:r>
      <w:r w:rsidRPr="00C33C97">
        <w:rPr>
          <w:rFonts w:ascii="Calibri" w:eastAsia="Calibri" w:hAnsi="Calibri" w:cs="Times New Roman"/>
          <w:i/>
          <w:iCs/>
          <w:color w:val="auto"/>
          <w:sz w:val="22"/>
          <w:szCs w:val="22"/>
          <w:lang w:eastAsia="en-US"/>
        </w:rPr>
        <w:t>Learning by doing: A guide to teaching and learning methods</w:t>
      </w:r>
      <w:r w:rsidRPr="00C33C97">
        <w:rPr>
          <w:rFonts w:ascii="Calibri" w:eastAsia="Calibri" w:hAnsi="Calibri" w:cs="Times New Roman"/>
          <w:color w:val="auto"/>
          <w:sz w:val="22"/>
          <w:szCs w:val="22"/>
          <w:lang w:eastAsia="en-US"/>
        </w:rPr>
        <w:t>. Oxford: Oxford Further Education Unit.</w:t>
      </w:r>
    </w:p>
    <w:p w14:paraId="58EAD70B" w14:textId="77777777" w:rsidR="004E0D1C" w:rsidRPr="00C33C97" w:rsidRDefault="004E0D1C" w:rsidP="005E5505">
      <w:pPr>
        <w:overflowPunct/>
        <w:autoSpaceDE/>
        <w:autoSpaceDN/>
        <w:adjustRightInd/>
        <w:spacing w:after="160" w:line="259" w:lineRule="auto"/>
        <w:textAlignment w:val="auto"/>
        <w:rPr>
          <w:rFonts w:ascii="Calibri" w:eastAsia="Calibri" w:hAnsi="Calibri" w:cs="Times New Roman"/>
          <w:b/>
          <w:i/>
          <w:color w:val="auto"/>
          <w:sz w:val="22"/>
          <w:szCs w:val="22"/>
          <w:lang w:eastAsia="en-US"/>
        </w:rPr>
      </w:pPr>
      <w:r w:rsidRPr="00C33C97">
        <w:rPr>
          <w:rFonts w:ascii="Calibri" w:eastAsia="Calibri" w:hAnsi="Calibri" w:cs="Times New Roman"/>
          <w:bCs/>
          <w:iCs/>
          <w:color w:val="auto"/>
          <w:sz w:val="22"/>
          <w:szCs w:val="22"/>
          <w:lang w:eastAsia="en-US"/>
        </w:rPr>
        <w:t>Haglund, M. E. M., Nestandt, P. S., Cooper, N. S., Southwick, S. M. and Charney, D.S (2007)</w:t>
      </w:r>
      <w:r w:rsidRPr="00C33C97">
        <w:rPr>
          <w:rFonts w:ascii="Calibri" w:eastAsia="Calibri" w:hAnsi="Calibri" w:cs="Times New Roman"/>
          <w:bCs/>
          <w:i/>
          <w:color w:val="auto"/>
          <w:sz w:val="22"/>
          <w:szCs w:val="22"/>
          <w:lang w:eastAsia="en-US"/>
        </w:rPr>
        <w:t xml:space="preserve"> </w:t>
      </w:r>
      <w:r w:rsidRPr="00C33C97">
        <w:rPr>
          <w:rFonts w:ascii="Calibri" w:eastAsia="Calibri" w:hAnsi="Calibri" w:cs="Times New Roman"/>
          <w:bCs/>
          <w:iCs/>
          <w:color w:val="auto"/>
          <w:sz w:val="22"/>
          <w:szCs w:val="22"/>
          <w:lang w:eastAsia="en-US"/>
        </w:rPr>
        <w:t>‘Psychobiological mechanisms of resilience: Relevance to prevention and treatment of stress related psychopathology’,</w:t>
      </w:r>
      <w:r w:rsidRPr="00C33C97">
        <w:rPr>
          <w:rFonts w:ascii="Calibri" w:eastAsia="Calibri" w:hAnsi="Calibri" w:cs="Times New Roman"/>
          <w:b/>
          <w:i/>
          <w:color w:val="auto"/>
          <w:sz w:val="22"/>
          <w:szCs w:val="22"/>
          <w:lang w:eastAsia="en-US"/>
        </w:rPr>
        <w:t xml:space="preserve"> </w:t>
      </w:r>
      <w:r w:rsidRPr="00C33C97">
        <w:rPr>
          <w:rFonts w:ascii="Calibri" w:eastAsia="Calibri" w:hAnsi="Calibri" w:cs="Times New Roman"/>
          <w:bCs/>
          <w:i/>
          <w:color w:val="auto"/>
          <w:sz w:val="22"/>
          <w:szCs w:val="22"/>
          <w:lang w:eastAsia="en-US"/>
        </w:rPr>
        <w:t>Development and Psychopathology</w:t>
      </w:r>
      <w:r w:rsidRPr="00C33C97">
        <w:rPr>
          <w:rFonts w:ascii="Calibri" w:eastAsia="Calibri" w:hAnsi="Calibri" w:cs="Times New Roman"/>
          <w:b/>
          <w:i/>
          <w:color w:val="auto"/>
          <w:sz w:val="22"/>
          <w:szCs w:val="22"/>
          <w:lang w:eastAsia="en-US"/>
        </w:rPr>
        <w:t xml:space="preserve">, </w:t>
      </w:r>
      <w:r w:rsidRPr="00C33C97">
        <w:rPr>
          <w:rFonts w:ascii="Calibri" w:eastAsia="Calibri" w:hAnsi="Calibri" w:cs="Times New Roman"/>
          <w:bCs/>
          <w:iCs/>
          <w:color w:val="auto"/>
          <w:sz w:val="22"/>
          <w:szCs w:val="22"/>
          <w:lang w:eastAsia="en-US"/>
        </w:rPr>
        <w:t>Vol. 19(3): 889-920.</w:t>
      </w:r>
    </w:p>
    <w:p w14:paraId="4448979D" w14:textId="77777777" w:rsidR="004E0D1C" w:rsidRPr="004E0D1C" w:rsidRDefault="004E0D1C" w:rsidP="004E0D1C">
      <w:pPr>
        <w:rPr>
          <w:rFonts w:ascii="Calibri" w:hAnsi="Calibri" w:cs="Calibri"/>
          <w:sz w:val="22"/>
          <w:szCs w:val="22"/>
        </w:rPr>
      </w:pPr>
      <w:r w:rsidRPr="004E0D1C">
        <w:rPr>
          <w:rFonts w:ascii="Calibri" w:hAnsi="Calibri" w:cs="Calibri"/>
          <w:sz w:val="22"/>
          <w:szCs w:val="22"/>
        </w:rPr>
        <w:t xml:space="preserve">HM Government (n.d.) Hate Crime. Available online at </w:t>
      </w:r>
      <w:hyperlink r:id="rId39" w:history="1">
        <w:r w:rsidRPr="004E0D1C">
          <w:rPr>
            <w:rFonts w:ascii="Calibri" w:hAnsi="Calibri" w:cs="Calibri"/>
            <w:color w:val="0563C1"/>
            <w:sz w:val="22"/>
            <w:szCs w:val="22"/>
            <w:u w:val="single"/>
          </w:rPr>
          <w:t>https://hatecrime.campaign.gov.uk/</w:t>
        </w:r>
      </w:hyperlink>
      <w:r w:rsidRPr="004E0D1C">
        <w:rPr>
          <w:rFonts w:ascii="Calibri" w:hAnsi="Calibri" w:cs="Calibri"/>
          <w:sz w:val="22"/>
          <w:szCs w:val="22"/>
        </w:rPr>
        <w:t xml:space="preserve"> [Accessed on 27 August, 2021].</w:t>
      </w:r>
    </w:p>
    <w:p w14:paraId="2FED3AFA" w14:textId="77777777" w:rsidR="004E0D1C" w:rsidRPr="005611BA" w:rsidRDefault="004E0D1C" w:rsidP="005E55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t xml:space="preserve">Karpman, S. B. (1968) ‘Fairy tales and script drama analysis’, </w:t>
      </w:r>
      <w:r w:rsidRPr="005611BA">
        <w:rPr>
          <w:rFonts w:ascii="Calibri" w:eastAsia="Calibri" w:hAnsi="Calibri" w:cs="Times New Roman"/>
          <w:i/>
          <w:iCs/>
          <w:color w:val="auto"/>
          <w:sz w:val="22"/>
          <w:szCs w:val="22"/>
          <w:lang w:eastAsia="en-US"/>
        </w:rPr>
        <w:t>Transactional Analysis Bulletin</w:t>
      </w:r>
      <w:r w:rsidRPr="005611BA">
        <w:rPr>
          <w:rFonts w:ascii="Calibri" w:eastAsia="Calibri" w:hAnsi="Calibri" w:cs="Times New Roman"/>
          <w:color w:val="auto"/>
          <w:sz w:val="22"/>
          <w:szCs w:val="22"/>
          <w:lang w:eastAsia="en-US"/>
        </w:rPr>
        <w:t>, Vol. 7(26): 39–43.</w:t>
      </w:r>
    </w:p>
    <w:p w14:paraId="3AFC5399" w14:textId="77777777" w:rsidR="004E0D1C" w:rsidRPr="005611BA" w:rsidRDefault="004E0D1C" w:rsidP="005E55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t>Lashley, J. (2009). Autism spectrum disorders: A special needs subject response guide for police officers. </w:t>
      </w:r>
      <w:r w:rsidRPr="005611BA">
        <w:rPr>
          <w:rFonts w:ascii="Calibri" w:eastAsia="Calibri" w:hAnsi="Calibri" w:cs="Times New Roman"/>
          <w:i/>
          <w:iCs/>
          <w:color w:val="auto"/>
          <w:sz w:val="22"/>
          <w:szCs w:val="22"/>
          <w:lang w:eastAsia="en-US"/>
        </w:rPr>
        <w:t>Milwaukee: Children's Hospital and Health System</w:t>
      </w:r>
      <w:r w:rsidRPr="005611BA">
        <w:rPr>
          <w:rFonts w:ascii="Calibri" w:eastAsia="Calibri" w:hAnsi="Calibri" w:cs="Times New Roman"/>
          <w:color w:val="auto"/>
          <w:sz w:val="22"/>
          <w:szCs w:val="22"/>
          <w:lang w:eastAsia="en-US"/>
        </w:rPr>
        <w:t xml:space="preserve">. Available online at </w:t>
      </w:r>
      <w:hyperlink r:id="rId40" w:history="1">
        <w:r w:rsidRPr="005611BA">
          <w:rPr>
            <w:rFonts w:ascii="Calibri" w:eastAsia="Calibri" w:hAnsi="Calibri" w:cs="Times New Roman"/>
            <w:color w:val="0563C1"/>
            <w:sz w:val="22"/>
            <w:szCs w:val="22"/>
            <w:u w:val="single"/>
            <w:lang w:eastAsia="en-US"/>
          </w:rPr>
          <w:t>https://www.researchgate.net/profile/Joel-Lashley/publication/235996329_Autism_Spectrum_Disorders_A_Special_Needs_Subject_Response_Guide_for_Police_Officers_C/links/00b7d5155dd685d7c1000000/Autism-Spectrum-Disorders-A-Special-Needs-Subject-Response-Guide-for-Police-Officers-C.pdf</w:t>
        </w:r>
      </w:hyperlink>
      <w:r w:rsidRPr="005611BA">
        <w:rPr>
          <w:rFonts w:ascii="Calibri" w:eastAsia="Calibri" w:hAnsi="Calibri" w:cs="Times New Roman"/>
          <w:color w:val="auto"/>
          <w:sz w:val="22"/>
          <w:szCs w:val="22"/>
          <w:lang w:eastAsia="en-US"/>
        </w:rPr>
        <w:t xml:space="preserve"> [Accessed on 31 August, 2021].</w:t>
      </w:r>
    </w:p>
    <w:p w14:paraId="7D1FF90F" w14:textId="77777777" w:rsidR="004E0D1C" w:rsidRPr="004E0D1C" w:rsidRDefault="004E0D1C" w:rsidP="004E0D1C">
      <w:pPr>
        <w:rPr>
          <w:rFonts w:ascii="Calibri" w:hAnsi="Calibri" w:cs="Calibri"/>
          <w:sz w:val="22"/>
          <w:szCs w:val="22"/>
        </w:rPr>
      </w:pPr>
      <w:r w:rsidRPr="004E0D1C">
        <w:rPr>
          <w:rFonts w:ascii="Calibri" w:hAnsi="Calibri" w:cs="Calibri"/>
          <w:sz w:val="22"/>
          <w:szCs w:val="22"/>
        </w:rPr>
        <w:t xml:space="preserve">Ministry of Justice (2020) </w:t>
      </w:r>
      <w:r w:rsidRPr="004E0D1C">
        <w:rPr>
          <w:rFonts w:ascii="Calibri" w:hAnsi="Calibri" w:cs="Calibri"/>
          <w:i/>
          <w:iCs/>
          <w:sz w:val="22"/>
          <w:szCs w:val="22"/>
        </w:rPr>
        <w:t xml:space="preserve">Code of Practice for Victims of Crime in England and Wales. </w:t>
      </w:r>
      <w:r w:rsidRPr="004E0D1C">
        <w:rPr>
          <w:rFonts w:ascii="Calibri" w:hAnsi="Calibri" w:cs="Calibri"/>
          <w:sz w:val="22"/>
          <w:szCs w:val="22"/>
        </w:rPr>
        <w:t xml:space="preserve">Available online at </w:t>
      </w:r>
      <w:hyperlink r:id="rId41" w:history="1">
        <w:r w:rsidRPr="004E0D1C">
          <w:rPr>
            <w:rFonts w:ascii="Calibri" w:hAnsi="Calibri" w:cs="Calibri"/>
            <w:color w:val="0563C1"/>
            <w:sz w:val="22"/>
            <w:szCs w:val="22"/>
            <w:u w:val="single"/>
          </w:rPr>
          <w:t>https://assets.publishing.service.gov.uk/government/uploads/system/uploads/attachment_data/file/936239/victims-code-2020.pdf</w:t>
        </w:r>
      </w:hyperlink>
      <w:r w:rsidRPr="004E0D1C">
        <w:rPr>
          <w:rFonts w:ascii="Calibri" w:hAnsi="Calibri" w:cs="Calibri"/>
          <w:sz w:val="22"/>
          <w:szCs w:val="22"/>
        </w:rPr>
        <w:t xml:space="preserve"> [Accessed on 1 September, 2021]. </w:t>
      </w:r>
    </w:p>
    <w:p w14:paraId="4EA2A48B" w14:textId="77777777" w:rsidR="004E0D1C" w:rsidRPr="005E5505" w:rsidRDefault="004E0D1C" w:rsidP="005E55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E5505">
        <w:rPr>
          <w:rFonts w:ascii="Calibri" w:eastAsia="Calibri" w:hAnsi="Calibri" w:cs="Times New Roman"/>
          <w:color w:val="auto"/>
          <w:sz w:val="22"/>
          <w:szCs w:val="22"/>
          <w:lang w:eastAsia="en-US"/>
        </w:rPr>
        <w:lastRenderedPageBreak/>
        <w:t>Myhill, A. and Johnson, K. (2016) ‘Police use of discretion in response to domestic violence’, </w:t>
      </w:r>
      <w:r w:rsidRPr="005E5505">
        <w:rPr>
          <w:rFonts w:ascii="Calibri" w:eastAsia="Calibri" w:hAnsi="Calibri" w:cs="Times New Roman"/>
          <w:i/>
          <w:iCs/>
          <w:color w:val="auto"/>
          <w:sz w:val="22"/>
          <w:szCs w:val="22"/>
          <w:lang w:eastAsia="en-US"/>
        </w:rPr>
        <w:t>Criminology &amp; Criminal Justice</w:t>
      </w:r>
      <w:r w:rsidRPr="005E5505">
        <w:rPr>
          <w:rFonts w:ascii="Calibri" w:eastAsia="Calibri" w:hAnsi="Calibri" w:cs="Times New Roman"/>
          <w:color w:val="auto"/>
          <w:sz w:val="22"/>
          <w:szCs w:val="22"/>
          <w:lang w:eastAsia="en-US"/>
        </w:rPr>
        <w:t>, Vol. 16(1): 3-20.</w:t>
      </w:r>
    </w:p>
    <w:p w14:paraId="508F3825" w14:textId="77777777" w:rsidR="004E0D1C" w:rsidRDefault="004E0D1C" w:rsidP="005E5505">
      <w:pPr>
        <w:overflowPunct/>
        <w:autoSpaceDE/>
        <w:autoSpaceDN/>
        <w:adjustRightInd/>
        <w:spacing w:after="160" w:line="259" w:lineRule="auto"/>
        <w:textAlignment w:val="auto"/>
        <w:rPr>
          <w:rFonts w:ascii="Calibri" w:eastAsia="Calibri" w:hAnsi="Calibri" w:cs="Times New Roman"/>
          <w:color w:val="auto"/>
          <w:sz w:val="22"/>
          <w:szCs w:val="22"/>
          <w:lang w:eastAsia="en-US"/>
        </w:rPr>
      </w:pPr>
      <w:r w:rsidRPr="005611BA">
        <w:rPr>
          <w:rFonts w:ascii="Calibri" w:eastAsia="Calibri" w:hAnsi="Calibri" w:cs="Times New Roman"/>
          <w:color w:val="auto"/>
          <w:sz w:val="22"/>
          <w:szCs w:val="22"/>
          <w:lang w:eastAsia="en-US"/>
        </w:rPr>
        <w:t xml:space="preserve">Police and Criminal Evidence Act 1984, c. 60. Available online at </w:t>
      </w:r>
      <w:hyperlink r:id="rId42" w:history="1">
        <w:r w:rsidRPr="005611BA">
          <w:rPr>
            <w:rFonts w:ascii="Calibri" w:eastAsia="Calibri" w:hAnsi="Calibri" w:cs="Times New Roman"/>
            <w:color w:val="0563C1"/>
            <w:sz w:val="22"/>
            <w:szCs w:val="22"/>
            <w:u w:val="single"/>
            <w:lang w:eastAsia="en-US"/>
          </w:rPr>
          <w:t>https://www.legislation.gov.uk/ukpga/1984/60/contents</w:t>
        </w:r>
      </w:hyperlink>
      <w:r w:rsidRPr="005611BA">
        <w:rPr>
          <w:rFonts w:ascii="Calibri" w:eastAsia="Calibri" w:hAnsi="Calibri" w:cs="Times New Roman"/>
          <w:color w:val="auto"/>
          <w:sz w:val="22"/>
          <w:szCs w:val="22"/>
          <w:lang w:eastAsia="en-US"/>
        </w:rPr>
        <w:t xml:space="preserve"> [Accessed on 1 September, 2021].</w:t>
      </w:r>
    </w:p>
    <w:p w14:paraId="78550488" w14:textId="77777777" w:rsidR="005E5505" w:rsidRPr="005611BA" w:rsidRDefault="005E5505" w:rsidP="005E5505">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7D4CF524" w14:textId="77777777" w:rsidR="005E5505" w:rsidRDefault="005E5505" w:rsidP="005E5505">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01E9CA92" w14:textId="77777777" w:rsidR="005E5505" w:rsidRPr="005E5505" w:rsidRDefault="005E5505" w:rsidP="005E5505">
      <w:pPr>
        <w:overflowPunct/>
        <w:autoSpaceDE/>
        <w:autoSpaceDN/>
        <w:adjustRightInd/>
        <w:spacing w:after="160" w:line="259" w:lineRule="auto"/>
        <w:textAlignment w:val="auto"/>
        <w:rPr>
          <w:rFonts w:ascii="Calibri" w:eastAsia="Calibri" w:hAnsi="Calibri" w:cs="Times New Roman"/>
          <w:color w:val="auto"/>
          <w:sz w:val="22"/>
          <w:szCs w:val="22"/>
          <w:lang w:eastAsia="en-US"/>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A57AEB">
          <w:headerReference w:type="even" r:id="rId43"/>
          <w:headerReference w:type="default" r:id="rId44"/>
          <w:footerReference w:type="even" r:id="rId45"/>
          <w:footerReference w:type="default" r:id="rId46"/>
          <w:headerReference w:type="first" r:id="rId47"/>
          <w:footerReference w:type="first" r:id="rId48"/>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E302B1E" w:rsidR="62FE5CAF" w:rsidRDefault="62FE5CAF" w:rsidP="62FE5CAF">
      <w:pPr>
        <w:jc w:val="both"/>
        <w:rPr>
          <w:sz w:val="24"/>
          <w:szCs w:val="24"/>
        </w:rPr>
      </w:pPr>
      <w:r w:rsidRPr="48DF4B50">
        <w:rPr>
          <w:sz w:val="24"/>
          <w:szCs w:val="24"/>
        </w:rPr>
        <w:t xml:space="preserve">Signed:  _ _ </w:t>
      </w:r>
      <w:r w:rsidR="00C44CA1">
        <w:rPr>
          <w:sz w:val="24"/>
          <w:szCs w:val="24"/>
        </w:rPr>
        <w:t>M McNally</w:t>
      </w:r>
      <w:r w:rsidRPr="48DF4B50">
        <w:rPr>
          <w:sz w:val="24"/>
          <w:szCs w:val="24"/>
        </w:rPr>
        <w:t>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135E7345" w:rsidR="62FE5CAF" w:rsidRDefault="62FE5CAF" w:rsidP="62FE5CAF">
      <w:pPr>
        <w:jc w:val="both"/>
        <w:rPr>
          <w:sz w:val="24"/>
          <w:szCs w:val="24"/>
        </w:rPr>
      </w:pPr>
      <w:r w:rsidRPr="62FE5CAF">
        <w:rPr>
          <w:sz w:val="24"/>
          <w:szCs w:val="24"/>
        </w:rPr>
        <w:t xml:space="preserve">Date: _ </w:t>
      </w:r>
      <w:r w:rsidR="00C44CA1">
        <w:rPr>
          <w:sz w:val="24"/>
          <w:szCs w:val="24"/>
        </w:rPr>
        <w:t>06/09/2021</w:t>
      </w:r>
      <w:bookmarkStart w:id="18" w:name="_GoBack"/>
      <w:bookmarkEnd w:id="18"/>
      <w:r w:rsidRPr="62FE5CAF">
        <w:rPr>
          <w:sz w:val="24"/>
          <w:szCs w:val="24"/>
        </w:rPr>
        <w:t>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A57AEB">
      <w:headerReference w:type="even" r:id="rId49"/>
      <w:headerReference w:type="default" r:id="rId50"/>
      <w:footerReference w:type="even" r:id="rId51"/>
      <w:footerReference w:type="default" r:id="rId52"/>
      <w:headerReference w:type="first" r:id="rId53"/>
      <w:footerReference w:type="first" r:id="rId54"/>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5E5505" w:rsidRDefault="005E5505">
      <w:r>
        <w:separator/>
      </w:r>
    </w:p>
  </w:endnote>
  <w:endnote w:type="continuationSeparator" w:id="0">
    <w:p w14:paraId="2856112E" w14:textId="77777777" w:rsidR="005E5505" w:rsidRDefault="005E55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EECC8A" w14:textId="349C26E3" w:rsidR="005E5505" w:rsidRDefault="00C44CA1" w:rsidP="00C44CA1">
    <w:pPr>
      <w:pStyle w:val="Footer"/>
      <w:rPr>
        <w:sz w:val="17"/>
      </w:rPr>
    </w:pPr>
    <w:bookmarkStart w:id="2" w:name="TITUS1FooterEvenPages"/>
    <w:r>
      <w:rPr>
        <w:sz w:val="17"/>
      </w:rPr>
      <w:t> </w:t>
    </w:r>
  </w:p>
  <w:bookmarkEnd w:id="2"/>
  <w:p w14:paraId="7B11918A" w14:textId="0152AB95" w:rsidR="005E5505" w:rsidRDefault="005E5505" w:rsidP="00A57AEB">
    <w:pPr>
      <w:pStyle w:val="Footer"/>
      <w:jc w:val="right"/>
    </w:pPr>
    <w:r>
      <w:fldChar w:fldCharType="begin"/>
    </w:r>
    <w:r>
      <w:instrText xml:space="preserve"> PAGE   \* MERGEFORMAT </w:instrText>
    </w:r>
    <w:r>
      <w:fldChar w:fldCharType="separate"/>
    </w:r>
    <w:r w:rsidR="00C44CA1">
      <w:rPr>
        <w:noProof/>
      </w:rPr>
      <w:t>8</w:t>
    </w:r>
    <w:r>
      <w:rPr>
        <w:noProof/>
      </w:rPr>
      <w:fldChar w:fldCharType="end"/>
    </w:r>
  </w:p>
  <w:p w14:paraId="6C094A2D" w14:textId="77777777" w:rsidR="005E5505" w:rsidRPr="00BB5EAA" w:rsidRDefault="005E5505" w:rsidP="00A57AEB">
    <w:pPr>
      <w:pStyle w:val="Footer"/>
      <w:ind w:right="360"/>
      <w:jc w:val="center"/>
    </w:pPr>
  </w:p>
  <w:p w14:paraId="45938975" w14:textId="77777777" w:rsidR="005E5505" w:rsidRDefault="005E55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DD966C" w14:textId="5C158A60" w:rsidR="005E5505" w:rsidRDefault="00C44CA1" w:rsidP="00C44CA1">
    <w:pPr>
      <w:pStyle w:val="Footer"/>
      <w:rPr>
        <w:sz w:val="17"/>
      </w:rPr>
    </w:pPr>
    <w:bookmarkStart w:id="3" w:name="TITUS1FooterPrimary"/>
    <w:r>
      <w:rPr>
        <w:sz w:val="17"/>
      </w:rPr>
      <w:t> </w:t>
    </w:r>
  </w:p>
  <w:bookmarkEnd w:id="3"/>
  <w:p w14:paraId="50521BFA" w14:textId="21B601E1" w:rsidR="005E5505" w:rsidRDefault="005E5505">
    <w:pPr>
      <w:pStyle w:val="Footer"/>
      <w:jc w:val="right"/>
    </w:pPr>
    <w:r>
      <w:fldChar w:fldCharType="begin"/>
    </w:r>
    <w:r>
      <w:instrText xml:space="preserve"> PAGE   \* MERGEFORMAT </w:instrText>
    </w:r>
    <w:r>
      <w:fldChar w:fldCharType="separate"/>
    </w:r>
    <w:r w:rsidR="00C44CA1">
      <w:rPr>
        <w:noProof/>
      </w:rPr>
      <w:t>7</w:t>
    </w:r>
    <w:r>
      <w:rPr>
        <w:noProof/>
      </w:rPr>
      <w:fldChar w:fldCharType="end"/>
    </w:r>
  </w:p>
  <w:p w14:paraId="790812FF" w14:textId="77777777" w:rsidR="005E5505" w:rsidRPr="00BB5EAA" w:rsidRDefault="005E5505"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83C7A1" w14:textId="4715C762" w:rsidR="005E5505" w:rsidRDefault="00C44CA1" w:rsidP="00C44CA1">
    <w:pPr>
      <w:pStyle w:val="Footer"/>
      <w:rPr>
        <w:sz w:val="17"/>
      </w:rPr>
    </w:pPr>
    <w:bookmarkStart w:id="5" w:name="TITUS1FooterFirstPage"/>
    <w:r>
      <w:rPr>
        <w:sz w:val="17"/>
      </w:rPr>
      <w:t> </w:t>
    </w:r>
  </w:p>
  <w:bookmarkEnd w:id="5"/>
  <w:p w14:paraId="39B83FC5" w14:textId="3D4F1456" w:rsidR="005E5505" w:rsidRDefault="005E5505" w:rsidP="00A57AEB">
    <w:pPr>
      <w:pStyle w:val="Footer"/>
      <w:jc w:val="right"/>
    </w:pPr>
    <w:r>
      <w:fldChar w:fldCharType="begin"/>
    </w:r>
    <w:r>
      <w:instrText xml:space="preserve"> PAGE   \* MERGEFORMAT </w:instrText>
    </w:r>
    <w:r>
      <w:fldChar w:fldCharType="separate"/>
    </w:r>
    <w:r w:rsidR="00C44CA1">
      <w:rPr>
        <w:noProof/>
      </w:rPr>
      <w:t>1</w:t>
    </w:r>
    <w:r>
      <w:rPr>
        <w:noProof/>
      </w:rPr>
      <w:fldChar w:fldCharType="end"/>
    </w:r>
  </w:p>
  <w:p w14:paraId="6C73421A" w14:textId="77777777" w:rsidR="005E5505" w:rsidRPr="00BB5EAA" w:rsidRDefault="005E5505" w:rsidP="00A57AEB">
    <w:pPr>
      <w:pStyle w:val="Footer"/>
      <w:ind w:right="360"/>
      <w:jc w:val="center"/>
    </w:pPr>
  </w:p>
  <w:p w14:paraId="235C8A00" w14:textId="77777777" w:rsidR="005E5505" w:rsidRDefault="005E5505">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33FB33" w14:textId="097ED504" w:rsidR="005E5505" w:rsidRDefault="00C44CA1" w:rsidP="00C44CA1">
    <w:pPr>
      <w:pStyle w:val="Footer"/>
      <w:rPr>
        <w:sz w:val="17"/>
      </w:rPr>
    </w:pPr>
    <w:bookmarkStart w:id="8" w:name="TITUS2FooterEvenPages"/>
    <w:r>
      <w:rPr>
        <w:sz w:val="17"/>
      </w:rPr>
      <w:t> </w:t>
    </w:r>
  </w:p>
  <w:bookmarkEnd w:id="8"/>
  <w:p w14:paraId="16EFC567" w14:textId="77777777" w:rsidR="005E5505" w:rsidRDefault="005E5505" w:rsidP="00A57AEB">
    <w:pPr>
      <w:pStyle w:val="Footer"/>
      <w:jc w:val="right"/>
    </w:pPr>
  </w:p>
  <w:p w14:paraId="5B38B2AF" w14:textId="72A8E1DC" w:rsidR="005E5505" w:rsidRDefault="005E5505" w:rsidP="00A57AEB">
    <w:pPr>
      <w:pStyle w:val="Footer"/>
      <w:jc w:val="right"/>
    </w:pPr>
    <w:r>
      <w:fldChar w:fldCharType="begin"/>
    </w:r>
    <w:r>
      <w:instrText xml:space="preserve"> PAGE   \* MERGEFORMAT </w:instrText>
    </w:r>
    <w:r>
      <w:fldChar w:fldCharType="separate"/>
    </w:r>
    <w:r w:rsidR="00C44CA1">
      <w:rPr>
        <w:noProof/>
      </w:rPr>
      <w:t>22</w:t>
    </w:r>
    <w:r>
      <w:rPr>
        <w:noProof/>
      </w:rPr>
      <w:fldChar w:fldCharType="end"/>
    </w:r>
  </w:p>
  <w:p w14:paraId="292BD7CA" w14:textId="77777777" w:rsidR="005E5505" w:rsidRPr="00BB5EAA" w:rsidRDefault="005E5505" w:rsidP="00A57AEB">
    <w:pPr>
      <w:pStyle w:val="Footer"/>
      <w:ind w:right="360"/>
      <w:jc w:val="center"/>
    </w:pPr>
  </w:p>
  <w:p w14:paraId="12022FA9" w14:textId="77777777" w:rsidR="005E5505" w:rsidRDefault="005E5505">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52E349" w14:textId="20C63851" w:rsidR="005E5505" w:rsidRDefault="00C44CA1" w:rsidP="00C44CA1">
    <w:pPr>
      <w:pStyle w:val="Footer"/>
      <w:rPr>
        <w:sz w:val="17"/>
      </w:rPr>
    </w:pPr>
    <w:bookmarkStart w:id="9" w:name="TITUS2FooterPrimary"/>
    <w:r>
      <w:rPr>
        <w:sz w:val="17"/>
      </w:rPr>
      <w:t> </w:t>
    </w:r>
  </w:p>
  <w:bookmarkEnd w:id="9"/>
  <w:p w14:paraId="0D227B8B" w14:textId="77777777" w:rsidR="005E5505" w:rsidRDefault="005E5505">
    <w:pPr>
      <w:pStyle w:val="Footer"/>
      <w:jc w:val="right"/>
    </w:pPr>
  </w:p>
  <w:p w14:paraId="0FE62E7B" w14:textId="683E743E" w:rsidR="005E5505" w:rsidRDefault="005E5505">
    <w:pPr>
      <w:pStyle w:val="Footer"/>
      <w:jc w:val="right"/>
    </w:pPr>
    <w:r>
      <w:fldChar w:fldCharType="begin"/>
    </w:r>
    <w:r>
      <w:instrText xml:space="preserve"> PAGE   \* MERGEFORMAT </w:instrText>
    </w:r>
    <w:r>
      <w:fldChar w:fldCharType="separate"/>
    </w:r>
    <w:r w:rsidR="00C44CA1">
      <w:rPr>
        <w:noProof/>
      </w:rPr>
      <w:t>21</w:t>
    </w:r>
    <w:r>
      <w:rPr>
        <w:noProof/>
      </w:rPr>
      <w:fldChar w:fldCharType="end"/>
    </w:r>
  </w:p>
  <w:p w14:paraId="0C91D8B0" w14:textId="77777777" w:rsidR="005E5505" w:rsidRPr="00BB5EAA" w:rsidRDefault="005E5505"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B16119" w14:textId="54A06A9C" w:rsidR="005E5505" w:rsidRDefault="00C44CA1" w:rsidP="00C44CA1">
    <w:pPr>
      <w:pStyle w:val="Footer"/>
      <w:rPr>
        <w:sz w:val="17"/>
      </w:rPr>
    </w:pPr>
    <w:bookmarkStart w:id="11" w:name="TITUS2FooterFirstPage"/>
    <w:r>
      <w:rPr>
        <w:sz w:val="17"/>
      </w:rPr>
      <w:t> </w:t>
    </w:r>
  </w:p>
  <w:bookmarkEnd w:id="11"/>
  <w:p w14:paraId="09165BC0" w14:textId="77777777" w:rsidR="005E5505" w:rsidRDefault="005E5505" w:rsidP="00A57AEB">
    <w:pPr>
      <w:pStyle w:val="Footer"/>
      <w:jc w:val="right"/>
    </w:pPr>
  </w:p>
  <w:p w14:paraId="5FE6F08E" w14:textId="0CF93AB5" w:rsidR="005E5505" w:rsidRDefault="005E5505" w:rsidP="00A57AEB">
    <w:pPr>
      <w:pStyle w:val="Footer"/>
      <w:jc w:val="right"/>
    </w:pPr>
    <w:r>
      <w:fldChar w:fldCharType="begin"/>
    </w:r>
    <w:r>
      <w:instrText xml:space="preserve"> PAGE   \* MERGEFORMAT </w:instrText>
    </w:r>
    <w:r>
      <w:fldChar w:fldCharType="separate"/>
    </w:r>
    <w:r w:rsidR="00C44CA1">
      <w:rPr>
        <w:noProof/>
      </w:rPr>
      <w:t>9</w:t>
    </w:r>
    <w:r>
      <w:rPr>
        <w:noProof/>
      </w:rPr>
      <w:fldChar w:fldCharType="end"/>
    </w:r>
  </w:p>
  <w:p w14:paraId="39A7728B" w14:textId="77777777" w:rsidR="005E5505" w:rsidRPr="00BB5EAA" w:rsidRDefault="005E5505" w:rsidP="00A57AEB">
    <w:pPr>
      <w:pStyle w:val="Footer"/>
      <w:ind w:right="360"/>
      <w:jc w:val="center"/>
    </w:pPr>
  </w:p>
  <w:p w14:paraId="58C8244C" w14:textId="77777777" w:rsidR="005E5505" w:rsidRDefault="005E5505">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405BA4" w14:textId="46F5DD9A" w:rsidR="005E5505" w:rsidRDefault="00C44CA1" w:rsidP="00C44CA1">
    <w:pPr>
      <w:pStyle w:val="Footer"/>
      <w:rPr>
        <w:sz w:val="17"/>
      </w:rPr>
    </w:pPr>
    <w:bookmarkStart w:id="14" w:name="TITUS3FooterEvenPages"/>
    <w:r>
      <w:rPr>
        <w:sz w:val="17"/>
      </w:rPr>
      <w:t> </w:t>
    </w:r>
  </w:p>
  <w:bookmarkEnd w:id="14"/>
  <w:p w14:paraId="20356321" w14:textId="77777777" w:rsidR="005E5505" w:rsidRDefault="005E5505" w:rsidP="00A57AEB">
    <w:pPr>
      <w:pStyle w:val="Footer"/>
      <w:jc w:val="right"/>
    </w:pPr>
  </w:p>
  <w:p w14:paraId="16088DF4" w14:textId="285E1363" w:rsidR="005E5505" w:rsidRDefault="005E5505" w:rsidP="00A57AEB">
    <w:pPr>
      <w:pStyle w:val="Footer"/>
      <w:jc w:val="right"/>
    </w:pPr>
    <w:r>
      <w:fldChar w:fldCharType="begin"/>
    </w:r>
    <w:r>
      <w:instrText xml:space="preserve"> PAGE   \* MERGEFORMAT </w:instrText>
    </w:r>
    <w:r>
      <w:fldChar w:fldCharType="separate"/>
    </w:r>
    <w:r w:rsidR="00C44CA1">
      <w:rPr>
        <w:noProof/>
      </w:rPr>
      <w:t>26</w:t>
    </w:r>
    <w:r>
      <w:rPr>
        <w:noProof/>
      </w:rPr>
      <w:fldChar w:fldCharType="end"/>
    </w:r>
  </w:p>
  <w:p w14:paraId="613A8847" w14:textId="77777777" w:rsidR="005E5505" w:rsidRPr="00BB5EAA" w:rsidRDefault="005E5505" w:rsidP="00A57AEB">
    <w:pPr>
      <w:pStyle w:val="Footer"/>
      <w:ind w:right="360"/>
      <w:jc w:val="center"/>
    </w:pPr>
  </w:p>
  <w:p w14:paraId="1D8B064E" w14:textId="77777777" w:rsidR="005E5505" w:rsidRDefault="005E5505">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FB6147" w14:textId="54E9A5C4" w:rsidR="005E5505" w:rsidRDefault="00C44CA1" w:rsidP="00C44CA1">
    <w:pPr>
      <w:pStyle w:val="Footer"/>
      <w:rPr>
        <w:sz w:val="17"/>
      </w:rPr>
    </w:pPr>
    <w:bookmarkStart w:id="15" w:name="TITUS3FooterPrimary"/>
    <w:r>
      <w:rPr>
        <w:sz w:val="17"/>
      </w:rPr>
      <w:t> </w:t>
    </w:r>
  </w:p>
  <w:bookmarkEnd w:id="15"/>
  <w:p w14:paraId="2ED77E10" w14:textId="77777777" w:rsidR="005E5505" w:rsidRDefault="005E5505">
    <w:pPr>
      <w:pStyle w:val="Footer"/>
      <w:jc w:val="right"/>
    </w:pPr>
  </w:p>
  <w:p w14:paraId="2DCFA341" w14:textId="44B7F8DC" w:rsidR="005E5505" w:rsidRDefault="005E5505">
    <w:pPr>
      <w:pStyle w:val="Footer"/>
      <w:jc w:val="right"/>
    </w:pPr>
    <w:r>
      <w:fldChar w:fldCharType="begin"/>
    </w:r>
    <w:r>
      <w:instrText xml:space="preserve"> PAGE   \* MERGEFORMAT </w:instrText>
    </w:r>
    <w:r>
      <w:fldChar w:fldCharType="separate"/>
    </w:r>
    <w:r w:rsidR="00C44CA1">
      <w:rPr>
        <w:noProof/>
      </w:rPr>
      <w:t>27</w:t>
    </w:r>
    <w:r>
      <w:rPr>
        <w:noProof/>
      </w:rPr>
      <w:fldChar w:fldCharType="end"/>
    </w:r>
  </w:p>
  <w:p w14:paraId="11B6D2E0" w14:textId="77777777" w:rsidR="005E5505" w:rsidRPr="00BB5EAA" w:rsidRDefault="005E5505"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A4D45B" w14:textId="59B51FC7" w:rsidR="005E5505" w:rsidRDefault="00C44CA1" w:rsidP="00C44CA1">
    <w:pPr>
      <w:pStyle w:val="Footer"/>
      <w:rPr>
        <w:sz w:val="17"/>
      </w:rPr>
    </w:pPr>
    <w:bookmarkStart w:id="17" w:name="TITUS3FooterFirstPage"/>
    <w:r>
      <w:rPr>
        <w:sz w:val="17"/>
      </w:rPr>
      <w:t> </w:t>
    </w:r>
  </w:p>
  <w:bookmarkEnd w:id="17"/>
  <w:p w14:paraId="65CA3AEF" w14:textId="77777777" w:rsidR="005E5505" w:rsidRDefault="005E5505" w:rsidP="00A57AEB">
    <w:pPr>
      <w:pStyle w:val="Footer"/>
      <w:jc w:val="right"/>
    </w:pPr>
  </w:p>
  <w:p w14:paraId="1F734B67" w14:textId="6C515FB4" w:rsidR="005E5505" w:rsidRDefault="005E5505" w:rsidP="00A57AEB">
    <w:pPr>
      <w:pStyle w:val="Footer"/>
      <w:jc w:val="right"/>
    </w:pPr>
    <w:r>
      <w:fldChar w:fldCharType="begin"/>
    </w:r>
    <w:r>
      <w:instrText xml:space="preserve"> PAGE   \* MERGEFORMAT </w:instrText>
    </w:r>
    <w:r>
      <w:fldChar w:fldCharType="separate"/>
    </w:r>
    <w:r w:rsidR="00C44CA1">
      <w:rPr>
        <w:noProof/>
      </w:rPr>
      <w:t>23</w:t>
    </w:r>
    <w:r>
      <w:rPr>
        <w:noProof/>
      </w:rPr>
      <w:fldChar w:fldCharType="end"/>
    </w:r>
  </w:p>
  <w:p w14:paraId="25206591" w14:textId="77777777" w:rsidR="005E5505" w:rsidRPr="00BB5EAA" w:rsidRDefault="005E5505" w:rsidP="00A57AEB">
    <w:pPr>
      <w:pStyle w:val="Footer"/>
      <w:ind w:right="360"/>
      <w:jc w:val="center"/>
    </w:pPr>
  </w:p>
  <w:p w14:paraId="5F2F86B9" w14:textId="77777777" w:rsidR="005E5505" w:rsidRDefault="005E5505">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AD20D0" w14:textId="598DE341" w:rsidR="005E5505" w:rsidRDefault="00C44CA1" w:rsidP="00C44CA1">
    <w:pPr>
      <w:pStyle w:val="Footer"/>
      <w:rPr>
        <w:sz w:val="17"/>
      </w:rPr>
    </w:pPr>
    <w:bookmarkStart w:id="21" w:name="TITUS4FooterEvenPages"/>
    <w:r>
      <w:rPr>
        <w:sz w:val="17"/>
      </w:rPr>
      <w:t> </w:t>
    </w:r>
  </w:p>
  <w:bookmarkEnd w:id="21"/>
  <w:p w14:paraId="48BC6EB9" w14:textId="77777777" w:rsidR="005E5505" w:rsidRDefault="005E5505" w:rsidP="00A57AEB">
    <w:pPr>
      <w:pStyle w:val="Footer"/>
      <w:jc w:val="right"/>
    </w:pPr>
  </w:p>
  <w:p w14:paraId="69D086A4" w14:textId="77777777" w:rsidR="005E5505" w:rsidRDefault="005E5505" w:rsidP="00A57AEB">
    <w:pPr>
      <w:pStyle w:val="Footer"/>
      <w:jc w:val="right"/>
    </w:pPr>
    <w:r>
      <w:fldChar w:fldCharType="begin"/>
    </w:r>
    <w:r>
      <w:instrText xml:space="preserve"> PAGE   \* MERGEFORMAT </w:instrText>
    </w:r>
    <w:r>
      <w:fldChar w:fldCharType="separate"/>
    </w:r>
    <w:r>
      <w:rPr>
        <w:noProof/>
      </w:rPr>
      <w:t>8</w:t>
    </w:r>
    <w:r>
      <w:rPr>
        <w:noProof/>
      </w:rPr>
      <w:fldChar w:fldCharType="end"/>
    </w:r>
  </w:p>
  <w:p w14:paraId="7FCA372D" w14:textId="77777777" w:rsidR="005E5505" w:rsidRPr="00BB5EAA" w:rsidRDefault="005E5505" w:rsidP="00A57AEB">
    <w:pPr>
      <w:pStyle w:val="Footer"/>
      <w:ind w:right="360"/>
      <w:jc w:val="center"/>
    </w:pPr>
  </w:p>
  <w:p w14:paraId="0BB3C099" w14:textId="77777777" w:rsidR="005E5505" w:rsidRDefault="005E5505">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DA5AC1" w14:textId="0B74B92E" w:rsidR="005E5505" w:rsidRDefault="00C44CA1" w:rsidP="00C44CA1">
    <w:pPr>
      <w:pStyle w:val="Footer"/>
      <w:rPr>
        <w:sz w:val="17"/>
      </w:rPr>
    </w:pPr>
    <w:bookmarkStart w:id="22" w:name="TITUS4FooterPrimary"/>
    <w:r>
      <w:rPr>
        <w:sz w:val="17"/>
      </w:rPr>
      <w:t> </w:t>
    </w:r>
  </w:p>
  <w:bookmarkEnd w:id="22"/>
  <w:p w14:paraId="76828B4D" w14:textId="77777777" w:rsidR="005E5505" w:rsidRDefault="005E5505">
    <w:pPr>
      <w:pStyle w:val="Footer"/>
      <w:jc w:val="right"/>
    </w:pPr>
  </w:p>
  <w:p w14:paraId="5BD877E0" w14:textId="77777777" w:rsidR="005E5505" w:rsidRDefault="005E5505">
    <w:pPr>
      <w:pStyle w:val="Footer"/>
      <w:jc w:val="right"/>
    </w:pPr>
    <w:r>
      <w:fldChar w:fldCharType="begin"/>
    </w:r>
    <w:r>
      <w:instrText xml:space="preserve"> PAGE   \* MERGEFORMAT </w:instrText>
    </w:r>
    <w:r>
      <w:fldChar w:fldCharType="separate"/>
    </w:r>
    <w:r>
      <w:rPr>
        <w:noProof/>
      </w:rPr>
      <w:t>11</w:t>
    </w:r>
    <w:r>
      <w:rPr>
        <w:noProof/>
      </w:rPr>
      <w:fldChar w:fldCharType="end"/>
    </w:r>
  </w:p>
  <w:p w14:paraId="1A7BBD72" w14:textId="77777777" w:rsidR="005E5505" w:rsidRPr="00BB5EAA" w:rsidRDefault="005E5505"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FCF849" w14:textId="270FD1A9" w:rsidR="005E5505" w:rsidRDefault="00C44CA1" w:rsidP="00C44CA1">
    <w:pPr>
      <w:pStyle w:val="Footer"/>
      <w:rPr>
        <w:sz w:val="17"/>
      </w:rPr>
    </w:pPr>
    <w:bookmarkStart w:id="24" w:name="TITUS4FooterFirstPage"/>
    <w:r>
      <w:rPr>
        <w:sz w:val="17"/>
      </w:rPr>
      <w:t> </w:t>
    </w:r>
  </w:p>
  <w:bookmarkEnd w:id="24"/>
  <w:p w14:paraId="4BAF0D0C" w14:textId="77777777" w:rsidR="005E5505" w:rsidRDefault="005E5505" w:rsidP="00A57AEB">
    <w:pPr>
      <w:pStyle w:val="Footer"/>
      <w:jc w:val="right"/>
    </w:pPr>
  </w:p>
  <w:p w14:paraId="3DCDC7FC" w14:textId="72E0B640" w:rsidR="005E5505" w:rsidRDefault="005E5505" w:rsidP="00A57AEB">
    <w:pPr>
      <w:pStyle w:val="Footer"/>
      <w:jc w:val="right"/>
    </w:pPr>
    <w:r>
      <w:fldChar w:fldCharType="begin"/>
    </w:r>
    <w:r>
      <w:instrText xml:space="preserve"> PAGE   \* MERGEFORMAT </w:instrText>
    </w:r>
    <w:r>
      <w:fldChar w:fldCharType="separate"/>
    </w:r>
    <w:r w:rsidR="00C44CA1">
      <w:rPr>
        <w:noProof/>
      </w:rPr>
      <w:t>28</w:t>
    </w:r>
    <w:r>
      <w:rPr>
        <w:noProof/>
      </w:rPr>
      <w:fldChar w:fldCharType="end"/>
    </w:r>
  </w:p>
  <w:p w14:paraId="1A7DE29F" w14:textId="77777777" w:rsidR="005E5505" w:rsidRPr="00BB5EAA" w:rsidRDefault="005E5505" w:rsidP="00A57AEB">
    <w:pPr>
      <w:pStyle w:val="Footer"/>
      <w:ind w:right="360"/>
      <w:jc w:val="center"/>
    </w:pPr>
  </w:p>
  <w:p w14:paraId="753EF324" w14:textId="77777777" w:rsidR="005E5505" w:rsidRDefault="005E55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5E5505" w:rsidRDefault="005E5505">
      <w:r>
        <w:separator/>
      </w:r>
    </w:p>
  </w:footnote>
  <w:footnote w:type="continuationSeparator" w:id="0">
    <w:p w14:paraId="4ADDD153" w14:textId="77777777" w:rsidR="005E5505" w:rsidRDefault="005E55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6A96D94" w14:textId="79AE4C7A" w:rsidR="005E5505" w:rsidRDefault="00C44CA1" w:rsidP="00C44CA1">
    <w:pPr>
      <w:pStyle w:val="Header"/>
      <w:rPr>
        <w:sz w:val="17"/>
      </w:rPr>
    </w:pPr>
    <w:bookmarkStart w:id="0" w:name="TITUS1HeaderEvenPages"/>
    <w:r>
      <w:rPr>
        <w:sz w:val="17"/>
      </w:rPr>
      <w:t> </w:t>
    </w:r>
  </w:p>
  <w:bookmarkEnd w:id="0"/>
  <w:p w14:paraId="79C5B845" w14:textId="77777777" w:rsidR="005E5505" w:rsidRDefault="005E5505" w:rsidP="00C33C97">
    <w:pPr>
      <w:pStyle w:val="Header"/>
    </w:pPr>
  </w:p>
  <w:p w14:paraId="4EE558E2" w14:textId="77777777" w:rsidR="005E5505" w:rsidRDefault="005E550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DE03C9" w14:textId="4E2FEFB0" w:rsidR="005E5505" w:rsidRDefault="00C44CA1" w:rsidP="00C44CA1">
    <w:pPr>
      <w:pStyle w:val="Header"/>
      <w:rPr>
        <w:sz w:val="17"/>
      </w:rPr>
    </w:pPr>
    <w:bookmarkStart w:id="1" w:name="TITUS1HeaderPrimary"/>
    <w:r>
      <w:rPr>
        <w:sz w:val="17"/>
      </w:rPr>
      <w:t> </w:t>
    </w:r>
  </w:p>
  <w:bookmarkEnd w:id="1"/>
  <w:p w14:paraId="4817F1D3" w14:textId="77777777" w:rsidR="005E5505" w:rsidRDefault="005E550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8BE515" w14:textId="0554C309" w:rsidR="005E5505" w:rsidRDefault="00C44CA1" w:rsidP="00C44CA1">
    <w:pPr>
      <w:pStyle w:val="Header"/>
      <w:rPr>
        <w:sz w:val="17"/>
      </w:rPr>
    </w:pPr>
    <w:bookmarkStart w:id="4" w:name="TITUS1HeaderFirstPage"/>
    <w:r>
      <w:rPr>
        <w:sz w:val="17"/>
      </w:rPr>
      <w:t> </w:t>
    </w:r>
  </w:p>
  <w:bookmarkEnd w:id="4"/>
  <w:p w14:paraId="37B4044A" w14:textId="77777777" w:rsidR="005E5505" w:rsidRDefault="005E5505">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F38448" w14:textId="01A2A9A1" w:rsidR="005E5505" w:rsidRDefault="00C44CA1" w:rsidP="00C44CA1">
    <w:pPr>
      <w:pStyle w:val="Header"/>
      <w:rPr>
        <w:sz w:val="17"/>
      </w:rPr>
    </w:pPr>
    <w:bookmarkStart w:id="6" w:name="TITUS2HeaderEvenPages"/>
    <w:r>
      <w:rPr>
        <w:sz w:val="17"/>
      </w:rPr>
      <w:t> </w:t>
    </w:r>
  </w:p>
  <w:bookmarkEnd w:id="6"/>
  <w:p w14:paraId="70299D17" w14:textId="77777777" w:rsidR="005E5505" w:rsidRDefault="005E5505" w:rsidP="00A57AEB">
    <w:pPr>
      <w:pStyle w:val="Header"/>
    </w:pPr>
  </w:p>
  <w:p w14:paraId="7134FB59" w14:textId="77777777" w:rsidR="005E5505" w:rsidRDefault="005E550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863F7C" w14:textId="7C665E52" w:rsidR="005E5505" w:rsidRDefault="00C44CA1" w:rsidP="00C44CA1">
    <w:pPr>
      <w:pStyle w:val="Header"/>
      <w:rPr>
        <w:sz w:val="17"/>
      </w:rPr>
    </w:pPr>
    <w:bookmarkStart w:id="7" w:name="TITUS2HeaderPrimary"/>
    <w:r>
      <w:rPr>
        <w:sz w:val="17"/>
      </w:rPr>
      <w:t> </w:t>
    </w:r>
  </w:p>
  <w:bookmarkEnd w:id="7"/>
  <w:p w14:paraId="08B0651A" w14:textId="77777777" w:rsidR="005E5505" w:rsidRDefault="005E5505">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8094B1" w14:textId="08B96506" w:rsidR="005E5505" w:rsidRDefault="00C44CA1" w:rsidP="00C44CA1">
    <w:pPr>
      <w:pStyle w:val="Header"/>
      <w:rPr>
        <w:sz w:val="17"/>
      </w:rPr>
    </w:pPr>
    <w:bookmarkStart w:id="10" w:name="TITUS2HeaderFirstPage"/>
    <w:r>
      <w:rPr>
        <w:sz w:val="17"/>
      </w:rPr>
      <w:t> </w:t>
    </w:r>
  </w:p>
  <w:bookmarkEnd w:id="10"/>
  <w:p w14:paraId="70BA817D" w14:textId="77777777" w:rsidR="005E5505" w:rsidRDefault="005E5505" w:rsidP="00A57AEB">
    <w:pPr>
      <w:pStyle w:val="Header"/>
    </w:pPr>
  </w:p>
  <w:p w14:paraId="5F28CB11" w14:textId="77777777" w:rsidR="005E5505" w:rsidRDefault="005E5505">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712204" w14:textId="40FDB901" w:rsidR="005E5505" w:rsidRDefault="00C44CA1" w:rsidP="00C44CA1">
    <w:pPr>
      <w:pStyle w:val="Header"/>
      <w:rPr>
        <w:sz w:val="17"/>
      </w:rPr>
    </w:pPr>
    <w:bookmarkStart w:id="12" w:name="TITUS3HeaderEvenPages"/>
    <w:r>
      <w:rPr>
        <w:sz w:val="17"/>
      </w:rPr>
      <w:t> </w:t>
    </w:r>
  </w:p>
  <w:bookmarkEnd w:id="12"/>
  <w:p w14:paraId="5A8CA647" w14:textId="77777777" w:rsidR="005E5505" w:rsidRDefault="005E5505" w:rsidP="00A57AEB">
    <w:pPr>
      <w:pStyle w:val="Header"/>
    </w:pPr>
  </w:p>
  <w:p w14:paraId="0E329F84" w14:textId="77777777" w:rsidR="005E5505" w:rsidRDefault="005E5505">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048DE8" w14:textId="546613AC" w:rsidR="005E5505" w:rsidRDefault="00C44CA1" w:rsidP="00C44CA1">
    <w:pPr>
      <w:pStyle w:val="Header"/>
      <w:rPr>
        <w:sz w:val="17"/>
      </w:rPr>
    </w:pPr>
    <w:bookmarkStart w:id="13" w:name="TITUS3HeaderPrimary"/>
    <w:r>
      <w:rPr>
        <w:sz w:val="17"/>
      </w:rPr>
      <w:t> </w:t>
    </w:r>
  </w:p>
  <w:bookmarkEnd w:id="13"/>
  <w:p w14:paraId="492AADC0" w14:textId="77777777" w:rsidR="005E5505" w:rsidRDefault="005E5505">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1C3A77" w14:textId="5138F9B0" w:rsidR="005E5505" w:rsidRDefault="00C44CA1" w:rsidP="00C44CA1">
    <w:pPr>
      <w:pStyle w:val="Header"/>
      <w:rPr>
        <w:sz w:val="17"/>
      </w:rPr>
    </w:pPr>
    <w:bookmarkStart w:id="16" w:name="TITUS3HeaderFirstPage"/>
    <w:r>
      <w:rPr>
        <w:sz w:val="17"/>
      </w:rPr>
      <w:t> </w:t>
    </w:r>
  </w:p>
  <w:bookmarkEnd w:id="16"/>
  <w:p w14:paraId="50CE6981" w14:textId="77777777" w:rsidR="005E5505" w:rsidRDefault="005E5505" w:rsidP="00A57AEB">
    <w:pPr>
      <w:pStyle w:val="Header"/>
    </w:pPr>
  </w:p>
  <w:p w14:paraId="6D0D7C16" w14:textId="77777777" w:rsidR="005E5505" w:rsidRDefault="005E5505">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1D71BF" w14:textId="27513961" w:rsidR="005E5505" w:rsidRDefault="00C44CA1" w:rsidP="00C44CA1">
    <w:pPr>
      <w:pStyle w:val="Header"/>
      <w:rPr>
        <w:sz w:val="17"/>
      </w:rPr>
    </w:pPr>
    <w:bookmarkStart w:id="19" w:name="TITUS4HeaderEvenPages"/>
    <w:r>
      <w:rPr>
        <w:sz w:val="17"/>
      </w:rPr>
      <w:t> </w:t>
    </w:r>
  </w:p>
  <w:bookmarkEnd w:id="19"/>
  <w:p w14:paraId="093A73DB" w14:textId="77777777" w:rsidR="005E5505" w:rsidRDefault="005E5505" w:rsidP="00A57AEB">
    <w:pPr>
      <w:pStyle w:val="Header"/>
    </w:pPr>
  </w:p>
  <w:p w14:paraId="1BA15107" w14:textId="77777777" w:rsidR="005E5505" w:rsidRDefault="005E5505">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F58A5B" w14:textId="402B8C71" w:rsidR="005E5505" w:rsidRDefault="00C44CA1" w:rsidP="00C44CA1">
    <w:pPr>
      <w:pStyle w:val="Header"/>
      <w:rPr>
        <w:sz w:val="17"/>
      </w:rPr>
    </w:pPr>
    <w:bookmarkStart w:id="20" w:name="TITUS4HeaderPrimary"/>
    <w:r>
      <w:rPr>
        <w:sz w:val="17"/>
      </w:rPr>
      <w:t> </w:t>
    </w:r>
  </w:p>
  <w:bookmarkEnd w:id="20"/>
  <w:p w14:paraId="293A62AC" w14:textId="77777777" w:rsidR="005E5505" w:rsidRDefault="005E5505">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CA3AAE" w14:textId="25DE7873" w:rsidR="005E5505" w:rsidRDefault="00C44CA1" w:rsidP="00C44CA1">
    <w:pPr>
      <w:pStyle w:val="Header"/>
      <w:rPr>
        <w:sz w:val="17"/>
      </w:rPr>
    </w:pPr>
    <w:bookmarkStart w:id="23" w:name="TITUS4HeaderFirstPage"/>
    <w:r>
      <w:rPr>
        <w:sz w:val="17"/>
      </w:rPr>
      <w:t> </w:t>
    </w:r>
  </w:p>
  <w:bookmarkEnd w:id="23"/>
  <w:p w14:paraId="71F2467A" w14:textId="77777777" w:rsidR="005E5505" w:rsidRDefault="005E5505" w:rsidP="00A57AEB">
    <w:pPr>
      <w:pStyle w:val="Header"/>
    </w:pPr>
  </w:p>
  <w:p w14:paraId="112CB0CF" w14:textId="77777777" w:rsidR="005E5505" w:rsidRDefault="005E55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0D1C"/>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11BA"/>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E5505"/>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70CE"/>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571FC"/>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57AEB"/>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3C97"/>
    <w:rsid w:val="00C34C23"/>
    <w:rsid w:val="00C42005"/>
    <w:rsid w:val="00C432BE"/>
    <w:rsid w:val="00C44446"/>
    <w:rsid w:val="00C44CA1"/>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F671A"/>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9571F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hatecrime.campaign.gov.uk/" TargetMode="External"/><Relationship Id="rId39" Type="http://schemas.openxmlformats.org/officeDocument/2006/relationships/hyperlink" Target="https://hatecrime.campaign.gov.uk/" TargetMode="External"/><Relationship Id="rId21" Type="http://schemas.openxmlformats.org/officeDocument/2006/relationships/hyperlink" Target="https://www.legislation.gov.uk/ukpga/1967/58/contents" TargetMode="External"/><Relationship Id="rId34" Type="http://schemas.openxmlformats.org/officeDocument/2006/relationships/footer" Target="footer6.xml"/><Relationship Id="rId42" Type="http://schemas.openxmlformats.org/officeDocument/2006/relationships/hyperlink" Target="https://www.legislation.gov.uk/ukpga/1984/60/contents" TargetMode="External"/><Relationship Id="rId47" Type="http://schemas.openxmlformats.org/officeDocument/2006/relationships/header" Target="header9.xml"/><Relationship Id="rId50" Type="http://schemas.openxmlformats.org/officeDocument/2006/relationships/header" Target="header11.xml"/><Relationship Id="rId55"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ps.gov.uk/crime-info/hate-crime" TargetMode="External"/><Relationship Id="rId33" Type="http://schemas.openxmlformats.org/officeDocument/2006/relationships/header" Target="header6.xml"/><Relationship Id="rId38" Type="http://schemas.openxmlformats.org/officeDocument/2006/relationships/hyperlink" Target="https://www.cps.gov.uk/crime-info/hate-crime" TargetMode="External"/><Relationship Id="rId46" Type="http://schemas.openxmlformats.org/officeDocument/2006/relationships/footer" Target="footer8.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pp.college.police.uk/app-content/public-order/core-principles-and-legislation/police-use-of-force/" TargetMode="External"/><Relationship Id="rId29" Type="http://schemas.openxmlformats.org/officeDocument/2006/relationships/header" Target="header4.xml"/><Relationship Id="rId41" Type="http://schemas.openxmlformats.org/officeDocument/2006/relationships/hyperlink" Target="https://assets.publishing.service.gov.uk/government/uploads/system/uploads/attachment_data/file/936239/victims-code-2020.pdf" TargetMode="External"/><Relationship Id="rId54" Type="http://schemas.openxmlformats.org/officeDocument/2006/relationships/footer" Target="foot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17wy4t6ps30xx.cloudfront.net/production/uploads/2017/09/Competency-and-Values-Framework-for-Policing_4.11.16.pdf" TargetMode="External"/><Relationship Id="rId32" Type="http://schemas.openxmlformats.org/officeDocument/2006/relationships/footer" Target="footer5.xml"/><Relationship Id="rId37" Type="http://schemas.openxmlformats.org/officeDocument/2006/relationships/hyperlink" Target="https://www.legislation.gov.uk/ukpga/1967/58/contents" TargetMode="External"/><Relationship Id="rId40" Type="http://schemas.openxmlformats.org/officeDocument/2006/relationships/hyperlink" Target="https://www.researchgate.net/profile/Joel-Lashley/publication/235996329_Autism_Spectrum_Disorders_A_Special_Needs_Subject_Response_Guide_for_Police_Officers_C/links/00b7d5155dd685d7c1000000/Autism-Spectrum-Disorders-A-Special-Needs-Subject-Response-Guide-for-Police-Officers-C.pdf" TargetMode="External"/><Relationship Id="rId45" Type="http://schemas.openxmlformats.org/officeDocument/2006/relationships/footer" Target="footer7.xml"/><Relationship Id="rId53"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legislation.gov.uk/ukpga/1984/60/contents" TargetMode="External"/><Relationship Id="rId28" Type="http://schemas.openxmlformats.org/officeDocument/2006/relationships/hyperlink" Target="https://d17wy4t6ps30xx.cloudfront.net/production/uploads/2017/09/Competency-and-Values-Framework-for-Policing_4.11.16.pdf" TargetMode="External"/><Relationship Id="rId36" Type="http://schemas.openxmlformats.org/officeDocument/2006/relationships/hyperlink" Target="https://www.app.college.police.uk/app-content/public-order/core-principles-and-legislation/police-use-of-force/" TargetMode="External"/><Relationship Id="rId49" Type="http://schemas.openxmlformats.org/officeDocument/2006/relationships/header" Target="header10.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4.xml"/><Relationship Id="rId44" Type="http://schemas.openxmlformats.org/officeDocument/2006/relationships/header" Target="header8.xml"/><Relationship Id="rId52"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researchgate.net/profile/Joel-Lashley/publication/235996329_Autism_Spectrum_Disorders_A_Special_Needs_Subject_Response_Guide_for_Police_Officers_C/links/00b7d5155dd685d7c1000000/Autism-Spectrum-Disorders-A-Special-Needs-Subject-Response-Guide-for-Police-Officers-C.pdf" TargetMode="External"/><Relationship Id="rId27" Type="http://schemas.openxmlformats.org/officeDocument/2006/relationships/hyperlink" Target="https://assets.publishing.service.gov.uk/government/uploads/system/uploads/attachment_data/file/936239/victims-code-2020.pdf" TargetMode="External"/><Relationship Id="rId30" Type="http://schemas.openxmlformats.org/officeDocument/2006/relationships/header" Target="header5.xml"/><Relationship Id="rId35" Type="http://schemas.openxmlformats.org/officeDocument/2006/relationships/hyperlink" Target="https://d17wy4t6ps30xx.cloudfront.net/production/uploads/2017/09/Competency-and-Values-Framework-for-Policing_4.11.16.pdf" TargetMode="External"/><Relationship Id="rId43" Type="http://schemas.openxmlformats.org/officeDocument/2006/relationships/header" Target="header7.xml"/><Relationship Id="rId48" Type="http://schemas.openxmlformats.org/officeDocument/2006/relationships/footer" Target="footer9.xml"/><Relationship Id="rId56"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footer" Target="footer10.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purl.org/dc/elements/1.1/"/>
    <ds:schemaRef ds:uri="http://schemas.microsoft.com/office/2006/metadata/properties"/>
    <ds:schemaRef ds:uri="http://schemas.openxmlformats.org/package/2006/metadata/core-properties"/>
    <ds:schemaRef ds:uri="http://schemas.microsoft.com/office/2006/documentManagement/types"/>
    <ds:schemaRef ds:uri="http://schemas.microsoft.com/office/infopath/2007/PartnerControls"/>
    <ds:schemaRef ds:uri="1ecf5648-3750-43f5-867d-bfaa16e6e17e"/>
    <ds:schemaRef ds:uri="http://purl.org/dc/dcmitype/"/>
    <ds:schemaRef ds:uri="2e89cfda-a374-4413-9f0d-8b601eddeb70"/>
    <ds:schemaRef ds:uri="http://www.w3.org/XML/1998/namespace"/>
    <ds:schemaRef ds:uri="http://purl.org/dc/te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C18DFB3-36AD-4524-BE39-D97B73BD2C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28</Pages>
  <Words>7266</Words>
  <Characters>41419</Characters>
  <Application>Microsoft Office Word</Application>
  <DocSecurity>0</DocSecurity>
  <Lines>345</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McNally,Michael swp6848</cp:lastModifiedBy>
  <cp:revision>8</cp:revision>
  <cp:lastPrinted>2014-08-26T08:55:00Z</cp:lastPrinted>
  <dcterms:created xsi:type="dcterms:W3CDTF">2021-07-14T06:40:00Z</dcterms:created>
  <dcterms:modified xsi:type="dcterms:W3CDTF">2021-09-06T18:55:00Z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604fed10-7ab2-475c-918b-bb8decbb3353</vt:lpwstr>
  </property>
  <property fmtid="{D5CDD505-2E9C-101B-9397-08002B2CF9AE}" pid="4" name="Classification">
    <vt:lpwstr>OFFICIAL</vt:lpwstr>
  </property>
  <property fmtid="{D5CDD505-2E9C-101B-9397-08002B2CF9AE}" pid="5" name="Visibility">
    <vt:lpwstr>NOT VISIBLE</vt:lpwstr>
  </property>
</Properties>
</file>