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080D" w:rsidRPr="009747FD" w:rsidRDefault="0065620B" w:rsidP="009747FD">
      <w:pPr>
        <w:jc w:val="center"/>
        <w:rPr>
          <w:u w:val="single"/>
        </w:rPr>
      </w:pPr>
      <w:r w:rsidRPr="009747FD">
        <w:rPr>
          <w:u w:val="single"/>
        </w:rPr>
        <w:t>How and why did Vergil manipulate myths about Dido?</w:t>
      </w:r>
    </w:p>
    <w:p w:rsidR="00770F4E" w:rsidRDefault="00ED42E4" w:rsidP="00770F4E">
      <w:r>
        <w:rPr>
          <w:rFonts w:cs="Arial"/>
          <w:color w:val="222222"/>
          <w:shd w:val="clear" w:color="auto" w:fill="FFFFFF"/>
        </w:rPr>
        <w:t>In a work with such clear political motivations as the Aeneid it is hardly surprising that Virgil has engineered certain characters to resemble actual historic figures</w:t>
      </w:r>
      <w:r w:rsidR="00DD22B6">
        <w:rPr>
          <w:rFonts w:cs="Arial"/>
          <w:color w:val="222222"/>
          <w:shd w:val="clear" w:color="auto" w:fill="FFFFFF"/>
        </w:rPr>
        <w:t xml:space="preserve"> and</w:t>
      </w:r>
      <w:r w:rsidR="007C2B9D">
        <w:rPr>
          <w:rFonts w:cs="Arial"/>
          <w:color w:val="222222"/>
          <w:shd w:val="clear" w:color="auto" w:fill="FFFFFF"/>
        </w:rPr>
        <w:t xml:space="preserve"> add to running </w:t>
      </w:r>
      <w:r w:rsidR="00DD22B6">
        <w:rPr>
          <w:rFonts w:cs="Arial"/>
          <w:color w:val="222222"/>
          <w:shd w:val="clear" w:color="auto" w:fill="FFFFFF"/>
        </w:rPr>
        <w:t>themes</w:t>
      </w:r>
      <w:r w:rsidR="00EA5838">
        <w:rPr>
          <w:rFonts w:cs="Arial"/>
          <w:color w:val="222222"/>
          <w:shd w:val="clear" w:color="auto" w:fill="FFFFFF"/>
        </w:rPr>
        <w:t>.</w:t>
      </w:r>
      <w:r>
        <w:rPr>
          <w:rFonts w:cs="Arial"/>
          <w:color w:val="222222"/>
          <w:shd w:val="clear" w:color="auto" w:fill="FFFFFF"/>
        </w:rPr>
        <w:t xml:space="preserve"> </w:t>
      </w:r>
      <w:r w:rsidR="00EA5838">
        <w:rPr>
          <w:rFonts w:cs="Arial"/>
          <w:color w:val="222222"/>
          <w:shd w:val="clear" w:color="auto" w:fill="FFFFFF"/>
        </w:rPr>
        <w:t>W</w:t>
      </w:r>
      <w:r>
        <w:rPr>
          <w:rFonts w:cs="Arial"/>
          <w:color w:val="222222"/>
          <w:shd w:val="clear" w:color="auto" w:fill="FFFFFF"/>
        </w:rPr>
        <w:t xml:space="preserve">hilst the </w:t>
      </w:r>
      <w:r w:rsidR="00EA5838">
        <w:rPr>
          <w:rFonts w:cs="Arial"/>
          <w:color w:val="222222"/>
          <w:shd w:val="clear" w:color="auto" w:fill="FFFFFF"/>
        </w:rPr>
        <w:t xml:space="preserve">Trojan </w:t>
      </w:r>
      <w:r>
        <w:rPr>
          <w:rFonts w:cs="Arial"/>
          <w:color w:val="222222"/>
          <w:shd w:val="clear" w:color="auto" w:fill="FFFFFF"/>
        </w:rPr>
        <w:t>hero Aeneas is visibly a caricature of the Emperor Augustus</w:t>
      </w:r>
      <w:r w:rsidR="007C2B9D">
        <w:rPr>
          <w:rStyle w:val="FootnoteReference"/>
          <w:rFonts w:cs="Arial"/>
          <w:color w:val="222222"/>
          <w:shd w:val="clear" w:color="auto" w:fill="FFFFFF"/>
        </w:rPr>
        <w:footnoteReference w:id="1"/>
      </w:r>
      <w:r>
        <w:rPr>
          <w:rFonts w:cs="Arial"/>
          <w:color w:val="222222"/>
          <w:shd w:val="clear" w:color="auto" w:fill="FFFFFF"/>
        </w:rPr>
        <w:t xml:space="preserve"> the author also manufactures the character of Dido i</w:t>
      </w:r>
      <w:r w:rsidR="00DD22B6">
        <w:rPr>
          <w:rFonts w:cs="Arial"/>
          <w:color w:val="222222"/>
          <w:shd w:val="clear" w:color="auto" w:fill="FFFFFF"/>
        </w:rPr>
        <w:t>n many way</w:t>
      </w:r>
      <w:r w:rsidR="00EA5838">
        <w:rPr>
          <w:rFonts w:cs="Arial"/>
          <w:color w:val="222222"/>
          <w:shd w:val="clear" w:color="auto" w:fill="FFFFFF"/>
        </w:rPr>
        <w:t xml:space="preserve">s to aid his story in praising Rome and its history. In this essay I shall be exploring the connections </w:t>
      </w:r>
      <w:r w:rsidR="00DC1DD2">
        <w:rPr>
          <w:rFonts w:cs="Arial"/>
          <w:color w:val="222222"/>
          <w:shd w:val="clear" w:color="auto" w:fill="FFFFFF"/>
        </w:rPr>
        <w:t>and intertextuality</w:t>
      </w:r>
      <w:r w:rsidR="00EA5838">
        <w:rPr>
          <w:rFonts w:cs="Arial"/>
          <w:color w:val="222222"/>
          <w:shd w:val="clear" w:color="auto" w:fill="FFFFFF"/>
        </w:rPr>
        <w:t xml:space="preserve"> between Virgil’s depiction of Dido and the portrayal given to us by Justinus in his</w:t>
      </w:r>
      <w:r w:rsidR="00DC1DD2">
        <w:rPr>
          <w:rFonts w:cs="Arial"/>
          <w:i/>
          <w:color w:val="222222"/>
          <w:shd w:val="clear" w:color="auto" w:fill="FFFFFF"/>
        </w:rPr>
        <w:t xml:space="preserve"> </w:t>
      </w:r>
      <w:r w:rsidR="00EA5838" w:rsidRPr="00EA5838">
        <w:rPr>
          <w:rFonts w:cs="Arial"/>
          <w:i/>
          <w:color w:val="222222"/>
          <w:shd w:val="clear" w:color="auto" w:fill="FFFFFF"/>
        </w:rPr>
        <w:t xml:space="preserve">Epitome </w:t>
      </w:r>
      <w:proofErr w:type="spellStart"/>
      <w:r w:rsidR="00EA5838" w:rsidRPr="00EA5838">
        <w:rPr>
          <w:rFonts w:cs="Arial"/>
          <w:i/>
          <w:color w:val="222222"/>
          <w:shd w:val="clear" w:color="auto" w:fill="FFFFFF"/>
        </w:rPr>
        <w:t>Historiarum</w:t>
      </w:r>
      <w:proofErr w:type="spellEnd"/>
      <w:r w:rsidR="00EA5838" w:rsidRPr="00EA5838">
        <w:rPr>
          <w:rFonts w:cs="Arial"/>
          <w:i/>
          <w:color w:val="222222"/>
          <w:shd w:val="clear" w:color="auto" w:fill="FFFFFF"/>
        </w:rPr>
        <w:t xml:space="preserve"> </w:t>
      </w:r>
      <w:proofErr w:type="spellStart"/>
      <w:r w:rsidR="00DC1DD2">
        <w:rPr>
          <w:rFonts w:cs="Arial"/>
          <w:i/>
          <w:color w:val="222222"/>
          <w:shd w:val="clear" w:color="auto" w:fill="FFFFFF"/>
        </w:rPr>
        <w:t>P</w:t>
      </w:r>
      <w:r w:rsidR="00EA5838" w:rsidRPr="00EA5838">
        <w:rPr>
          <w:rFonts w:cs="Arial"/>
          <w:i/>
          <w:color w:val="222222"/>
          <w:shd w:val="clear" w:color="auto" w:fill="FFFFFF"/>
        </w:rPr>
        <w:t>hilippicarum</w:t>
      </w:r>
      <w:proofErr w:type="spellEnd"/>
      <w:r w:rsidR="00EA5838" w:rsidRPr="00EA5838">
        <w:rPr>
          <w:rFonts w:cs="Arial"/>
          <w:i/>
          <w:color w:val="222222"/>
          <w:shd w:val="clear" w:color="auto" w:fill="FFFFFF"/>
        </w:rPr>
        <w:t xml:space="preserve"> </w:t>
      </w:r>
      <w:proofErr w:type="spellStart"/>
      <w:r w:rsidR="00EA5838" w:rsidRPr="00EA5838">
        <w:rPr>
          <w:rFonts w:cs="Arial"/>
          <w:i/>
          <w:color w:val="222222"/>
          <w:shd w:val="clear" w:color="auto" w:fill="FFFFFF"/>
        </w:rPr>
        <w:t>Pompei</w:t>
      </w:r>
      <w:proofErr w:type="spellEnd"/>
      <w:r w:rsidR="00EA5838" w:rsidRPr="00EA5838">
        <w:rPr>
          <w:rFonts w:cs="Arial"/>
          <w:i/>
          <w:color w:val="222222"/>
          <w:shd w:val="clear" w:color="auto" w:fill="FFFFFF"/>
        </w:rPr>
        <w:t xml:space="preserve"> </w:t>
      </w:r>
      <w:proofErr w:type="spellStart"/>
      <w:r w:rsidR="00EA5838" w:rsidRPr="00EA5838">
        <w:rPr>
          <w:rFonts w:cs="Arial"/>
          <w:i/>
          <w:color w:val="222222"/>
          <w:shd w:val="clear" w:color="auto" w:fill="FFFFFF"/>
        </w:rPr>
        <w:t>Trog</w:t>
      </w:r>
      <w:r w:rsidR="00DC1DD2">
        <w:rPr>
          <w:rFonts w:cs="Arial"/>
          <w:i/>
          <w:color w:val="222222"/>
          <w:shd w:val="clear" w:color="auto" w:fill="FFFFFF"/>
        </w:rPr>
        <w:t>i</w:t>
      </w:r>
      <w:proofErr w:type="spellEnd"/>
      <w:r w:rsidR="007C2B9D">
        <w:rPr>
          <w:rStyle w:val="FootnoteReference"/>
          <w:rFonts w:cs="Arial"/>
          <w:i/>
          <w:color w:val="222222"/>
          <w:shd w:val="clear" w:color="auto" w:fill="FFFFFF"/>
        </w:rPr>
        <w:footnoteReference w:id="2"/>
      </w:r>
      <w:r w:rsidR="00DC1DD2">
        <w:rPr>
          <w:rFonts w:cs="Arial"/>
          <w:i/>
          <w:color w:val="222222"/>
          <w:shd w:val="clear" w:color="auto" w:fill="FFFFFF"/>
        </w:rPr>
        <w:t xml:space="preserve">, </w:t>
      </w:r>
      <w:r w:rsidR="00DC1DD2">
        <w:rPr>
          <w:rFonts w:cs="Arial"/>
          <w:color w:val="222222"/>
          <w:shd w:val="clear" w:color="auto" w:fill="FFFFFF"/>
        </w:rPr>
        <w:t>before moving on to examine the links between Dido and the last queen of Carthage</w:t>
      </w:r>
      <w:r w:rsidR="006E1222">
        <w:rPr>
          <w:rFonts w:cs="Arial"/>
          <w:color w:val="222222"/>
          <w:shd w:val="clear" w:color="auto" w:fill="FFFFFF"/>
        </w:rPr>
        <w:t>.</w:t>
      </w:r>
      <w:r w:rsidR="00770F4E">
        <w:rPr>
          <w:rFonts w:cs="Arial"/>
          <w:color w:val="222222"/>
          <w:shd w:val="clear" w:color="auto" w:fill="FFFFFF"/>
        </w:rPr>
        <w:t xml:space="preserve"> </w:t>
      </w:r>
      <w:r w:rsidR="006E1222" w:rsidRPr="00770F4E">
        <w:rPr>
          <w:rFonts w:cs="Arial"/>
          <w:color w:val="222222"/>
          <w:shd w:val="clear" w:color="auto" w:fill="FFFFFF"/>
        </w:rPr>
        <w:t xml:space="preserve">It is very difficult to understand what the average </w:t>
      </w:r>
      <w:r w:rsidR="005B154F" w:rsidRPr="00770F4E">
        <w:rPr>
          <w:rFonts w:cs="Arial"/>
          <w:color w:val="222222"/>
          <w:shd w:val="clear" w:color="auto" w:fill="FFFFFF"/>
        </w:rPr>
        <w:t>R</w:t>
      </w:r>
      <w:r w:rsidR="006E1222" w:rsidRPr="00770F4E">
        <w:rPr>
          <w:rFonts w:cs="Arial"/>
          <w:color w:val="222222"/>
          <w:shd w:val="clear" w:color="auto" w:fill="FFFFFF"/>
        </w:rPr>
        <w:t>oman audience would have known</w:t>
      </w:r>
      <w:r w:rsidR="00FC329B" w:rsidRPr="00770F4E">
        <w:rPr>
          <w:rFonts w:cs="Arial"/>
          <w:color w:val="222222"/>
          <w:shd w:val="clear" w:color="auto" w:fill="FFFFFF"/>
        </w:rPr>
        <w:t xml:space="preserve"> or thought about</w:t>
      </w:r>
      <w:r w:rsidR="006E1222" w:rsidRPr="00770F4E">
        <w:rPr>
          <w:rFonts w:cs="Arial"/>
          <w:color w:val="222222"/>
          <w:shd w:val="clear" w:color="auto" w:fill="FFFFFF"/>
        </w:rPr>
        <w:t xml:space="preserve"> Dido before </w:t>
      </w:r>
      <w:r w:rsidR="005B154F" w:rsidRPr="00770F4E">
        <w:rPr>
          <w:rFonts w:cs="Arial"/>
          <w:color w:val="222222"/>
          <w:shd w:val="clear" w:color="auto" w:fill="FFFFFF"/>
        </w:rPr>
        <w:t xml:space="preserve">Virgil’s </w:t>
      </w:r>
      <w:r w:rsidR="006E1222" w:rsidRPr="00770F4E">
        <w:rPr>
          <w:rFonts w:cs="Arial"/>
          <w:color w:val="222222"/>
          <w:shd w:val="clear" w:color="auto" w:fill="FFFFFF"/>
        </w:rPr>
        <w:t>Aeneid</w:t>
      </w:r>
      <w:r w:rsidR="005B154F" w:rsidRPr="00770F4E">
        <w:rPr>
          <w:rFonts w:cs="Arial"/>
          <w:color w:val="222222"/>
          <w:shd w:val="clear" w:color="auto" w:fill="FFFFFF"/>
        </w:rPr>
        <w:t>,</w:t>
      </w:r>
      <w:r w:rsidR="006E1222" w:rsidRPr="00770F4E">
        <w:rPr>
          <w:rFonts w:cs="Arial"/>
          <w:color w:val="222222"/>
          <w:shd w:val="clear" w:color="auto" w:fill="FFFFFF"/>
        </w:rPr>
        <w:t xml:space="preserve"> </w:t>
      </w:r>
      <w:r w:rsidR="005B154F">
        <w:t>however Virgil</w:t>
      </w:r>
      <w:r w:rsidR="005B154F">
        <w:t xml:space="preserve"> had a </w:t>
      </w:r>
      <w:r w:rsidR="005B154F">
        <w:t>semi-</w:t>
      </w:r>
      <w:r w:rsidR="005B154F">
        <w:t xml:space="preserve">contemporary </w:t>
      </w:r>
      <w:r w:rsidR="005B154F">
        <w:t>author named</w:t>
      </w:r>
      <w:r w:rsidR="005B154F">
        <w:t xml:space="preserve"> </w:t>
      </w:r>
      <w:r w:rsidR="00765C6B">
        <w:t>Trogus</w:t>
      </w:r>
      <w:r w:rsidR="005B154F">
        <w:t xml:space="preserve"> who </w:t>
      </w:r>
      <w:r w:rsidR="00765C6B">
        <w:t xml:space="preserve">wrote of the founding of Carthage in his </w:t>
      </w:r>
      <w:proofErr w:type="spellStart"/>
      <w:r w:rsidR="00765C6B" w:rsidRPr="00770F4E">
        <w:rPr>
          <w:i/>
        </w:rPr>
        <w:t>Phillipic</w:t>
      </w:r>
      <w:proofErr w:type="spellEnd"/>
      <w:r w:rsidR="00765C6B" w:rsidRPr="00770F4E">
        <w:rPr>
          <w:i/>
        </w:rPr>
        <w:t xml:space="preserve"> Histories</w:t>
      </w:r>
      <w:r w:rsidR="00770F4E">
        <w:rPr>
          <w:i/>
        </w:rPr>
        <w:t xml:space="preserve">, </w:t>
      </w:r>
      <w:r w:rsidR="00770F4E" w:rsidRPr="00770F4E">
        <w:t>somewhat</w:t>
      </w:r>
      <w:r w:rsidR="00770F4E">
        <w:rPr>
          <w:i/>
        </w:rPr>
        <w:t xml:space="preserve"> </w:t>
      </w:r>
      <w:r w:rsidR="00770F4E">
        <w:t>regrettably the original text no longer exists apart from an epitomised version written by Justinus some time in the 3</w:t>
      </w:r>
      <w:r w:rsidR="00770F4E" w:rsidRPr="00770F4E">
        <w:rPr>
          <w:vertAlign w:val="superscript"/>
        </w:rPr>
        <w:t>rd</w:t>
      </w:r>
      <w:r w:rsidR="00770F4E">
        <w:t xml:space="preserve"> Century AD, t</w:t>
      </w:r>
      <w:r w:rsidR="00770F4E">
        <w:t>his account</w:t>
      </w:r>
      <w:r w:rsidR="00EB2EC7">
        <w:t>,</w:t>
      </w:r>
      <w:r w:rsidR="00770F4E">
        <w:t xml:space="preserve"> whilst probably shortened</w:t>
      </w:r>
      <w:r w:rsidR="00770F4E">
        <w:t xml:space="preserve"> down from the original</w:t>
      </w:r>
      <w:r w:rsidR="00770F4E">
        <w:t xml:space="preserve"> provides a clear narrative on Dido’s life</w:t>
      </w:r>
      <w:r w:rsidR="00765C6B">
        <w:t>.</w:t>
      </w:r>
      <w:r w:rsidR="00A61FF7">
        <w:t xml:space="preserve"> </w:t>
      </w:r>
      <w:r w:rsidR="00770F4E">
        <w:t>Hence, f</w:t>
      </w:r>
      <w:r w:rsidR="00A61FF7">
        <w:t xml:space="preserve">or the sake of this argument I shall consider the </w:t>
      </w:r>
      <w:r w:rsidR="00770F4E">
        <w:t xml:space="preserve">account of Dido </w:t>
      </w:r>
      <w:r w:rsidR="00770F4E">
        <w:t xml:space="preserve">in the </w:t>
      </w:r>
      <w:r w:rsidR="00770F4E" w:rsidRPr="00770F4E">
        <w:rPr>
          <w:i/>
        </w:rPr>
        <w:t>Philippic</w:t>
      </w:r>
      <w:r w:rsidR="00A61FF7" w:rsidRPr="00770F4E">
        <w:rPr>
          <w:i/>
        </w:rPr>
        <w:t xml:space="preserve"> Histories </w:t>
      </w:r>
      <w:r w:rsidR="00A61FF7">
        <w:t xml:space="preserve">to be the </w:t>
      </w:r>
      <w:proofErr w:type="gramStart"/>
      <w:r w:rsidR="00A61FF7">
        <w:t>general consensus</w:t>
      </w:r>
      <w:proofErr w:type="gramEnd"/>
      <w:r w:rsidR="00A61FF7">
        <w:t xml:space="preserve"> of who the first </w:t>
      </w:r>
      <w:proofErr w:type="spellStart"/>
      <w:r w:rsidR="00A61FF7">
        <w:t>Carthiginian</w:t>
      </w:r>
      <w:proofErr w:type="spellEnd"/>
      <w:r w:rsidR="00A61FF7">
        <w:t xml:space="preserve"> Queen was in the mind of a Roman Audience</w:t>
      </w:r>
      <w:r w:rsidR="0099430B">
        <w:t xml:space="preserve"> as it provides a clear understanding of where Virgil has changed and manipulated </w:t>
      </w:r>
      <w:r w:rsidR="00EB2EC7">
        <w:t>the mythical origin story of Carthage and its first Queen</w:t>
      </w:r>
      <w:r w:rsidR="0099430B">
        <w:t xml:space="preserve"> to deliver us the</w:t>
      </w:r>
      <w:r w:rsidR="00EB2EC7">
        <w:t xml:space="preserve"> epic</w:t>
      </w:r>
      <w:r w:rsidR="0099430B">
        <w:t xml:space="preserve"> Aeneid</w:t>
      </w:r>
      <w:r w:rsidR="00A61FF7">
        <w:t>.</w:t>
      </w:r>
      <w:r w:rsidR="0099430B">
        <w:t xml:space="preserve"> </w:t>
      </w:r>
    </w:p>
    <w:p w:rsidR="00A61FF7" w:rsidRDefault="00765C6B" w:rsidP="00770F4E">
      <w:r>
        <w:t>In the historical portrayal of Dido provided to us by Trogus</w:t>
      </w:r>
      <w:r w:rsidR="00770F4E">
        <w:t xml:space="preserve"> through Justinus</w:t>
      </w:r>
      <w:r>
        <w:t xml:space="preserve"> we can see a handful of similarities between her and the tragic character given to us by Virgil. </w:t>
      </w:r>
      <w:r w:rsidR="00A61FF7">
        <w:t>Firstly,</w:t>
      </w:r>
      <w:r>
        <w:t xml:space="preserve"> Dido is a widow</w:t>
      </w:r>
      <w:r w:rsidR="00770F4E">
        <w:rPr>
          <w:rStyle w:val="FootnoteReference"/>
        </w:rPr>
        <w:footnoteReference w:id="3"/>
      </w:r>
      <w:r w:rsidR="00A61FF7">
        <w:t xml:space="preserve">, of </w:t>
      </w:r>
      <w:proofErr w:type="spellStart"/>
      <w:r w:rsidR="00A61FF7">
        <w:t>Sychaeus</w:t>
      </w:r>
      <w:proofErr w:type="spellEnd"/>
      <w:r w:rsidR="00A61FF7">
        <w:t>,</w:t>
      </w:r>
      <w:r>
        <w:t xml:space="preserve"> who is receiving unwanted </w:t>
      </w:r>
      <w:r w:rsidR="00A61FF7">
        <w:t xml:space="preserve">attention </w:t>
      </w:r>
      <w:r>
        <w:t xml:space="preserve">from </w:t>
      </w:r>
      <w:r w:rsidR="00A61FF7">
        <w:t xml:space="preserve">a North African king called either </w:t>
      </w:r>
      <w:proofErr w:type="spellStart"/>
      <w:r w:rsidR="00A61FF7" w:rsidRPr="00770F4E">
        <w:rPr>
          <w:i/>
        </w:rPr>
        <w:t>Hiarbus</w:t>
      </w:r>
      <w:proofErr w:type="spellEnd"/>
      <w:r w:rsidR="00A61FF7">
        <w:t xml:space="preserve"> or </w:t>
      </w:r>
      <w:proofErr w:type="spellStart"/>
      <w:r w:rsidR="00A61FF7" w:rsidRPr="00770F4E">
        <w:rPr>
          <w:i/>
        </w:rPr>
        <w:t>Larbus</w:t>
      </w:r>
      <w:proofErr w:type="spellEnd"/>
      <w:r w:rsidR="00461BC4">
        <w:rPr>
          <w:rStyle w:val="FootnoteReference"/>
          <w:i/>
        </w:rPr>
        <w:footnoteReference w:id="4"/>
      </w:r>
      <w:r w:rsidR="00A61FF7" w:rsidRPr="00770F4E">
        <w:rPr>
          <w:i/>
        </w:rPr>
        <w:t xml:space="preserve">, </w:t>
      </w:r>
      <w:r w:rsidR="00A61FF7">
        <w:t>Secondly and more significantly for the scope of this essay that Dido meets her death atop a funeral pyre</w:t>
      </w:r>
      <w:r w:rsidR="00461BC4">
        <w:rPr>
          <w:rStyle w:val="FootnoteReference"/>
        </w:rPr>
        <w:footnoteReference w:id="5"/>
      </w:r>
      <w:r w:rsidR="00A61FF7">
        <w:t xml:space="preserve">. </w:t>
      </w:r>
      <w:r w:rsidR="00A61FF7">
        <w:t>The major difference</w:t>
      </w:r>
      <w:r w:rsidR="00A61FF7">
        <w:t xml:space="preserve"> between the two accounts of Dido, apart from Aeneas being present,</w:t>
      </w:r>
      <w:r w:rsidR="00A61FF7">
        <w:t xml:space="preserve"> is that in the </w:t>
      </w:r>
      <w:r w:rsidR="00A61FF7">
        <w:t>Aeneid</w:t>
      </w:r>
      <w:r w:rsidR="00A61FF7">
        <w:t xml:space="preserve"> </w:t>
      </w:r>
      <w:r w:rsidR="00A61FF7">
        <w:t>she</w:t>
      </w:r>
      <w:r w:rsidR="00A61FF7">
        <w:t xml:space="preserve"> is not loyal to her husband’s memory as she sleeps with </w:t>
      </w:r>
      <w:r w:rsidR="0099430B">
        <w:t>the Hero</w:t>
      </w:r>
      <w:r w:rsidR="00A61FF7">
        <w:t xml:space="preserve"> </w:t>
      </w:r>
      <w:r w:rsidR="00A61FF7">
        <w:t xml:space="preserve">in </w:t>
      </w:r>
      <w:r w:rsidR="0099430B">
        <w:t>a</w:t>
      </w:r>
      <w:r w:rsidR="00A61FF7">
        <w:t xml:space="preserve"> cave during a</w:t>
      </w:r>
      <w:r w:rsidR="0099430B">
        <w:t xml:space="preserve"> heavenly</w:t>
      </w:r>
      <w:r w:rsidR="00A61FF7">
        <w:t xml:space="preserve"> thunderstor</w:t>
      </w:r>
      <w:r w:rsidR="00461BC4">
        <w:t>m</w:t>
      </w:r>
      <w:r w:rsidR="00461BC4">
        <w:rPr>
          <w:rStyle w:val="FootnoteReference"/>
        </w:rPr>
        <w:footnoteReference w:id="6"/>
      </w:r>
      <w:r w:rsidR="0099430B">
        <w:t>, an action that propels the rest of the story of Dido and Aeneas to its conclusion</w:t>
      </w:r>
      <w:r w:rsidR="00461BC4">
        <w:t>. It is Dido’s curse on Aeneas</w:t>
      </w:r>
      <w:r w:rsidR="00555DE4">
        <w:rPr>
          <w:rStyle w:val="FootnoteReference"/>
        </w:rPr>
        <w:footnoteReference w:id="7"/>
      </w:r>
      <w:r w:rsidR="00555DE4">
        <w:t xml:space="preserve"> (and importantly his descendants) </w:t>
      </w:r>
      <w:r w:rsidR="00461BC4">
        <w:t>that Virgil</w:t>
      </w:r>
      <w:r w:rsidR="00555DE4">
        <w:t xml:space="preserve"> attributes the historic enmity of the Carthaginian state towards Rome and thus the origins of the Punic wars thus demon</w:t>
      </w:r>
      <w:r w:rsidR="00842AFE">
        <w:t xml:space="preserve">strating Virgil’s alteration of recognised history to suit his narrative. </w:t>
      </w:r>
    </w:p>
    <w:p w:rsidR="00842AFE" w:rsidRDefault="00842AFE" w:rsidP="00BC44FE">
      <w:pPr>
        <w:rPr>
          <w:rFonts w:cs="Arial"/>
          <w:color w:val="222222"/>
          <w:shd w:val="clear" w:color="auto" w:fill="FFFFFF"/>
        </w:rPr>
      </w:pPr>
      <w:r>
        <w:rPr>
          <w:rFonts w:cs="Arial"/>
          <w:color w:val="222222"/>
          <w:shd w:val="clear" w:color="auto" w:fill="FFFFFF"/>
        </w:rPr>
        <w:t xml:space="preserve">The most significant deviation from </w:t>
      </w:r>
      <w:r w:rsidR="00C66892">
        <w:rPr>
          <w:rFonts w:cs="Arial"/>
          <w:color w:val="222222"/>
          <w:shd w:val="clear" w:color="auto" w:fill="FFFFFF"/>
        </w:rPr>
        <w:t xml:space="preserve">Trogus’ account of Dido is that she dies on the funeral pyre not because she was trapped into submitting to King </w:t>
      </w:r>
      <w:proofErr w:type="spellStart"/>
      <w:r w:rsidR="00C66892">
        <w:rPr>
          <w:rFonts w:cs="Arial"/>
          <w:color w:val="222222"/>
          <w:shd w:val="clear" w:color="auto" w:fill="FFFFFF"/>
        </w:rPr>
        <w:t>Hiarbus</w:t>
      </w:r>
      <w:proofErr w:type="spellEnd"/>
      <w:r w:rsidR="00C66892">
        <w:rPr>
          <w:rFonts w:cs="Arial"/>
          <w:color w:val="222222"/>
          <w:shd w:val="clear" w:color="auto" w:fill="FFFFFF"/>
        </w:rPr>
        <w:t xml:space="preserve"> through marriage</w:t>
      </w:r>
      <w:r w:rsidR="00C66892">
        <w:rPr>
          <w:rStyle w:val="FootnoteReference"/>
          <w:rFonts w:cs="Arial"/>
          <w:color w:val="222222"/>
          <w:shd w:val="clear" w:color="auto" w:fill="FFFFFF"/>
        </w:rPr>
        <w:footnoteReference w:id="8"/>
      </w:r>
      <w:r w:rsidR="00C66892">
        <w:rPr>
          <w:rFonts w:cs="Arial"/>
          <w:color w:val="222222"/>
          <w:shd w:val="clear" w:color="auto" w:fill="FFFFFF"/>
        </w:rPr>
        <w:t xml:space="preserve"> but because she is romantically betrayed by Aeneas who leaves her to follow his own destiny of founding Rome at Dido’s personal expense. Whilst this c</w:t>
      </w:r>
      <w:r w:rsidR="005715A5">
        <w:rPr>
          <w:rFonts w:cs="Arial"/>
          <w:color w:val="222222"/>
          <w:shd w:val="clear" w:color="auto" w:fill="FFFFFF"/>
        </w:rPr>
        <w:t>ould possibly</w:t>
      </w:r>
      <w:r w:rsidR="00C66892">
        <w:rPr>
          <w:rFonts w:cs="Arial"/>
          <w:color w:val="222222"/>
          <w:shd w:val="clear" w:color="auto" w:fill="FFFFFF"/>
        </w:rPr>
        <w:t xml:space="preserve"> be seen as a grand symbolic gesture from Dido to begin the centuries of enmity between Rome and Carthage</w:t>
      </w:r>
      <w:r w:rsidR="005715A5">
        <w:rPr>
          <w:rFonts w:cs="Arial"/>
          <w:color w:val="222222"/>
          <w:shd w:val="clear" w:color="auto" w:fill="FFFFFF"/>
        </w:rPr>
        <w:t>,</w:t>
      </w:r>
      <w:r w:rsidR="00C66892">
        <w:rPr>
          <w:rFonts w:cs="Arial"/>
          <w:color w:val="222222"/>
          <w:shd w:val="clear" w:color="auto" w:fill="FFFFFF"/>
        </w:rPr>
        <w:t xml:space="preserve"> </w:t>
      </w:r>
      <w:r w:rsidR="005715A5">
        <w:rPr>
          <w:rFonts w:cs="Arial"/>
          <w:color w:val="222222"/>
          <w:shd w:val="clear" w:color="auto" w:fill="FFFFFF"/>
        </w:rPr>
        <w:t xml:space="preserve">alluding </w:t>
      </w:r>
      <w:r w:rsidR="00C66892">
        <w:rPr>
          <w:rFonts w:cs="Arial"/>
          <w:color w:val="222222"/>
          <w:shd w:val="clear" w:color="auto" w:fill="FFFFFF"/>
        </w:rPr>
        <w:t>to the real Dido who died on a funeral pyre</w:t>
      </w:r>
      <w:r w:rsidR="005715A5">
        <w:rPr>
          <w:rStyle w:val="FootnoteReference"/>
          <w:rFonts w:cs="Arial"/>
          <w:color w:val="222222"/>
          <w:shd w:val="clear" w:color="auto" w:fill="FFFFFF"/>
        </w:rPr>
        <w:footnoteReference w:id="9"/>
      </w:r>
      <w:r w:rsidR="00C66892">
        <w:rPr>
          <w:rFonts w:cs="Arial"/>
          <w:color w:val="222222"/>
          <w:shd w:val="clear" w:color="auto" w:fill="FFFFFF"/>
        </w:rPr>
        <w:t xml:space="preserve">, albeit under very circumstances, I have to agree with Edgeworth’s argument that to a Roman audience </w:t>
      </w:r>
      <w:r w:rsidR="005715A5">
        <w:rPr>
          <w:rFonts w:cs="Arial"/>
          <w:color w:val="222222"/>
          <w:shd w:val="clear" w:color="auto" w:fill="FFFFFF"/>
        </w:rPr>
        <w:t xml:space="preserve">this could have been highly reminiscent of the death of the wife of Hasdrubal </w:t>
      </w:r>
      <w:r w:rsidR="005715A5">
        <w:rPr>
          <w:rFonts w:cs="Arial"/>
          <w:color w:val="222222"/>
          <w:shd w:val="clear" w:color="auto" w:fill="FFFFFF"/>
        </w:rPr>
        <w:lastRenderedPageBreak/>
        <w:t>during the fall of Carthage</w:t>
      </w:r>
      <w:r w:rsidR="005715A5">
        <w:rPr>
          <w:rStyle w:val="FootnoteReference"/>
          <w:rFonts w:cs="Arial"/>
          <w:color w:val="222222"/>
          <w:shd w:val="clear" w:color="auto" w:fill="FFFFFF"/>
        </w:rPr>
        <w:footnoteReference w:id="10"/>
      </w:r>
      <w:r w:rsidR="005324CF">
        <w:rPr>
          <w:rFonts w:cs="Arial"/>
          <w:color w:val="222222"/>
          <w:shd w:val="clear" w:color="auto" w:fill="FFFFFF"/>
        </w:rPr>
        <w:t xml:space="preserve"> as it is not just the death itself but the speech as well which mirrors the death of Carthage’s last queen</w:t>
      </w:r>
      <w:r w:rsidR="005715A5">
        <w:rPr>
          <w:rFonts w:cs="Arial"/>
          <w:color w:val="222222"/>
          <w:shd w:val="clear" w:color="auto" w:fill="FFFFFF"/>
        </w:rPr>
        <w:t>.</w:t>
      </w:r>
      <w:r w:rsidR="00804FD9">
        <w:rPr>
          <w:rFonts w:cs="Arial"/>
          <w:color w:val="222222"/>
          <w:shd w:val="clear" w:color="auto" w:fill="FFFFFF"/>
        </w:rPr>
        <w:t xml:space="preserve"> As Edgeworth points out there is no extant account of the original history of the fall of Carthage as documented by Polybius</w:t>
      </w:r>
      <w:r w:rsidR="00804FD9">
        <w:rPr>
          <w:rStyle w:val="FootnoteReference"/>
          <w:rFonts w:cs="Arial"/>
          <w:color w:val="222222"/>
          <w:shd w:val="clear" w:color="auto" w:fill="FFFFFF"/>
        </w:rPr>
        <w:footnoteReference w:id="11"/>
      </w:r>
      <w:r w:rsidR="0032082B">
        <w:rPr>
          <w:rFonts w:cs="Arial"/>
          <w:color w:val="222222"/>
          <w:shd w:val="clear" w:color="auto" w:fill="FFFFFF"/>
        </w:rPr>
        <w:t xml:space="preserve"> yet the account is referred to by other authors and hence the speech made by Hasdrubal’s wife can be pieced together to have a striking resemblance to the speech made by Dido atop her funeral pyre</w:t>
      </w:r>
      <w:r w:rsidR="00F71DB8">
        <w:rPr>
          <w:rFonts w:cs="Arial"/>
          <w:color w:val="222222"/>
          <w:shd w:val="clear" w:color="auto" w:fill="FFFFFF"/>
        </w:rPr>
        <w:t xml:space="preserve">. </w:t>
      </w:r>
      <w:r w:rsidR="00F71DB8" w:rsidRPr="00F71DB8">
        <w:t xml:space="preserve">Hasdrubal's wife prayed that the </w:t>
      </w:r>
      <w:r w:rsidR="00EB2EC7">
        <w:t xml:space="preserve">Carthaginian Gods </w:t>
      </w:r>
      <w:r w:rsidR="00F71DB8" w:rsidRPr="00F71DB8">
        <w:t>would take vengeance on him</w:t>
      </w:r>
      <w:r w:rsidR="00EB2EC7">
        <w:rPr>
          <w:rStyle w:val="FootnoteReference"/>
        </w:rPr>
        <w:footnoteReference w:id="12"/>
      </w:r>
      <w:r w:rsidR="00EB2EC7">
        <w:t xml:space="preserve">, similarly </w:t>
      </w:r>
      <w:r w:rsidR="00F71DB8" w:rsidRPr="00F71DB8">
        <w:t xml:space="preserve">Dido prays </w:t>
      </w:r>
      <w:r w:rsidR="00EB2EC7" w:rsidRPr="00F71DB8">
        <w:t>passionately</w:t>
      </w:r>
      <w:r w:rsidR="00F71DB8" w:rsidRPr="00F71DB8">
        <w:t xml:space="preserve"> that th</w:t>
      </w:r>
      <w:r w:rsidR="00EB2EC7">
        <w:t>ose same</w:t>
      </w:r>
      <w:r w:rsidR="00F71DB8" w:rsidRPr="00F71DB8">
        <w:t xml:space="preserve"> should curse and hound both Aeneas and </w:t>
      </w:r>
      <w:proofErr w:type="gramStart"/>
      <w:r w:rsidR="00EB2EC7">
        <w:t>all of</w:t>
      </w:r>
      <w:proofErr w:type="gramEnd"/>
      <w:r w:rsidR="00EB2EC7">
        <w:t xml:space="preserve"> </w:t>
      </w:r>
      <w:r w:rsidR="00F71DB8" w:rsidRPr="00F71DB8">
        <w:t>his descendants</w:t>
      </w:r>
      <w:r w:rsidR="00EB2EC7">
        <w:rPr>
          <w:rStyle w:val="FootnoteReference"/>
        </w:rPr>
        <w:footnoteReference w:id="13"/>
      </w:r>
      <w:r w:rsidR="0032082B">
        <w:rPr>
          <w:rFonts w:cs="Arial"/>
          <w:color w:val="222222"/>
          <w:shd w:val="clear" w:color="auto" w:fill="FFFFFF"/>
        </w:rPr>
        <w:t xml:space="preserve">. Its effect is </w:t>
      </w:r>
      <w:proofErr w:type="gramStart"/>
      <w:r w:rsidR="00F71DB8">
        <w:rPr>
          <w:rFonts w:cs="Arial"/>
          <w:color w:val="222222"/>
          <w:shd w:val="clear" w:color="auto" w:fill="FFFFFF"/>
        </w:rPr>
        <w:t>cl</w:t>
      </w:r>
      <w:bookmarkStart w:id="0" w:name="_GoBack"/>
      <w:bookmarkEnd w:id="0"/>
      <w:r w:rsidR="00F71DB8">
        <w:rPr>
          <w:rFonts w:cs="Arial"/>
          <w:color w:val="222222"/>
          <w:shd w:val="clear" w:color="auto" w:fill="FFFFFF"/>
        </w:rPr>
        <w:t>ear</w:t>
      </w:r>
      <w:proofErr w:type="gramEnd"/>
      <w:r w:rsidR="0032082B">
        <w:rPr>
          <w:rFonts w:cs="Arial"/>
          <w:color w:val="222222"/>
          <w:shd w:val="clear" w:color="auto" w:fill="FFFFFF"/>
        </w:rPr>
        <w:t xml:space="preserve"> and </w:t>
      </w:r>
      <w:r w:rsidR="005715A5">
        <w:rPr>
          <w:rFonts w:cs="Arial"/>
          <w:color w:val="222222"/>
          <w:shd w:val="clear" w:color="auto" w:fill="FFFFFF"/>
        </w:rPr>
        <w:t xml:space="preserve">It is not hard to question why the great poet and propagandist Virgil chose to remind his Roman audience of a great Roman military victory </w:t>
      </w:r>
      <w:r w:rsidR="005324CF">
        <w:rPr>
          <w:rFonts w:cs="Arial"/>
          <w:color w:val="222222"/>
          <w:shd w:val="clear" w:color="auto" w:fill="FFFFFF"/>
        </w:rPr>
        <w:t xml:space="preserve">in this way </w:t>
      </w:r>
      <w:r w:rsidR="00901C9F">
        <w:rPr>
          <w:rFonts w:cs="Arial"/>
          <w:color w:val="222222"/>
          <w:shd w:val="clear" w:color="auto" w:fill="FFFFFF"/>
        </w:rPr>
        <w:t xml:space="preserve">as it clearly </w:t>
      </w:r>
      <w:r w:rsidR="00804FD9">
        <w:rPr>
          <w:rFonts w:cs="Arial"/>
          <w:color w:val="222222"/>
          <w:shd w:val="clear" w:color="auto" w:fill="FFFFFF"/>
        </w:rPr>
        <w:t xml:space="preserve">connects with one of the central themes of the work, Roman power and prestige. </w:t>
      </w:r>
      <w:r w:rsidR="008C0414">
        <w:rPr>
          <w:rFonts w:cs="Arial"/>
          <w:color w:val="222222"/>
          <w:shd w:val="clear" w:color="auto" w:fill="FFFFFF"/>
        </w:rPr>
        <w:t>Furthermore,</w:t>
      </w:r>
      <w:r w:rsidR="00804FD9">
        <w:rPr>
          <w:rFonts w:cs="Arial"/>
          <w:color w:val="222222"/>
          <w:shd w:val="clear" w:color="auto" w:fill="FFFFFF"/>
        </w:rPr>
        <w:t xml:space="preserve"> </w:t>
      </w:r>
      <w:r w:rsidR="0032082B">
        <w:rPr>
          <w:rFonts w:cs="Arial"/>
          <w:color w:val="222222"/>
          <w:shd w:val="clear" w:color="auto" w:fill="FFFFFF"/>
        </w:rPr>
        <w:t>Virgil adds to this theme again with his addition of a sword playing a role in Dido’s suicide</w:t>
      </w:r>
      <w:r w:rsidR="008C0414">
        <w:rPr>
          <w:rFonts w:cs="Arial"/>
          <w:color w:val="222222"/>
          <w:shd w:val="clear" w:color="auto" w:fill="FFFFFF"/>
        </w:rPr>
        <w:t xml:space="preserve">. The sword itself was a gift from Dido to Aeneas and was one of the few things left behind by the Hero when he </w:t>
      </w:r>
      <w:r w:rsidR="001E3063">
        <w:rPr>
          <w:rFonts w:cs="Arial"/>
          <w:color w:val="222222"/>
          <w:shd w:val="clear" w:color="auto" w:fill="FFFFFF"/>
        </w:rPr>
        <w:t>secretly departed</w:t>
      </w:r>
      <w:r w:rsidR="004A3E77">
        <w:rPr>
          <w:rFonts w:cs="Arial"/>
          <w:color w:val="222222"/>
          <w:shd w:val="clear" w:color="auto" w:fill="FFFFFF"/>
        </w:rPr>
        <w:t xml:space="preserve"> thus the weapon represents Aeneas and all that he is. </w:t>
      </w:r>
      <w:r w:rsidR="00BC44FE">
        <w:rPr>
          <w:rFonts w:cs="Arial"/>
          <w:color w:val="222222"/>
          <w:shd w:val="clear" w:color="auto" w:fill="FFFFFF"/>
        </w:rPr>
        <w:t>Thus,</w:t>
      </w:r>
      <w:r w:rsidR="004A3E77">
        <w:rPr>
          <w:rFonts w:cs="Arial"/>
          <w:color w:val="222222"/>
          <w:shd w:val="clear" w:color="auto" w:fill="FFFFFF"/>
        </w:rPr>
        <w:t xml:space="preserve"> adding on from Copley</w:t>
      </w:r>
      <w:r w:rsidR="00BC44FE">
        <w:rPr>
          <w:rFonts w:cs="Arial"/>
          <w:color w:val="222222"/>
          <w:shd w:val="clear" w:color="auto" w:fill="FFFFFF"/>
        </w:rPr>
        <w:t>, that “</w:t>
      </w:r>
      <w:r w:rsidR="00BC44FE" w:rsidRPr="00BC44FE">
        <w:rPr>
          <w:rFonts w:cs="Arial"/>
          <w:color w:val="222222"/>
          <w:shd w:val="clear" w:color="auto" w:fill="FFFFFF"/>
        </w:rPr>
        <w:t>Dido is Carthage . . . Her death is the death of Carthag</w:t>
      </w:r>
      <w:r w:rsidR="00BC44FE">
        <w:rPr>
          <w:rFonts w:cs="Arial"/>
          <w:color w:val="222222"/>
          <w:shd w:val="clear" w:color="auto" w:fill="FFFFFF"/>
        </w:rPr>
        <w:t>e”</w:t>
      </w:r>
      <w:r w:rsidR="00BC44FE">
        <w:rPr>
          <w:rStyle w:val="FootnoteReference"/>
          <w:rFonts w:cs="Arial"/>
          <w:color w:val="222222"/>
          <w:shd w:val="clear" w:color="auto" w:fill="FFFFFF"/>
        </w:rPr>
        <w:footnoteReference w:id="14"/>
      </w:r>
      <w:r w:rsidR="00BC44FE">
        <w:rPr>
          <w:rFonts w:cs="Arial"/>
          <w:color w:val="222222"/>
          <w:shd w:val="clear" w:color="auto" w:fill="FFFFFF"/>
        </w:rPr>
        <w:t>, if Dido’s death is representative of the fall of Carthage then it can be asserted that Aeneas’ sword is representative of Roman victory over the Punic city.</w:t>
      </w:r>
    </w:p>
    <w:p w:rsidR="00BC44FE" w:rsidRPr="00770F4E" w:rsidRDefault="00BC44FE" w:rsidP="00BC44FE">
      <w:pPr>
        <w:rPr>
          <w:rFonts w:cs="Arial"/>
          <w:color w:val="222222"/>
          <w:shd w:val="clear" w:color="auto" w:fill="FFFFFF"/>
        </w:rPr>
      </w:pPr>
      <w:r>
        <w:rPr>
          <w:rFonts w:cs="Arial"/>
          <w:color w:val="222222"/>
          <w:shd w:val="clear" w:color="auto" w:fill="FFFFFF"/>
        </w:rPr>
        <w:t xml:space="preserve">For what purpose does Virgil make Aeneas even visit Carthage in the Aeneid? </w:t>
      </w:r>
      <w:r w:rsidR="00F71DB8">
        <w:rPr>
          <w:rFonts w:cs="Arial"/>
          <w:color w:val="222222"/>
          <w:shd w:val="clear" w:color="auto" w:fill="FFFFFF"/>
        </w:rPr>
        <w:t>I believe that it is an ideological point being made by the Author, who is simply driving home the message to his audience that to a ‘perfect’ Roman duty should com</w:t>
      </w:r>
      <w:r w:rsidR="007D337F">
        <w:rPr>
          <w:rFonts w:cs="Arial"/>
          <w:color w:val="222222"/>
          <w:shd w:val="clear" w:color="auto" w:fill="FFFFFF"/>
        </w:rPr>
        <w:t>e</w:t>
      </w:r>
      <w:r w:rsidR="00F71DB8">
        <w:rPr>
          <w:rFonts w:cs="Arial"/>
          <w:color w:val="222222"/>
          <w:shd w:val="clear" w:color="auto" w:fill="FFFFFF"/>
        </w:rPr>
        <w:t xml:space="preserve"> first over all things, even if it means ignoring love to the point of irreversible consequence</w:t>
      </w:r>
      <w:r w:rsidR="009747FD">
        <w:rPr>
          <w:rFonts w:cs="Arial"/>
          <w:color w:val="222222"/>
          <w:shd w:val="clear" w:color="auto" w:fill="FFFFFF"/>
        </w:rPr>
        <w:t>,</w:t>
      </w:r>
      <w:r w:rsidR="00ED1F1B">
        <w:rPr>
          <w:rFonts w:cs="Arial"/>
          <w:color w:val="222222"/>
          <w:shd w:val="clear" w:color="auto" w:fill="FFFFFF"/>
        </w:rPr>
        <w:t xml:space="preserve"> it is a quintessential reflection on the more </w:t>
      </w:r>
      <w:r w:rsidR="009747FD">
        <w:rPr>
          <w:rFonts w:cs="Arial"/>
          <w:color w:val="222222"/>
          <w:shd w:val="clear" w:color="auto" w:fill="FFFFFF"/>
        </w:rPr>
        <w:t>un-sentimental forms of Roman morality.</w:t>
      </w:r>
      <w:r w:rsidR="007D337F">
        <w:rPr>
          <w:rFonts w:cs="Arial"/>
          <w:color w:val="222222"/>
          <w:shd w:val="clear" w:color="auto" w:fill="FFFFFF"/>
        </w:rPr>
        <w:t xml:space="preserve"> In that respect I believe that the story of Dido and Aeneas may have an allegorical aspect to it, as to teach the reader or an audience that above all else ‘duty’ to the Roman state should a </w:t>
      </w:r>
      <w:r w:rsidR="00267560">
        <w:rPr>
          <w:rFonts w:cs="Arial"/>
          <w:color w:val="222222"/>
          <w:shd w:val="clear" w:color="auto" w:fill="FFFFFF"/>
        </w:rPr>
        <w:t>person’s</w:t>
      </w:r>
      <w:r w:rsidR="007D337F">
        <w:rPr>
          <w:rFonts w:cs="Arial"/>
          <w:color w:val="222222"/>
          <w:shd w:val="clear" w:color="auto" w:fill="FFFFFF"/>
        </w:rPr>
        <w:t xml:space="preserve"> primary concern</w:t>
      </w:r>
      <w:r w:rsidR="007D337F">
        <w:rPr>
          <w:rStyle w:val="FootnoteReference"/>
          <w:rFonts w:cs="Arial"/>
          <w:color w:val="222222"/>
          <w:shd w:val="clear" w:color="auto" w:fill="FFFFFF"/>
        </w:rPr>
        <w:footnoteReference w:id="15"/>
      </w:r>
      <w:r w:rsidR="00267560">
        <w:rPr>
          <w:rFonts w:cs="Arial"/>
          <w:color w:val="222222"/>
          <w:shd w:val="clear" w:color="auto" w:fill="FFFFFF"/>
        </w:rPr>
        <w:t>.</w:t>
      </w:r>
      <w:r w:rsidR="009747FD">
        <w:rPr>
          <w:rFonts w:cs="Arial"/>
          <w:color w:val="222222"/>
          <w:shd w:val="clear" w:color="auto" w:fill="FFFFFF"/>
        </w:rPr>
        <w:t xml:space="preserve"> In summation </w:t>
      </w:r>
      <w:r w:rsidR="007D337F">
        <w:rPr>
          <w:rFonts w:cs="Arial"/>
          <w:color w:val="222222"/>
          <w:shd w:val="clear" w:color="auto" w:fill="FFFFFF"/>
        </w:rPr>
        <w:t>I have shown that the author Virgil has purposefully altered the common perceptions of Queen Dido through clever use of metaphor</w:t>
      </w:r>
      <w:r w:rsidR="00267560">
        <w:rPr>
          <w:rFonts w:cs="Arial"/>
          <w:color w:val="222222"/>
          <w:shd w:val="clear" w:color="auto" w:fill="FFFFFF"/>
        </w:rPr>
        <w:t xml:space="preserve">, intertextuality and even allegory </w:t>
      </w:r>
      <w:proofErr w:type="gramStart"/>
      <w:r w:rsidR="00267560">
        <w:rPr>
          <w:rFonts w:cs="Arial"/>
          <w:color w:val="222222"/>
          <w:shd w:val="clear" w:color="auto" w:fill="FFFFFF"/>
        </w:rPr>
        <w:t>in order to</w:t>
      </w:r>
      <w:proofErr w:type="gramEnd"/>
      <w:r w:rsidR="00267560">
        <w:rPr>
          <w:rFonts w:cs="Arial"/>
          <w:color w:val="222222"/>
          <w:shd w:val="clear" w:color="auto" w:fill="FFFFFF"/>
        </w:rPr>
        <w:t xml:space="preserve"> aid his epic’s narrative of Roman superiority in both war and morality.</w:t>
      </w:r>
    </w:p>
    <w:p w:rsidR="006E1222" w:rsidRDefault="006E1222" w:rsidP="0062080D">
      <w:pPr>
        <w:rPr>
          <w:rFonts w:cs="Arial"/>
          <w:color w:val="222222"/>
          <w:shd w:val="clear" w:color="auto" w:fill="FFFFFF"/>
        </w:rPr>
      </w:pPr>
    </w:p>
    <w:p w:rsidR="00267560" w:rsidRDefault="00267560" w:rsidP="0062080D">
      <w:pPr>
        <w:rPr>
          <w:rFonts w:cs="Arial"/>
          <w:color w:val="222222"/>
          <w:shd w:val="clear" w:color="auto" w:fill="FFFFFF"/>
        </w:rPr>
      </w:pPr>
    </w:p>
    <w:p w:rsidR="00267560" w:rsidRDefault="00267560" w:rsidP="0062080D">
      <w:pPr>
        <w:rPr>
          <w:rFonts w:cs="Arial"/>
          <w:color w:val="222222"/>
          <w:shd w:val="clear" w:color="auto" w:fill="FFFFFF"/>
        </w:rPr>
      </w:pPr>
    </w:p>
    <w:p w:rsidR="00267560" w:rsidRDefault="00267560" w:rsidP="0062080D">
      <w:pPr>
        <w:rPr>
          <w:rFonts w:cs="Arial"/>
          <w:color w:val="222222"/>
          <w:shd w:val="clear" w:color="auto" w:fill="FFFFFF"/>
        </w:rPr>
      </w:pPr>
    </w:p>
    <w:p w:rsidR="00267560" w:rsidRDefault="00267560" w:rsidP="0062080D">
      <w:pPr>
        <w:rPr>
          <w:rFonts w:cs="Arial"/>
          <w:color w:val="222222"/>
          <w:shd w:val="clear" w:color="auto" w:fill="FFFFFF"/>
        </w:rPr>
      </w:pPr>
    </w:p>
    <w:p w:rsidR="00267560" w:rsidRDefault="00267560" w:rsidP="0062080D">
      <w:pPr>
        <w:rPr>
          <w:rFonts w:cs="Arial"/>
          <w:color w:val="222222"/>
          <w:shd w:val="clear" w:color="auto" w:fill="FFFFFF"/>
        </w:rPr>
      </w:pPr>
    </w:p>
    <w:p w:rsidR="00267560" w:rsidRDefault="00267560" w:rsidP="0062080D">
      <w:pPr>
        <w:rPr>
          <w:rFonts w:cs="Arial"/>
          <w:color w:val="222222"/>
          <w:shd w:val="clear" w:color="auto" w:fill="FFFFFF"/>
        </w:rPr>
      </w:pPr>
    </w:p>
    <w:p w:rsidR="00267560" w:rsidRDefault="00267560" w:rsidP="0062080D">
      <w:pPr>
        <w:rPr>
          <w:rFonts w:cs="Arial"/>
          <w:color w:val="222222"/>
          <w:shd w:val="clear" w:color="auto" w:fill="FFFFFF"/>
        </w:rPr>
      </w:pPr>
    </w:p>
    <w:p w:rsidR="00267560" w:rsidRDefault="00267560" w:rsidP="0062080D">
      <w:pPr>
        <w:rPr>
          <w:rFonts w:cs="Arial"/>
          <w:color w:val="222222"/>
          <w:shd w:val="clear" w:color="auto" w:fill="FFFFFF"/>
        </w:rPr>
      </w:pPr>
      <w:r>
        <w:rPr>
          <w:rFonts w:cs="Arial"/>
          <w:color w:val="222222"/>
          <w:shd w:val="clear" w:color="auto" w:fill="FFFFFF"/>
        </w:rPr>
        <w:t>Bibliography:</w:t>
      </w:r>
    </w:p>
    <w:p w:rsidR="00267560" w:rsidRDefault="00267560" w:rsidP="0062080D">
      <w:pPr>
        <w:rPr>
          <w:rFonts w:cs="Arial"/>
          <w:color w:val="222222"/>
          <w:shd w:val="clear" w:color="auto" w:fill="FFFFFF"/>
        </w:rPr>
      </w:pPr>
      <w:r w:rsidRPr="00267560">
        <w:rPr>
          <w:rFonts w:cs="Arial"/>
          <w:color w:val="222222"/>
          <w:shd w:val="clear" w:color="auto" w:fill="FFFFFF"/>
        </w:rPr>
        <w:t>Justinus</w:t>
      </w:r>
      <w:r>
        <w:rPr>
          <w:rFonts w:cs="Arial"/>
          <w:color w:val="222222"/>
          <w:shd w:val="clear" w:color="auto" w:fill="FFFFFF"/>
        </w:rPr>
        <w:t xml:space="preserve">. </w:t>
      </w:r>
      <w:r w:rsidRPr="00267560">
        <w:rPr>
          <w:rFonts w:cs="Arial"/>
          <w:color w:val="222222"/>
          <w:shd w:val="clear" w:color="auto" w:fill="FFFFFF"/>
        </w:rPr>
        <w:t xml:space="preserve">Epitome of </w:t>
      </w:r>
      <w:proofErr w:type="spellStart"/>
      <w:r w:rsidRPr="00267560">
        <w:rPr>
          <w:rFonts w:cs="Arial"/>
          <w:color w:val="222222"/>
          <w:shd w:val="clear" w:color="auto" w:fill="FFFFFF"/>
        </w:rPr>
        <w:t>Pompeius</w:t>
      </w:r>
      <w:proofErr w:type="spellEnd"/>
      <w:r w:rsidRPr="00267560">
        <w:rPr>
          <w:rFonts w:cs="Arial"/>
          <w:color w:val="222222"/>
          <w:shd w:val="clear" w:color="auto" w:fill="FFFFFF"/>
        </w:rPr>
        <w:t xml:space="preserve"> Trogus' Philippic Histories</w:t>
      </w:r>
      <w:r>
        <w:rPr>
          <w:rFonts w:cs="Arial"/>
          <w:color w:val="222222"/>
          <w:shd w:val="clear" w:color="auto" w:fill="FFFFFF"/>
        </w:rPr>
        <w:t xml:space="preserve">. </w:t>
      </w:r>
      <w:r w:rsidRPr="00267560">
        <w:rPr>
          <w:rFonts w:cs="Arial"/>
          <w:color w:val="222222"/>
          <w:shd w:val="clear" w:color="auto" w:fill="FFFFFF"/>
        </w:rPr>
        <w:t xml:space="preserve">Rev. </w:t>
      </w:r>
      <w:proofErr w:type="spellStart"/>
      <w:r w:rsidRPr="00267560">
        <w:rPr>
          <w:rFonts w:cs="Arial"/>
          <w:color w:val="222222"/>
          <w:shd w:val="clear" w:color="auto" w:fill="FFFFFF"/>
        </w:rPr>
        <w:t>J.</w:t>
      </w:r>
      <w:proofErr w:type="gramStart"/>
      <w:r w:rsidRPr="00267560">
        <w:rPr>
          <w:rFonts w:cs="Arial"/>
          <w:color w:val="222222"/>
          <w:shd w:val="clear" w:color="auto" w:fill="FFFFFF"/>
        </w:rPr>
        <w:t>S.Watson</w:t>
      </w:r>
      <w:proofErr w:type="spellEnd"/>
      <w:proofErr w:type="gramEnd"/>
      <w:r>
        <w:rPr>
          <w:rFonts w:cs="Arial"/>
          <w:color w:val="222222"/>
          <w:shd w:val="clear" w:color="auto" w:fill="FFFFFF"/>
        </w:rPr>
        <w:t xml:space="preserve"> (trans.). 1853. Accessed from: </w:t>
      </w:r>
      <w:hyperlink r:id="rId8" w:history="1">
        <w:r w:rsidRPr="00267560">
          <w:rPr>
            <w:rStyle w:val="Hyperlink"/>
            <w:rFonts w:cs="Arial"/>
            <w:shd w:val="clear" w:color="auto" w:fill="FFFFFF"/>
          </w:rPr>
          <w:t>http://www.attalus.org/translate/justin2.html#18.1</w:t>
        </w:r>
      </w:hyperlink>
      <w:r>
        <w:rPr>
          <w:rFonts w:cs="Arial"/>
          <w:color w:val="222222"/>
          <w:shd w:val="clear" w:color="auto" w:fill="FFFFFF"/>
        </w:rPr>
        <w:t xml:space="preserve"> [Accessed at 12/12/17, 10:32].</w:t>
      </w:r>
    </w:p>
    <w:p w:rsidR="00267560" w:rsidRDefault="00267560" w:rsidP="0062080D">
      <w:pPr>
        <w:rPr>
          <w:rFonts w:cs="Arial"/>
          <w:color w:val="222222"/>
          <w:shd w:val="clear" w:color="auto" w:fill="FFFFFF"/>
        </w:rPr>
      </w:pPr>
      <w:r>
        <w:rPr>
          <w:rFonts w:cs="Arial"/>
          <w:color w:val="222222"/>
          <w:shd w:val="clear" w:color="auto" w:fill="FFFFFF"/>
        </w:rPr>
        <w:t>Virgil. Aeneid. Fitzgerald, R. (trans.). London: Penguin Classics.</w:t>
      </w:r>
    </w:p>
    <w:p w:rsidR="00267560" w:rsidRDefault="00267560" w:rsidP="0062080D">
      <w:pPr>
        <w:rPr>
          <w:rFonts w:cs="Arial"/>
          <w:color w:val="222222"/>
          <w:shd w:val="clear" w:color="auto" w:fill="FFFFFF"/>
        </w:rPr>
      </w:pPr>
    </w:p>
    <w:p w:rsidR="00267560" w:rsidRDefault="00267560" w:rsidP="0062080D">
      <w:pPr>
        <w:rPr>
          <w:rFonts w:cs="Arial"/>
          <w:color w:val="222222"/>
          <w:shd w:val="clear" w:color="auto" w:fill="FFFFFF"/>
        </w:rPr>
      </w:pPr>
      <w:r>
        <w:rPr>
          <w:rFonts w:cs="Arial"/>
          <w:color w:val="222222"/>
          <w:shd w:val="clear" w:color="auto" w:fill="FFFFFF"/>
        </w:rPr>
        <w:t>Edgeworth, R J. 1976. The Death of Dido.</w:t>
      </w:r>
      <w:r w:rsidR="0040067C">
        <w:rPr>
          <w:rFonts w:cs="Arial"/>
          <w:color w:val="222222"/>
          <w:shd w:val="clear" w:color="auto" w:fill="FFFFFF"/>
        </w:rPr>
        <w:t xml:space="preserve"> </w:t>
      </w:r>
      <w:r w:rsidR="0040067C" w:rsidRPr="0040067C">
        <w:rPr>
          <w:rFonts w:cs="Arial"/>
          <w:color w:val="222222"/>
          <w:shd w:val="clear" w:color="auto" w:fill="FFFFFF"/>
        </w:rPr>
        <w:t>The Classical Journal, Vol. 72, No. 2 (</w:t>
      </w:r>
      <w:proofErr w:type="gramStart"/>
      <w:r w:rsidR="0040067C" w:rsidRPr="0040067C">
        <w:rPr>
          <w:rFonts w:cs="Arial"/>
          <w:color w:val="222222"/>
          <w:shd w:val="clear" w:color="auto" w:fill="FFFFFF"/>
        </w:rPr>
        <w:t>Dec.,</w:t>
      </w:r>
      <w:proofErr w:type="gramEnd"/>
      <w:r w:rsidR="0040067C" w:rsidRPr="0040067C">
        <w:rPr>
          <w:rFonts w:cs="Arial"/>
          <w:color w:val="222222"/>
          <w:shd w:val="clear" w:color="auto" w:fill="FFFFFF"/>
        </w:rPr>
        <w:t xml:space="preserve"> 1976 - Jan., 1977), pp. 129-133</w:t>
      </w:r>
      <w:r w:rsidR="0040067C">
        <w:rPr>
          <w:rFonts w:cs="Arial"/>
          <w:color w:val="222222"/>
          <w:shd w:val="clear" w:color="auto" w:fill="FFFFFF"/>
        </w:rPr>
        <w:t>.</w:t>
      </w:r>
    </w:p>
    <w:p w:rsidR="0040067C" w:rsidRPr="00A61FF7" w:rsidRDefault="0040067C" w:rsidP="0062080D">
      <w:pPr>
        <w:rPr>
          <w:rFonts w:cs="Arial"/>
          <w:color w:val="222222"/>
          <w:shd w:val="clear" w:color="auto" w:fill="FFFFFF"/>
        </w:rPr>
      </w:pPr>
      <w:r>
        <w:rPr>
          <w:rFonts w:cs="Arial"/>
          <w:color w:val="222222"/>
          <w:shd w:val="clear" w:color="auto" w:fill="FFFFFF"/>
        </w:rPr>
        <w:t xml:space="preserve">Copley, F O. 1969. </w:t>
      </w:r>
      <w:r w:rsidRPr="0040067C">
        <w:rPr>
          <w:rFonts w:cs="Arial"/>
          <w:color w:val="222222"/>
          <w:shd w:val="clear" w:color="auto" w:fill="FFFFFF"/>
        </w:rPr>
        <w:t xml:space="preserve">Latin literature: from the beginnings to the close of the second century </w:t>
      </w:r>
      <w:proofErr w:type="gramStart"/>
      <w:r w:rsidRPr="0040067C">
        <w:rPr>
          <w:rFonts w:cs="Arial"/>
          <w:color w:val="222222"/>
          <w:shd w:val="clear" w:color="auto" w:fill="FFFFFF"/>
        </w:rPr>
        <w:t>A.D.</w:t>
      </w:r>
      <w:r>
        <w:rPr>
          <w:rFonts w:cs="Arial"/>
          <w:color w:val="222222"/>
          <w:shd w:val="clear" w:color="auto" w:fill="FFFFFF"/>
        </w:rPr>
        <w:t xml:space="preserve"> .</w:t>
      </w:r>
      <w:proofErr w:type="gramEnd"/>
      <w:r>
        <w:rPr>
          <w:rFonts w:cs="Arial"/>
          <w:color w:val="222222"/>
          <w:shd w:val="clear" w:color="auto" w:fill="FFFFFF"/>
        </w:rPr>
        <w:t xml:space="preserve"> </w:t>
      </w:r>
      <w:r w:rsidRPr="0040067C">
        <w:rPr>
          <w:rFonts w:cs="Arial"/>
          <w:color w:val="222222"/>
          <w:shd w:val="clear" w:color="auto" w:fill="FFFFFF"/>
        </w:rPr>
        <w:t>University of Michigan Press</w:t>
      </w:r>
      <w:r>
        <w:rPr>
          <w:rFonts w:cs="Arial"/>
          <w:color w:val="222222"/>
          <w:shd w:val="clear" w:color="auto" w:fill="FFFFFF"/>
        </w:rPr>
        <w:t>.</w:t>
      </w:r>
    </w:p>
    <w:sectPr w:rsidR="0040067C" w:rsidRPr="00A61F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6EF" w:rsidRDefault="00CB76EF" w:rsidP="007C2B9D">
      <w:pPr>
        <w:spacing w:after="0" w:line="240" w:lineRule="auto"/>
      </w:pPr>
      <w:r>
        <w:separator/>
      </w:r>
    </w:p>
  </w:endnote>
  <w:endnote w:type="continuationSeparator" w:id="0">
    <w:p w:rsidR="00CB76EF" w:rsidRDefault="00CB76EF" w:rsidP="007C2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6EF" w:rsidRDefault="00CB76EF" w:rsidP="007C2B9D">
      <w:pPr>
        <w:spacing w:after="0" w:line="240" w:lineRule="auto"/>
      </w:pPr>
      <w:r>
        <w:separator/>
      </w:r>
    </w:p>
  </w:footnote>
  <w:footnote w:type="continuationSeparator" w:id="0">
    <w:p w:rsidR="00CB76EF" w:rsidRDefault="00CB76EF" w:rsidP="007C2B9D">
      <w:pPr>
        <w:spacing w:after="0" w:line="240" w:lineRule="auto"/>
      </w:pPr>
      <w:r>
        <w:continuationSeparator/>
      </w:r>
    </w:p>
  </w:footnote>
  <w:footnote w:id="1">
    <w:p w:rsidR="007C2B9D" w:rsidRDefault="007C2B9D">
      <w:pPr>
        <w:pStyle w:val="FootnoteText"/>
      </w:pPr>
      <w:r>
        <w:rPr>
          <w:rStyle w:val="FootnoteReference"/>
        </w:rPr>
        <w:footnoteRef/>
      </w:r>
      <w:r>
        <w:t xml:space="preserve"> Fitzgerald, R. 1985. Pg.412</w:t>
      </w:r>
    </w:p>
  </w:footnote>
  <w:footnote w:id="2">
    <w:p w:rsidR="007C2B9D" w:rsidRPr="00770F4E" w:rsidRDefault="007C2B9D">
      <w:pPr>
        <w:pStyle w:val="FootnoteText"/>
      </w:pPr>
      <w:r>
        <w:rPr>
          <w:rStyle w:val="FootnoteReference"/>
        </w:rPr>
        <w:footnoteRef/>
      </w:r>
      <w:r>
        <w:t xml:space="preserve"> </w:t>
      </w:r>
      <w:r w:rsidR="00770F4E">
        <w:t xml:space="preserve">Justinus. </w:t>
      </w:r>
      <w:r w:rsidR="00770F4E">
        <w:rPr>
          <w:i/>
        </w:rPr>
        <w:t xml:space="preserve">Phil. Hist. </w:t>
      </w:r>
      <w:r w:rsidR="00770F4E">
        <w:t>18.3-6</w:t>
      </w:r>
    </w:p>
  </w:footnote>
  <w:footnote w:id="3">
    <w:p w:rsidR="00770F4E" w:rsidRPr="00770F4E" w:rsidRDefault="00770F4E">
      <w:pPr>
        <w:pStyle w:val="FootnoteText"/>
      </w:pPr>
      <w:r>
        <w:rPr>
          <w:rStyle w:val="FootnoteReference"/>
        </w:rPr>
        <w:footnoteRef/>
      </w:r>
      <w:r>
        <w:t xml:space="preserve"> Justinus. </w:t>
      </w:r>
      <w:r>
        <w:rPr>
          <w:i/>
        </w:rPr>
        <w:t xml:space="preserve">Phil. Hist. </w:t>
      </w:r>
      <w:r>
        <w:t xml:space="preserve">18.3 and </w:t>
      </w:r>
      <w:proofErr w:type="spellStart"/>
      <w:r w:rsidR="00461BC4">
        <w:t>Virg</w:t>
      </w:r>
      <w:proofErr w:type="spellEnd"/>
      <w:r w:rsidR="00461BC4">
        <w:t xml:space="preserve">. </w:t>
      </w:r>
      <w:proofErr w:type="spellStart"/>
      <w:r w:rsidR="00461BC4">
        <w:t>Aen</w:t>
      </w:r>
      <w:proofErr w:type="spellEnd"/>
      <w:r w:rsidR="00461BC4">
        <w:t>. 4.20-25</w:t>
      </w:r>
    </w:p>
  </w:footnote>
  <w:footnote w:id="4">
    <w:p w:rsidR="00461BC4" w:rsidRPr="00461BC4" w:rsidRDefault="00461BC4">
      <w:pPr>
        <w:pStyle w:val="FootnoteText"/>
      </w:pPr>
      <w:r>
        <w:rPr>
          <w:rStyle w:val="FootnoteReference"/>
        </w:rPr>
        <w:footnoteRef/>
      </w:r>
      <w:r>
        <w:t xml:space="preserve"> Justinus. </w:t>
      </w:r>
      <w:r>
        <w:rPr>
          <w:i/>
        </w:rPr>
        <w:t xml:space="preserve">Phil. Hist. </w:t>
      </w:r>
      <w:r>
        <w:t xml:space="preserve">18.6 and </w:t>
      </w:r>
      <w:proofErr w:type="spellStart"/>
      <w:r>
        <w:t>Virg.Aen</w:t>
      </w:r>
      <w:proofErr w:type="spellEnd"/>
      <w:r>
        <w:t>. 4.50-55</w:t>
      </w:r>
    </w:p>
  </w:footnote>
  <w:footnote w:id="5">
    <w:p w:rsidR="00461BC4" w:rsidRDefault="00461BC4">
      <w:pPr>
        <w:pStyle w:val="FootnoteText"/>
      </w:pPr>
      <w:r>
        <w:rPr>
          <w:rStyle w:val="FootnoteReference"/>
        </w:rPr>
        <w:footnoteRef/>
      </w:r>
      <w:r>
        <w:t xml:space="preserve"> </w:t>
      </w:r>
      <w:r>
        <w:t xml:space="preserve">Justinus. </w:t>
      </w:r>
      <w:r>
        <w:rPr>
          <w:i/>
        </w:rPr>
        <w:t xml:space="preserve">Phil. Hist. </w:t>
      </w:r>
      <w:r>
        <w:t xml:space="preserve">18.6 and </w:t>
      </w:r>
      <w:proofErr w:type="spellStart"/>
      <w:r>
        <w:t>Virg.Aen</w:t>
      </w:r>
      <w:proofErr w:type="spellEnd"/>
      <w:r>
        <w:t>. 4.</w:t>
      </w:r>
      <w:r>
        <w:t>920-980</w:t>
      </w:r>
    </w:p>
  </w:footnote>
  <w:footnote w:id="6">
    <w:p w:rsidR="00461BC4" w:rsidRDefault="00461BC4">
      <w:pPr>
        <w:pStyle w:val="FootnoteText"/>
      </w:pPr>
      <w:r>
        <w:rPr>
          <w:rStyle w:val="FootnoteReference"/>
        </w:rPr>
        <w:footnoteRef/>
      </w:r>
      <w:r>
        <w:t xml:space="preserve"> </w:t>
      </w:r>
      <w:proofErr w:type="spellStart"/>
      <w:r>
        <w:t>Virg</w:t>
      </w:r>
      <w:proofErr w:type="spellEnd"/>
      <w:r>
        <w:t xml:space="preserve">. </w:t>
      </w:r>
      <w:proofErr w:type="spellStart"/>
      <w:r>
        <w:t>Aen</w:t>
      </w:r>
      <w:proofErr w:type="spellEnd"/>
      <w:r>
        <w:t>. 4.231</w:t>
      </w:r>
    </w:p>
  </w:footnote>
  <w:footnote w:id="7">
    <w:p w:rsidR="00555DE4" w:rsidRDefault="00555DE4">
      <w:pPr>
        <w:pStyle w:val="FootnoteText"/>
      </w:pPr>
      <w:r>
        <w:rPr>
          <w:rStyle w:val="FootnoteReference"/>
        </w:rPr>
        <w:footnoteRef/>
      </w:r>
      <w:r>
        <w:t xml:space="preserve"> </w:t>
      </w:r>
      <w:proofErr w:type="spellStart"/>
      <w:r>
        <w:t>Virg</w:t>
      </w:r>
      <w:proofErr w:type="spellEnd"/>
      <w:r>
        <w:t xml:space="preserve">. </w:t>
      </w:r>
      <w:proofErr w:type="spellStart"/>
      <w:r>
        <w:t>Aen</w:t>
      </w:r>
      <w:proofErr w:type="spellEnd"/>
      <w:r>
        <w:t xml:space="preserve"> 4.933-947</w:t>
      </w:r>
    </w:p>
  </w:footnote>
  <w:footnote w:id="8">
    <w:p w:rsidR="00C66892" w:rsidRDefault="00C66892">
      <w:pPr>
        <w:pStyle w:val="FootnoteText"/>
      </w:pPr>
      <w:r>
        <w:rPr>
          <w:rStyle w:val="FootnoteReference"/>
        </w:rPr>
        <w:footnoteRef/>
      </w:r>
      <w:r>
        <w:t xml:space="preserve"> </w:t>
      </w:r>
      <w:r>
        <w:t xml:space="preserve">Justinus. </w:t>
      </w:r>
      <w:r>
        <w:rPr>
          <w:i/>
        </w:rPr>
        <w:t xml:space="preserve">Phil. Hist. </w:t>
      </w:r>
      <w:r>
        <w:t>18.6</w:t>
      </w:r>
    </w:p>
  </w:footnote>
  <w:footnote w:id="9">
    <w:p w:rsidR="005715A5" w:rsidRDefault="005715A5">
      <w:pPr>
        <w:pStyle w:val="FootnoteText"/>
      </w:pPr>
      <w:r>
        <w:rPr>
          <w:rStyle w:val="FootnoteReference"/>
        </w:rPr>
        <w:footnoteRef/>
      </w:r>
      <w:r>
        <w:t xml:space="preserve"> </w:t>
      </w:r>
      <w:r>
        <w:t xml:space="preserve">Justinus. </w:t>
      </w:r>
      <w:r>
        <w:rPr>
          <w:i/>
        </w:rPr>
        <w:t xml:space="preserve">Phil. Hist. </w:t>
      </w:r>
      <w:r>
        <w:t>18.6</w:t>
      </w:r>
    </w:p>
  </w:footnote>
  <w:footnote w:id="10">
    <w:p w:rsidR="005715A5" w:rsidRDefault="005715A5">
      <w:pPr>
        <w:pStyle w:val="FootnoteText"/>
      </w:pPr>
      <w:r>
        <w:rPr>
          <w:rStyle w:val="FootnoteReference"/>
        </w:rPr>
        <w:footnoteRef/>
      </w:r>
      <w:r>
        <w:t xml:space="preserve"> Edgeworth, R J. 1976. Pg. 130</w:t>
      </w:r>
    </w:p>
  </w:footnote>
  <w:footnote w:id="11">
    <w:p w:rsidR="00804FD9" w:rsidRDefault="00804FD9">
      <w:pPr>
        <w:pStyle w:val="FootnoteText"/>
      </w:pPr>
      <w:r>
        <w:rPr>
          <w:rStyle w:val="FootnoteReference"/>
        </w:rPr>
        <w:footnoteRef/>
      </w:r>
      <w:r>
        <w:t xml:space="preserve"> </w:t>
      </w:r>
      <w:r>
        <w:t>Edgeworth, R J. 1976. Pg. 130</w:t>
      </w:r>
    </w:p>
  </w:footnote>
  <w:footnote w:id="12">
    <w:p w:rsidR="00EB2EC7" w:rsidRDefault="00EB2EC7">
      <w:pPr>
        <w:pStyle w:val="FootnoteText"/>
      </w:pPr>
      <w:r>
        <w:rPr>
          <w:rStyle w:val="FootnoteReference"/>
        </w:rPr>
        <w:footnoteRef/>
      </w:r>
      <w:r>
        <w:t xml:space="preserve"> </w:t>
      </w:r>
      <w:r>
        <w:t>Edgeworth, R J. 1976. Pg. 13</w:t>
      </w:r>
      <w:r>
        <w:t>1</w:t>
      </w:r>
    </w:p>
  </w:footnote>
  <w:footnote w:id="13">
    <w:p w:rsidR="00EB2EC7" w:rsidRDefault="00EB2EC7">
      <w:pPr>
        <w:pStyle w:val="FootnoteText"/>
      </w:pPr>
      <w:r>
        <w:rPr>
          <w:rStyle w:val="FootnoteReference"/>
        </w:rPr>
        <w:footnoteRef/>
      </w:r>
      <w:r>
        <w:t xml:space="preserve"> </w:t>
      </w:r>
      <w:proofErr w:type="spellStart"/>
      <w:r>
        <w:t>Virg.Aen</w:t>
      </w:r>
      <w:proofErr w:type="spellEnd"/>
      <w:r>
        <w:t>. 4.920-980</w:t>
      </w:r>
    </w:p>
  </w:footnote>
  <w:footnote w:id="14">
    <w:p w:rsidR="00BC44FE" w:rsidRDefault="00BC44FE">
      <w:pPr>
        <w:pStyle w:val="FootnoteText"/>
      </w:pPr>
      <w:r>
        <w:rPr>
          <w:rStyle w:val="FootnoteReference"/>
        </w:rPr>
        <w:footnoteRef/>
      </w:r>
      <w:r>
        <w:t xml:space="preserve"> Copley, F O. 1969. Pg. 214-215</w:t>
      </w:r>
    </w:p>
  </w:footnote>
  <w:footnote w:id="15">
    <w:p w:rsidR="007D337F" w:rsidRDefault="007D337F">
      <w:pPr>
        <w:pStyle w:val="FootnoteText"/>
      </w:pPr>
      <w:r>
        <w:rPr>
          <w:rStyle w:val="FootnoteReference"/>
        </w:rPr>
        <w:footnoteRef/>
      </w:r>
      <w:r>
        <w:t xml:space="preserve"> I believe that this ties in well with the </w:t>
      </w:r>
      <w:proofErr w:type="gramStart"/>
      <w:r>
        <w:t>time period</w:t>
      </w:r>
      <w:proofErr w:type="gramEnd"/>
      <w:r>
        <w:t xml:space="preserve"> in which the Aeneid was written, as the new Empire was still based on a shaky foundation and hence Augustus would have needed general support</w:t>
      </w:r>
      <w:r w:rsidR="0026756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4550C6"/>
    <w:multiLevelType w:val="hybridMultilevel"/>
    <w:tmpl w:val="9FB8D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20B"/>
    <w:rsid w:val="00107763"/>
    <w:rsid w:val="00136858"/>
    <w:rsid w:val="001E3063"/>
    <w:rsid w:val="002658CF"/>
    <w:rsid w:val="00267560"/>
    <w:rsid w:val="002817EE"/>
    <w:rsid w:val="002C12FF"/>
    <w:rsid w:val="0032082B"/>
    <w:rsid w:val="00335E32"/>
    <w:rsid w:val="0040067C"/>
    <w:rsid w:val="00414195"/>
    <w:rsid w:val="00461BC4"/>
    <w:rsid w:val="004A3E77"/>
    <w:rsid w:val="005324CF"/>
    <w:rsid w:val="00555DE4"/>
    <w:rsid w:val="005715A5"/>
    <w:rsid w:val="005B154F"/>
    <w:rsid w:val="0062080D"/>
    <w:rsid w:val="0065620B"/>
    <w:rsid w:val="006E1222"/>
    <w:rsid w:val="007009E5"/>
    <w:rsid w:val="00765C6B"/>
    <w:rsid w:val="00770F4E"/>
    <w:rsid w:val="00772196"/>
    <w:rsid w:val="007857AE"/>
    <w:rsid w:val="0078766C"/>
    <w:rsid w:val="00790EED"/>
    <w:rsid w:val="007C2B9D"/>
    <w:rsid w:val="007C4AF2"/>
    <w:rsid w:val="007D337F"/>
    <w:rsid w:val="007F0330"/>
    <w:rsid w:val="00804FD9"/>
    <w:rsid w:val="00842AFE"/>
    <w:rsid w:val="00887D8D"/>
    <w:rsid w:val="008C0414"/>
    <w:rsid w:val="00901C9F"/>
    <w:rsid w:val="00950C68"/>
    <w:rsid w:val="009747FD"/>
    <w:rsid w:val="0099430B"/>
    <w:rsid w:val="00A042C6"/>
    <w:rsid w:val="00A61FF7"/>
    <w:rsid w:val="00B06928"/>
    <w:rsid w:val="00B2774E"/>
    <w:rsid w:val="00B72DAB"/>
    <w:rsid w:val="00BC44FE"/>
    <w:rsid w:val="00BE415C"/>
    <w:rsid w:val="00C66892"/>
    <w:rsid w:val="00CB76EF"/>
    <w:rsid w:val="00DC1DD2"/>
    <w:rsid w:val="00DD22B6"/>
    <w:rsid w:val="00DE28E7"/>
    <w:rsid w:val="00DF137F"/>
    <w:rsid w:val="00DF1DBA"/>
    <w:rsid w:val="00DF5568"/>
    <w:rsid w:val="00EA5838"/>
    <w:rsid w:val="00EB2EC7"/>
    <w:rsid w:val="00ED1F1B"/>
    <w:rsid w:val="00ED42E4"/>
    <w:rsid w:val="00F164D7"/>
    <w:rsid w:val="00F27DB5"/>
    <w:rsid w:val="00F71DB8"/>
    <w:rsid w:val="00F92D5B"/>
    <w:rsid w:val="00FC3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FF341"/>
  <w15:chartTrackingRefBased/>
  <w15:docId w15:val="{3A4276DD-B968-41CE-858B-D65DF383D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20B"/>
    <w:pPr>
      <w:ind w:left="720"/>
      <w:contextualSpacing/>
    </w:pPr>
  </w:style>
  <w:style w:type="character" w:styleId="Hyperlink">
    <w:name w:val="Hyperlink"/>
    <w:basedOn w:val="DefaultParagraphFont"/>
    <w:uiPriority w:val="99"/>
    <w:unhideWhenUsed/>
    <w:rsid w:val="0062080D"/>
    <w:rPr>
      <w:color w:val="0000FF"/>
      <w:u w:val="single"/>
    </w:rPr>
  </w:style>
  <w:style w:type="paragraph" w:styleId="FootnoteText">
    <w:name w:val="footnote text"/>
    <w:basedOn w:val="Normal"/>
    <w:link w:val="FootnoteTextChar"/>
    <w:uiPriority w:val="99"/>
    <w:semiHidden/>
    <w:unhideWhenUsed/>
    <w:rsid w:val="007C2B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2B9D"/>
    <w:rPr>
      <w:sz w:val="20"/>
      <w:szCs w:val="20"/>
    </w:rPr>
  </w:style>
  <w:style w:type="character" w:styleId="FootnoteReference">
    <w:name w:val="footnote reference"/>
    <w:basedOn w:val="DefaultParagraphFont"/>
    <w:uiPriority w:val="99"/>
    <w:semiHidden/>
    <w:unhideWhenUsed/>
    <w:rsid w:val="007C2B9D"/>
    <w:rPr>
      <w:vertAlign w:val="superscript"/>
    </w:rPr>
  </w:style>
  <w:style w:type="character" w:styleId="UnresolvedMention">
    <w:name w:val="Unresolved Mention"/>
    <w:basedOn w:val="DefaultParagraphFont"/>
    <w:uiPriority w:val="99"/>
    <w:semiHidden/>
    <w:unhideWhenUsed/>
    <w:rsid w:val="0026756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139236">
      <w:bodyDiv w:val="1"/>
      <w:marLeft w:val="0"/>
      <w:marRight w:val="0"/>
      <w:marTop w:val="0"/>
      <w:marBottom w:val="0"/>
      <w:divBdr>
        <w:top w:val="none" w:sz="0" w:space="0" w:color="auto"/>
        <w:left w:val="none" w:sz="0" w:space="0" w:color="auto"/>
        <w:bottom w:val="none" w:sz="0" w:space="0" w:color="auto"/>
        <w:right w:val="none" w:sz="0" w:space="0" w:color="auto"/>
      </w:divBdr>
    </w:div>
    <w:div w:id="171241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talus.org/translate/justin2.html#18.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7BED9-16B7-4E55-9573-259EB8D00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931</Words>
  <Characters>5308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2</cp:revision>
  <dcterms:created xsi:type="dcterms:W3CDTF">2017-12-12T23:20:00Z</dcterms:created>
  <dcterms:modified xsi:type="dcterms:W3CDTF">2017-12-12T23:20:00Z</dcterms:modified>
</cp:coreProperties>
</file>