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sidP="00237762">
      <w:r>
        <w:rPr>
          <w:noProof/>
          <w:lang w:val="en-US" w:eastAsia="en-US"/>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rsidP="00237762">
      <w:pPr>
        <w:jc w:val="center"/>
      </w:pPr>
    </w:p>
    <w:p w14:paraId="2EF804A0" w14:textId="3C0EC714" w:rsidR="00ED5964" w:rsidRPr="001271E1" w:rsidRDefault="00ED5964" w:rsidP="00CC120D">
      <w:pPr>
        <w:rPr>
          <w:rFonts w:asciiTheme="minorBidi" w:hAnsiTheme="minorBidi"/>
          <w:b/>
          <w:bCs/>
          <w:sz w:val="28"/>
          <w:szCs w:val="28"/>
        </w:rPr>
      </w:pPr>
      <w:r>
        <w:rPr>
          <w:rFonts w:asciiTheme="minorBidi" w:hAnsiTheme="minorBidi"/>
          <w:sz w:val="28"/>
          <w:szCs w:val="28"/>
        </w:rPr>
        <w:t>Name:</w:t>
      </w:r>
      <w:r w:rsidR="00A805BC">
        <w:rPr>
          <w:rFonts w:asciiTheme="minorBidi" w:hAnsiTheme="minorBidi"/>
          <w:sz w:val="28"/>
          <w:szCs w:val="28"/>
        </w:rPr>
        <w:t xml:space="preserve"> </w:t>
      </w:r>
      <w:r w:rsidR="001271E1" w:rsidRPr="001271E1">
        <w:rPr>
          <w:rFonts w:asciiTheme="minorBidi" w:hAnsiTheme="minorBidi"/>
          <w:b/>
          <w:bCs/>
          <w:sz w:val="28"/>
          <w:szCs w:val="28"/>
        </w:rPr>
        <w:t>Francisca Norton Silva Muller</w:t>
      </w:r>
    </w:p>
    <w:p w14:paraId="485B6F49" w14:textId="0209AB62" w:rsidR="00ED5964" w:rsidRDefault="00ED5964" w:rsidP="00CC120D">
      <w:pPr>
        <w:rPr>
          <w:rFonts w:asciiTheme="minorBidi" w:hAnsiTheme="minorBidi"/>
          <w:sz w:val="28"/>
          <w:szCs w:val="28"/>
        </w:rPr>
      </w:pPr>
      <w:r>
        <w:rPr>
          <w:rFonts w:asciiTheme="minorBidi" w:hAnsiTheme="minorBidi"/>
          <w:sz w:val="28"/>
          <w:szCs w:val="28"/>
        </w:rPr>
        <w:t>Student ID:</w:t>
      </w:r>
      <w:r w:rsidR="00A805BC">
        <w:rPr>
          <w:rFonts w:asciiTheme="minorBidi" w:hAnsiTheme="minorBidi"/>
          <w:sz w:val="28"/>
          <w:szCs w:val="28"/>
        </w:rPr>
        <w:t xml:space="preserve"> </w:t>
      </w:r>
      <w:r w:rsidR="001271E1" w:rsidRPr="001271E1">
        <w:rPr>
          <w:rFonts w:asciiTheme="minorBidi" w:hAnsiTheme="minorBidi"/>
          <w:b/>
          <w:bCs/>
          <w:sz w:val="28"/>
          <w:szCs w:val="28"/>
        </w:rPr>
        <w:t>2542537</w:t>
      </w:r>
    </w:p>
    <w:p w14:paraId="3C1E7A20" w14:textId="3D76CB75" w:rsidR="00ED5964" w:rsidRPr="00A805BC" w:rsidRDefault="00ED5964" w:rsidP="00CC120D">
      <w:pPr>
        <w:rPr>
          <w:rFonts w:asciiTheme="minorBidi" w:hAnsiTheme="minorBidi"/>
          <w:sz w:val="28"/>
          <w:szCs w:val="28"/>
        </w:rPr>
      </w:pPr>
      <w:r>
        <w:rPr>
          <w:rFonts w:asciiTheme="minorBidi" w:hAnsiTheme="minorBidi"/>
          <w:sz w:val="28"/>
          <w:szCs w:val="28"/>
        </w:rPr>
        <w:t>Module Code:</w:t>
      </w:r>
      <w:r w:rsidR="00A805BC" w:rsidRPr="00A805BC">
        <w:t xml:space="preserve"> </w:t>
      </w:r>
      <w:r w:rsidR="00A805BC" w:rsidRPr="00A805BC">
        <w:rPr>
          <w:rFonts w:ascii="Arial" w:hAnsi="Arial" w:cs="Arial"/>
          <w:b/>
          <w:bCs/>
          <w:sz w:val="28"/>
          <w:szCs w:val="28"/>
        </w:rPr>
        <w:t>LCHS4001</w:t>
      </w:r>
    </w:p>
    <w:p w14:paraId="4EEB2DA3" w14:textId="63CB0B0D" w:rsidR="00ED5964" w:rsidRPr="00A805BC" w:rsidRDefault="00ED5964" w:rsidP="00CC120D">
      <w:pPr>
        <w:rPr>
          <w:rFonts w:asciiTheme="minorBidi" w:hAnsiTheme="minorBidi"/>
          <w:b/>
          <w:bCs/>
          <w:sz w:val="28"/>
          <w:szCs w:val="28"/>
        </w:rPr>
      </w:pPr>
      <w:r>
        <w:rPr>
          <w:rFonts w:asciiTheme="minorBidi" w:hAnsiTheme="minorBidi"/>
          <w:sz w:val="28"/>
          <w:szCs w:val="28"/>
        </w:rPr>
        <w:t>Module:</w:t>
      </w:r>
      <w:r w:rsidR="00A805BC">
        <w:rPr>
          <w:rFonts w:asciiTheme="minorBidi" w:hAnsiTheme="minorBidi"/>
          <w:sz w:val="28"/>
          <w:szCs w:val="28"/>
        </w:rPr>
        <w:t xml:space="preserve"> </w:t>
      </w:r>
      <w:r w:rsidR="00A805BC" w:rsidRPr="00A805BC">
        <w:rPr>
          <w:rFonts w:asciiTheme="minorBidi" w:hAnsiTheme="minorBidi"/>
          <w:b/>
          <w:bCs/>
          <w:sz w:val="28"/>
          <w:szCs w:val="28"/>
        </w:rPr>
        <w:t>Academic and Employability skills</w:t>
      </w:r>
    </w:p>
    <w:p w14:paraId="112342CB" w14:textId="29A1AB92" w:rsidR="00ED5964" w:rsidRDefault="00ED5964" w:rsidP="00CC120D">
      <w:pPr>
        <w:rPr>
          <w:rFonts w:asciiTheme="minorBidi" w:hAnsiTheme="minorBidi"/>
          <w:sz w:val="28"/>
          <w:szCs w:val="28"/>
        </w:rPr>
      </w:pPr>
      <w:r>
        <w:rPr>
          <w:rFonts w:asciiTheme="minorBidi" w:hAnsiTheme="minorBidi"/>
          <w:sz w:val="28"/>
          <w:szCs w:val="28"/>
        </w:rPr>
        <w:t>Lecturer:</w:t>
      </w:r>
      <w:r w:rsidR="00A805BC">
        <w:rPr>
          <w:rFonts w:asciiTheme="minorBidi" w:hAnsiTheme="minorBidi"/>
          <w:sz w:val="28"/>
          <w:szCs w:val="28"/>
        </w:rPr>
        <w:t xml:space="preserve"> </w:t>
      </w:r>
      <w:r w:rsidR="00A805BC" w:rsidRPr="00A805BC">
        <w:rPr>
          <w:rFonts w:asciiTheme="minorBidi" w:hAnsiTheme="minorBidi"/>
          <w:b/>
          <w:bCs/>
          <w:sz w:val="28"/>
          <w:szCs w:val="28"/>
        </w:rPr>
        <w:t>Oluwadamilola Tayo</w:t>
      </w:r>
    </w:p>
    <w:p w14:paraId="4180CDBC" w14:textId="489FF9E5" w:rsidR="00237762" w:rsidRPr="006A088C" w:rsidRDefault="00ED5964" w:rsidP="00CC120D">
      <w:pPr>
        <w:rPr>
          <w:rFonts w:asciiTheme="minorBidi" w:hAnsiTheme="minorBidi"/>
          <w:b/>
          <w:bCs/>
          <w:sz w:val="28"/>
          <w:szCs w:val="28"/>
        </w:rPr>
      </w:pPr>
      <w:r>
        <w:rPr>
          <w:rFonts w:asciiTheme="minorBidi" w:hAnsiTheme="minorBidi"/>
          <w:sz w:val="28"/>
          <w:szCs w:val="28"/>
        </w:rPr>
        <w:t>Submitted on:</w:t>
      </w:r>
      <w:r w:rsidR="006A088C">
        <w:rPr>
          <w:rFonts w:asciiTheme="minorBidi" w:hAnsiTheme="minorBidi"/>
          <w:sz w:val="28"/>
          <w:szCs w:val="28"/>
        </w:rPr>
        <w:t xml:space="preserve"> </w:t>
      </w:r>
      <w:r w:rsidR="006A088C" w:rsidRPr="006A088C">
        <w:rPr>
          <w:rFonts w:asciiTheme="minorBidi" w:hAnsiTheme="minorBidi"/>
          <w:b/>
          <w:bCs/>
          <w:sz w:val="28"/>
          <w:szCs w:val="28"/>
        </w:rPr>
        <w:t>21/08/2026</w:t>
      </w:r>
    </w:p>
    <w:p w14:paraId="3CB5FF7B" w14:textId="13EB72CC" w:rsidR="00ED5964" w:rsidRPr="00242974" w:rsidRDefault="00237762" w:rsidP="00237762">
      <w:pPr>
        <w:rPr>
          <w:rFonts w:asciiTheme="minorBidi" w:hAnsiTheme="minorBidi"/>
          <w:sz w:val="28"/>
          <w:szCs w:val="28"/>
        </w:rPr>
      </w:pPr>
      <w:r>
        <w:rPr>
          <w:rFonts w:asciiTheme="minorBidi" w:hAnsiTheme="minorBidi"/>
          <w:sz w:val="28"/>
          <w:szCs w:val="28"/>
        </w:rPr>
        <w:br w:type="page"/>
      </w:r>
    </w:p>
    <w:sdt>
      <w:sdtPr>
        <w:rPr>
          <w:rFonts w:ascii="Arial" w:eastAsiaTheme="minorEastAsia" w:hAnsi="Arial" w:cs="Arial"/>
          <w:b/>
          <w:color w:val="auto"/>
          <w:kern w:val="2"/>
          <w:sz w:val="24"/>
          <w:szCs w:val="24"/>
          <w:lang w:val="en-GB" w:eastAsia="zh-CN"/>
          <w14:ligatures w14:val="standardContextual"/>
        </w:rPr>
        <w:id w:val="2083777713"/>
        <w:docPartObj>
          <w:docPartGallery w:val="Table of Contents"/>
          <w:docPartUnique/>
        </w:docPartObj>
      </w:sdtPr>
      <w:sdtContent>
        <w:p w14:paraId="69A45AB4" w14:textId="1BC22B3F" w:rsidR="00184A9A" w:rsidRPr="00F94629" w:rsidRDefault="00184A9A" w:rsidP="00F94629">
          <w:pPr>
            <w:pStyle w:val="TOCHeading"/>
            <w:spacing w:line="360" w:lineRule="auto"/>
            <w:jc w:val="center"/>
            <w:rPr>
              <w:rFonts w:ascii="Arial" w:hAnsi="Arial" w:cs="Arial"/>
              <w:b/>
              <w:bCs w:val="0"/>
              <w:color w:val="000000" w:themeColor="text1"/>
              <w:sz w:val="24"/>
              <w:szCs w:val="24"/>
            </w:rPr>
          </w:pPr>
          <w:r w:rsidRPr="00F94629">
            <w:rPr>
              <w:rFonts w:ascii="Arial" w:hAnsi="Arial" w:cs="Arial"/>
              <w:b/>
              <w:bCs w:val="0"/>
              <w:color w:val="000000" w:themeColor="text1"/>
              <w:sz w:val="24"/>
              <w:szCs w:val="24"/>
            </w:rPr>
            <w:t>Table of Contents</w:t>
          </w:r>
        </w:p>
        <w:p w14:paraId="33D97B1E" w14:textId="545F2CBF" w:rsidR="00F94629" w:rsidRPr="00F94629" w:rsidRDefault="0156E134" w:rsidP="00F94629">
          <w:pPr>
            <w:pStyle w:val="TOC2"/>
            <w:tabs>
              <w:tab w:val="right" w:leader="dot" w:pos="9016"/>
            </w:tabs>
            <w:spacing w:line="360" w:lineRule="auto"/>
            <w:rPr>
              <w:rFonts w:ascii="Arial" w:hAnsi="Arial" w:cs="Arial"/>
              <w:b w:val="0"/>
              <w:bCs w:val="0"/>
              <w:noProof/>
              <w:sz w:val="24"/>
              <w:szCs w:val="24"/>
              <w:lang w:val="en-US" w:eastAsia="en-US"/>
            </w:rPr>
          </w:pPr>
          <w:r w:rsidRPr="00F94629">
            <w:rPr>
              <w:rFonts w:ascii="Arial" w:hAnsi="Arial" w:cs="Arial"/>
              <w:sz w:val="24"/>
              <w:szCs w:val="24"/>
            </w:rPr>
            <w:fldChar w:fldCharType="begin"/>
          </w:r>
          <w:r w:rsidR="00184A9A" w:rsidRPr="00F94629">
            <w:rPr>
              <w:rFonts w:ascii="Arial" w:hAnsi="Arial" w:cs="Arial"/>
              <w:sz w:val="24"/>
              <w:szCs w:val="24"/>
            </w:rPr>
            <w:instrText>TOC \o "1-3" \z \u \h</w:instrText>
          </w:r>
          <w:r w:rsidRPr="00F94629">
            <w:rPr>
              <w:rFonts w:ascii="Arial" w:hAnsi="Arial" w:cs="Arial"/>
              <w:sz w:val="24"/>
              <w:szCs w:val="24"/>
            </w:rPr>
            <w:fldChar w:fldCharType="separate"/>
          </w:r>
          <w:hyperlink w:anchor="_Toc238167261" w:history="1">
            <w:r w:rsidR="00F94629" w:rsidRPr="00F94629">
              <w:rPr>
                <w:rStyle w:val="Hyperlink"/>
                <w:rFonts w:ascii="Arial" w:hAnsi="Arial" w:cs="Arial"/>
                <w:noProof/>
                <w:sz w:val="24"/>
                <w:szCs w:val="24"/>
              </w:rPr>
              <w:t>1.1 Introduction</w:t>
            </w:r>
            <w:r w:rsidR="00F94629" w:rsidRPr="00F94629">
              <w:rPr>
                <w:rFonts w:ascii="Arial" w:hAnsi="Arial" w:cs="Arial"/>
                <w:noProof/>
                <w:webHidden/>
                <w:sz w:val="24"/>
                <w:szCs w:val="24"/>
              </w:rPr>
              <w:tab/>
            </w:r>
            <w:r w:rsidR="00F94629" w:rsidRPr="00F94629">
              <w:rPr>
                <w:rFonts w:ascii="Arial" w:hAnsi="Arial" w:cs="Arial"/>
                <w:noProof/>
                <w:webHidden/>
                <w:sz w:val="24"/>
                <w:szCs w:val="24"/>
              </w:rPr>
              <w:fldChar w:fldCharType="begin"/>
            </w:r>
            <w:r w:rsidR="00F94629" w:rsidRPr="00F94629">
              <w:rPr>
                <w:rFonts w:ascii="Arial" w:hAnsi="Arial" w:cs="Arial"/>
                <w:noProof/>
                <w:webHidden/>
                <w:sz w:val="24"/>
                <w:szCs w:val="24"/>
              </w:rPr>
              <w:instrText xml:space="preserve"> PAGEREF _Toc238167261 \h </w:instrText>
            </w:r>
            <w:r w:rsidR="00F94629" w:rsidRPr="00F94629">
              <w:rPr>
                <w:rFonts w:ascii="Arial" w:hAnsi="Arial" w:cs="Arial"/>
                <w:noProof/>
                <w:webHidden/>
                <w:sz w:val="24"/>
                <w:szCs w:val="24"/>
              </w:rPr>
            </w:r>
            <w:r w:rsidR="00F94629" w:rsidRPr="00F94629">
              <w:rPr>
                <w:rFonts w:ascii="Arial" w:hAnsi="Arial" w:cs="Arial"/>
                <w:noProof/>
                <w:webHidden/>
                <w:sz w:val="24"/>
                <w:szCs w:val="24"/>
              </w:rPr>
              <w:fldChar w:fldCharType="separate"/>
            </w:r>
            <w:r w:rsidR="00F94629" w:rsidRPr="00F94629">
              <w:rPr>
                <w:rFonts w:ascii="Arial" w:hAnsi="Arial" w:cs="Arial"/>
                <w:noProof/>
                <w:webHidden/>
                <w:sz w:val="24"/>
                <w:szCs w:val="24"/>
              </w:rPr>
              <w:t>3</w:t>
            </w:r>
            <w:r w:rsidR="00F94629" w:rsidRPr="00F94629">
              <w:rPr>
                <w:rFonts w:ascii="Arial" w:hAnsi="Arial" w:cs="Arial"/>
                <w:noProof/>
                <w:webHidden/>
                <w:sz w:val="24"/>
                <w:szCs w:val="24"/>
              </w:rPr>
              <w:fldChar w:fldCharType="end"/>
            </w:r>
          </w:hyperlink>
        </w:p>
        <w:p w14:paraId="3954F1C9" w14:textId="7AFB1994" w:rsidR="00F94629" w:rsidRPr="00F94629" w:rsidRDefault="00F94629" w:rsidP="00F94629">
          <w:pPr>
            <w:pStyle w:val="TOC2"/>
            <w:tabs>
              <w:tab w:val="right" w:leader="dot" w:pos="9016"/>
            </w:tabs>
            <w:spacing w:line="360" w:lineRule="auto"/>
            <w:rPr>
              <w:rFonts w:ascii="Arial" w:hAnsi="Arial" w:cs="Arial"/>
              <w:b w:val="0"/>
              <w:bCs w:val="0"/>
              <w:noProof/>
              <w:sz w:val="24"/>
              <w:szCs w:val="24"/>
              <w:lang w:val="en-US" w:eastAsia="en-US"/>
            </w:rPr>
          </w:pPr>
          <w:hyperlink w:anchor="_Toc238167262" w:history="1">
            <w:r w:rsidRPr="00F94629">
              <w:rPr>
                <w:rStyle w:val="Hyperlink"/>
                <w:rFonts w:ascii="Arial" w:hAnsi="Arial" w:cs="Arial"/>
                <w:noProof/>
                <w:sz w:val="24"/>
                <w:szCs w:val="24"/>
              </w:rPr>
              <w:t>2 Social Worker in the School to Control the Health and Nutrition of the Children in the Health and Social Care Field</w:t>
            </w:r>
            <w:r w:rsidRPr="00F94629">
              <w:rPr>
                <w:rFonts w:ascii="Arial" w:hAnsi="Arial" w:cs="Arial"/>
                <w:noProof/>
                <w:webHidden/>
                <w:sz w:val="24"/>
                <w:szCs w:val="24"/>
              </w:rPr>
              <w:tab/>
            </w:r>
            <w:r w:rsidRPr="00F94629">
              <w:rPr>
                <w:rFonts w:ascii="Arial" w:hAnsi="Arial" w:cs="Arial"/>
                <w:noProof/>
                <w:webHidden/>
                <w:sz w:val="24"/>
                <w:szCs w:val="24"/>
              </w:rPr>
              <w:fldChar w:fldCharType="begin"/>
            </w:r>
            <w:r w:rsidRPr="00F94629">
              <w:rPr>
                <w:rFonts w:ascii="Arial" w:hAnsi="Arial" w:cs="Arial"/>
                <w:noProof/>
                <w:webHidden/>
                <w:sz w:val="24"/>
                <w:szCs w:val="24"/>
              </w:rPr>
              <w:instrText xml:space="preserve"> PAGEREF _Toc238167262 \h </w:instrText>
            </w:r>
            <w:r w:rsidRPr="00F94629">
              <w:rPr>
                <w:rFonts w:ascii="Arial" w:hAnsi="Arial" w:cs="Arial"/>
                <w:noProof/>
                <w:webHidden/>
                <w:sz w:val="24"/>
                <w:szCs w:val="24"/>
              </w:rPr>
            </w:r>
            <w:r w:rsidRPr="00F94629">
              <w:rPr>
                <w:rFonts w:ascii="Arial" w:hAnsi="Arial" w:cs="Arial"/>
                <w:noProof/>
                <w:webHidden/>
                <w:sz w:val="24"/>
                <w:szCs w:val="24"/>
              </w:rPr>
              <w:fldChar w:fldCharType="separate"/>
            </w:r>
            <w:r w:rsidRPr="00F94629">
              <w:rPr>
                <w:rFonts w:ascii="Arial" w:hAnsi="Arial" w:cs="Arial"/>
                <w:noProof/>
                <w:webHidden/>
                <w:sz w:val="24"/>
                <w:szCs w:val="24"/>
              </w:rPr>
              <w:t>3</w:t>
            </w:r>
            <w:r w:rsidRPr="00F94629">
              <w:rPr>
                <w:rFonts w:ascii="Arial" w:hAnsi="Arial" w:cs="Arial"/>
                <w:noProof/>
                <w:webHidden/>
                <w:sz w:val="24"/>
                <w:szCs w:val="24"/>
              </w:rPr>
              <w:fldChar w:fldCharType="end"/>
            </w:r>
          </w:hyperlink>
        </w:p>
        <w:p w14:paraId="0ACC753A" w14:textId="4714F7E9" w:rsidR="00F94629" w:rsidRPr="00F94629" w:rsidRDefault="00F94629" w:rsidP="00F94629">
          <w:pPr>
            <w:pStyle w:val="TOC2"/>
            <w:tabs>
              <w:tab w:val="right" w:leader="dot" w:pos="9016"/>
            </w:tabs>
            <w:spacing w:line="360" w:lineRule="auto"/>
            <w:rPr>
              <w:rFonts w:ascii="Arial" w:hAnsi="Arial" w:cs="Arial"/>
              <w:b w:val="0"/>
              <w:bCs w:val="0"/>
              <w:noProof/>
              <w:sz w:val="24"/>
              <w:szCs w:val="24"/>
              <w:lang w:val="en-US" w:eastAsia="en-US"/>
            </w:rPr>
          </w:pPr>
          <w:hyperlink w:anchor="_Toc238167263" w:history="1">
            <w:r w:rsidRPr="00F94629">
              <w:rPr>
                <w:rStyle w:val="Hyperlink"/>
                <w:rFonts w:ascii="Arial" w:hAnsi="Arial" w:cs="Arial"/>
                <w:noProof/>
                <w:sz w:val="24"/>
                <w:szCs w:val="24"/>
              </w:rPr>
              <w:t>2.1 Description of Social Worker in the School to Control the Health and Nutrition of the Children in Health and Social Care</w:t>
            </w:r>
            <w:r w:rsidRPr="00F94629">
              <w:rPr>
                <w:rFonts w:ascii="Arial" w:hAnsi="Arial" w:cs="Arial"/>
                <w:noProof/>
                <w:webHidden/>
                <w:sz w:val="24"/>
                <w:szCs w:val="24"/>
              </w:rPr>
              <w:tab/>
            </w:r>
            <w:r w:rsidRPr="00F94629">
              <w:rPr>
                <w:rFonts w:ascii="Arial" w:hAnsi="Arial" w:cs="Arial"/>
                <w:noProof/>
                <w:webHidden/>
                <w:sz w:val="24"/>
                <w:szCs w:val="24"/>
              </w:rPr>
              <w:fldChar w:fldCharType="begin"/>
            </w:r>
            <w:r w:rsidRPr="00F94629">
              <w:rPr>
                <w:rFonts w:ascii="Arial" w:hAnsi="Arial" w:cs="Arial"/>
                <w:noProof/>
                <w:webHidden/>
                <w:sz w:val="24"/>
                <w:szCs w:val="24"/>
              </w:rPr>
              <w:instrText xml:space="preserve"> PAGEREF _Toc238167263 \h </w:instrText>
            </w:r>
            <w:r w:rsidRPr="00F94629">
              <w:rPr>
                <w:rFonts w:ascii="Arial" w:hAnsi="Arial" w:cs="Arial"/>
                <w:noProof/>
                <w:webHidden/>
                <w:sz w:val="24"/>
                <w:szCs w:val="24"/>
              </w:rPr>
            </w:r>
            <w:r w:rsidRPr="00F94629">
              <w:rPr>
                <w:rFonts w:ascii="Arial" w:hAnsi="Arial" w:cs="Arial"/>
                <w:noProof/>
                <w:webHidden/>
                <w:sz w:val="24"/>
                <w:szCs w:val="24"/>
              </w:rPr>
              <w:fldChar w:fldCharType="separate"/>
            </w:r>
            <w:r w:rsidRPr="00F94629">
              <w:rPr>
                <w:rFonts w:ascii="Arial" w:hAnsi="Arial" w:cs="Arial"/>
                <w:noProof/>
                <w:webHidden/>
                <w:sz w:val="24"/>
                <w:szCs w:val="24"/>
              </w:rPr>
              <w:t>3</w:t>
            </w:r>
            <w:r w:rsidRPr="00F94629">
              <w:rPr>
                <w:rFonts w:ascii="Arial" w:hAnsi="Arial" w:cs="Arial"/>
                <w:noProof/>
                <w:webHidden/>
                <w:sz w:val="24"/>
                <w:szCs w:val="24"/>
              </w:rPr>
              <w:fldChar w:fldCharType="end"/>
            </w:r>
          </w:hyperlink>
        </w:p>
        <w:p w14:paraId="60B9F74D" w14:textId="24BEB118" w:rsidR="00F94629" w:rsidRPr="00F94629" w:rsidRDefault="00F94629" w:rsidP="00F94629">
          <w:pPr>
            <w:pStyle w:val="TOC2"/>
            <w:tabs>
              <w:tab w:val="right" w:leader="dot" w:pos="9016"/>
            </w:tabs>
            <w:spacing w:line="360" w:lineRule="auto"/>
            <w:rPr>
              <w:rFonts w:ascii="Arial" w:hAnsi="Arial" w:cs="Arial"/>
              <w:b w:val="0"/>
              <w:bCs w:val="0"/>
              <w:noProof/>
              <w:sz w:val="24"/>
              <w:szCs w:val="24"/>
              <w:lang w:val="en-US" w:eastAsia="en-US"/>
            </w:rPr>
          </w:pPr>
          <w:hyperlink w:anchor="_Toc238167264" w:history="1">
            <w:r w:rsidRPr="00F94629">
              <w:rPr>
                <w:rStyle w:val="Hyperlink"/>
                <w:rFonts w:ascii="Arial" w:hAnsi="Arial" w:cs="Arial"/>
                <w:noProof/>
                <w:sz w:val="24"/>
                <w:szCs w:val="24"/>
              </w:rPr>
              <w:t>2.2 Explanation of Most Significant Skills Needed for Social Worker in the School to Control the Health and Nutrition of the Children in Health and Social Care</w:t>
            </w:r>
            <w:r w:rsidRPr="00F94629">
              <w:rPr>
                <w:rFonts w:ascii="Arial" w:hAnsi="Arial" w:cs="Arial"/>
                <w:noProof/>
                <w:webHidden/>
                <w:sz w:val="24"/>
                <w:szCs w:val="24"/>
              </w:rPr>
              <w:tab/>
            </w:r>
            <w:r w:rsidRPr="00F94629">
              <w:rPr>
                <w:rFonts w:ascii="Arial" w:hAnsi="Arial" w:cs="Arial"/>
                <w:noProof/>
                <w:webHidden/>
                <w:sz w:val="24"/>
                <w:szCs w:val="24"/>
              </w:rPr>
              <w:fldChar w:fldCharType="begin"/>
            </w:r>
            <w:r w:rsidRPr="00F94629">
              <w:rPr>
                <w:rFonts w:ascii="Arial" w:hAnsi="Arial" w:cs="Arial"/>
                <w:noProof/>
                <w:webHidden/>
                <w:sz w:val="24"/>
                <w:szCs w:val="24"/>
              </w:rPr>
              <w:instrText xml:space="preserve"> PAGEREF _Toc238167264 \h </w:instrText>
            </w:r>
            <w:r w:rsidRPr="00F94629">
              <w:rPr>
                <w:rFonts w:ascii="Arial" w:hAnsi="Arial" w:cs="Arial"/>
                <w:noProof/>
                <w:webHidden/>
                <w:sz w:val="24"/>
                <w:szCs w:val="24"/>
              </w:rPr>
            </w:r>
            <w:r w:rsidRPr="00F94629">
              <w:rPr>
                <w:rFonts w:ascii="Arial" w:hAnsi="Arial" w:cs="Arial"/>
                <w:noProof/>
                <w:webHidden/>
                <w:sz w:val="24"/>
                <w:szCs w:val="24"/>
              </w:rPr>
              <w:fldChar w:fldCharType="separate"/>
            </w:r>
            <w:r w:rsidRPr="00F94629">
              <w:rPr>
                <w:rFonts w:ascii="Arial" w:hAnsi="Arial" w:cs="Arial"/>
                <w:noProof/>
                <w:webHidden/>
                <w:sz w:val="24"/>
                <w:szCs w:val="24"/>
              </w:rPr>
              <w:t>4</w:t>
            </w:r>
            <w:r w:rsidRPr="00F94629">
              <w:rPr>
                <w:rFonts w:ascii="Arial" w:hAnsi="Arial" w:cs="Arial"/>
                <w:noProof/>
                <w:webHidden/>
                <w:sz w:val="24"/>
                <w:szCs w:val="24"/>
              </w:rPr>
              <w:fldChar w:fldCharType="end"/>
            </w:r>
          </w:hyperlink>
        </w:p>
        <w:p w14:paraId="59513EE1" w14:textId="0D51BD78" w:rsidR="00F94629" w:rsidRPr="00F94629" w:rsidRDefault="00F94629" w:rsidP="00F94629">
          <w:pPr>
            <w:pStyle w:val="TOC2"/>
            <w:tabs>
              <w:tab w:val="right" w:leader="dot" w:pos="9016"/>
            </w:tabs>
            <w:spacing w:line="360" w:lineRule="auto"/>
            <w:rPr>
              <w:rFonts w:ascii="Arial" w:hAnsi="Arial" w:cs="Arial"/>
              <w:b w:val="0"/>
              <w:bCs w:val="0"/>
              <w:noProof/>
              <w:sz w:val="24"/>
              <w:szCs w:val="24"/>
              <w:lang w:val="en-US" w:eastAsia="en-US"/>
            </w:rPr>
          </w:pPr>
          <w:hyperlink w:anchor="_Toc238167265" w:history="1">
            <w:r w:rsidRPr="00F94629">
              <w:rPr>
                <w:rStyle w:val="Hyperlink"/>
                <w:rFonts w:ascii="Arial" w:hAnsi="Arial" w:cs="Arial"/>
                <w:noProof/>
                <w:sz w:val="24"/>
                <w:szCs w:val="24"/>
              </w:rPr>
              <w:t>3 Strategies for Skill Improvement for Social Worker in the School to Control the Health and Nutrition of the Children</w:t>
            </w:r>
            <w:r w:rsidRPr="00F94629">
              <w:rPr>
                <w:rFonts w:ascii="Arial" w:hAnsi="Arial" w:cs="Arial"/>
                <w:noProof/>
                <w:webHidden/>
                <w:sz w:val="24"/>
                <w:szCs w:val="24"/>
              </w:rPr>
              <w:tab/>
            </w:r>
            <w:r w:rsidRPr="00F94629">
              <w:rPr>
                <w:rFonts w:ascii="Arial" w:hAnsi="Arial" w:cs="Arial"/>
                <w:noProof/>
                <w:webHidden/>
                <w:sz w:val="24"/>
                <w:szCs w:val="24"/>
              </w:rPr>
              <w:fldChar w:fldCharType="begin"/>
            </w:r>
            <w:r w:rsidRPr="00F94629">
              <w:rPr>
                <w:rFonts w:ascii="Arial" w:hAnsi="Arial" w:cs="Arial"/>
                <w:noProof/>
                <w:webHidden/>
                <w:sz w:val="24"/>
                <w:szCs w:val="24"/>
              </w:rPr>
              <w:instrText xml:space="preserve"> PAGEREF _Toc238167265 \h </w:instrText>
            </w:r>
            <w:r w:rsidRPr="00F94629">
              <w:rPr>
                <w:rFonts w:ascii="Arial" w:hAnsi="Arial" w:cs="Arial"/>
                <w:noProof/>
                <w:webHidden/>
                <w:sz w:val="24"/>
                <w:szCs w:val="24"/>
              </w:rPr>
            </w:r>
            <w:r w:rsidRPr="00F94629">
              <w:rPr>
                <w:rFonts w:ascii="Arial" w:hAnsi="Arial" w:cs="Arial"/>
                <w:noProof/>
                <w:webHidden/>
                <w:sz w:val="24"/>
                <w:szCs w:val="24"/>
              </w:rPr>
              <w:fldChar w:fldCharType="separate"/>
            </w:r>
            <w:r w:rsidRPr="00F94629">
              <w:rPr>
                <w:rFonts w:ascii="Arial" w:hAnsi="Arial" w:cs="Arial"/>
                <w:noProof/>
                <w:webHidden/>
                <w:sz w:val="24"/>
                <w:szCs w:val="24"/>
              </w:rPr>
              <w:t>5</w:t>
            </w:r>
            <w:r w:rsidRPr="00F94629">
              <w:rPr>
                <w:rFonts w:ascii="Arial" w:hAnsi="Arial" w:cs="Arial"/>
                <w:noProof/>
                <w:webHidden/>
                <w:sz w:val="24"/>
                <w:szCs w:val="24"/>
              </w:rPr>
              <w:fldChar w:fldCharType="end"/>
            </w:r>
          </w:hyperlink>
        </w:p>
        <w:p w14:paraId="1CE62BE3" w14:textId="531F2522" w:rsidR="00F94629" w:rsidRPr="00F94629" w:rsidRDefault="00F94629" w:rsidP="00F94629">
          <w:pPr>
            <w:pStyle w:val="TOC2"/>
            <w:tabs>
              <w:tab w:val="right" w:leader="dot" w:pos="9016"/>
            </w:tabs>
            <w:spacing w:line="360" w:lineRule="auto"/>
            <w:rPr>
              <w:rFonts w:ascii="Arial" w:hAnsi="Arial" w:cs="Arial"/>
              <w:b w:val="0"/>
              <w:bCs w:val="0"/>
              <w:noProof/>
              <w:sz w:val="24"/>
              <w:szCs w:val="24"/>
              <w:lang w:val="en-US" w:eastAsia="en-US"/>
            </w:rPr>
          </w:pPr>
          <w:hyperlink w:anchor="_Toc238167266" w:history="1">
            <w:r w:rsidRPr="00F94629">
              <w:rPr>
                <w:rStyle w:val="Hyperlink"/>
                <w:rFonts w:ascii="Arial" w:hAnsi="Arial" w:cs="Arial"/>
                <w:noProof/>
                <w:sz w:val="24"/>
                <w:szCs w:val="24"/>
              </w:rPr>
              <w:t>3.1 Three Strategies to Improve the Skills for Social Worker in the School to Control the Health and Nutrition of the Children</w:t>
            </w:r>
            <w:r w:rsidRPr="00F94629">
              <w:rPr>
                <w:rFonts w:ascii="Arial" w:hAnsi="Arial" w:cs="Arial"/>
                <w:noProof/>
                <w:webHidden/>
                <w:sz w:val="24"/>
                <w:szCs w:val="24"/>
              </w:rPr>
              <w:tab/>
            </w:r>
            <w:r w:rsidRPr="00F94629">
              <w:rPr>
                <w:rFonts w:ascii="Arial" w:hAnsi="Arial" w:cs="Arial"/>
                <w:noProof/>
                <w:webHidden/>
                <w:sz w:val="24"/>
                <w:szCs w:val="24"/>
              </w:rPr>
              <w:fldChar w:fldCharType="begin"/>
            </w:r>
            <w:r w:rsidRPr="00F94629">
              <w:rPr>
                <w:rFonts w:ascii="Arial" w:hAnsi="Arial" w:cs="Arial"/>
                <w:noProof/>
                <w:webHidden/>
                <w:sz w:val="24"/>
                <w:szCs w:val="24"/>
              </w:rPr>
              <w:instrText xml:space="preserve"> PAGEREF _Toc238167266 \h </w:instrText>
            </w:r>
            <w:r w:rsidRPr="00F94629">
              <w:rPr>
                <w:rFonts w:ascii="Arial" w:hAnsi="Arial" w:cs="Arial"/>
                <w:noProof/>
                <w:webHidden/>
                <w:sz w:val="24"/>
                <w:szCs w:val="24"/>
              </w:rPr>
            </w:r>
            <w:r w:rsidRPr="00F94629">
              <w:rPr>
                <w:rFonts w:ascii="Arial" w:hAnsi="Arial" w:cs="Arial"/>
                <w:noProof/>
                <w:webHidden/>
                <w:sz w:val="24"/>
                <w:szCs w:val="24"/>
              </w:rPr>
              <w:fldChar w:fldCharType="separate"/>
            </w:r>
            <w:r w:rsidRPr="00F94629">
              <w:rPr>
                <w:rFonts w:ascii="Arial" w:hAnsi="Arial" w:cs="Arial"/>
                <w:noProof/>
                <w:webHidden/>
                <w:sz w:val="24"/>
                <w:szCs w:val="24"/>
              </w:rPr>
              <w:t>5</w:t>
            </w:r>
            <w:r w:rsidRPr="00F94629">
              <w:rPr>
                <w:rFonts w:ascii="Arial" w:hAnsi="Arial" w:cs="Arial"/>
                <w:noProof/>
                <w:webHidden/>
                <w:sz w:val="24"/>
                <w:szCs w:val="24"/>
              </w:rPr>
              <w:fldChar w:fldCharType="end"/>
            </w:r>
          </w:hyperlink>
        </w:p>
        <w:p w14:paraId="452E5764" w14:textId="799765F5" w:rsidR="00F94629" w:rsidRPr="00F94629" w:rsidRDefault="00F94629" w:rsidP="00F94629">
          <w:pPr>
            <w:pStyle w:val="TOC2"/>
            <w:tabs>
              <w:tab w:val="right" w:leader="dot" w:pos="9016"/>
            </w:tabs>
            <w:spacing w:line="360" w:lineRule="auto"/>
            <w:rPr>
              <w:rFonts w:ascii="Arial" w:hAnsi="Arial" w:cs="Arial"/>
              <w:b w:val="0"/>
              <w:bCs w:val="0"/>
              <w:noProof/>
              <w:sz w:val="24"/>
              <w:szCs w:val="24"/>
              <w:lang w:val="en-US" w:eastAsia="en-US"/>
            </w:rPr>
          </w:pPr>
          <w:hyperlink w:anchor="_Toc238167267" w:history="1">
            <w:r w:rsidRPr="00F94629">
              <w:rPr>
                <w:rStyle w:val="Hyperlink"/>
                <w:rFonts w:ascii="Arial" w:hAnsi="Arial" w:cs="Arial"/>
                <w:noProof/>
                <w:sz w:val="24"/>
                <w:szCs w:val="24"/>
              </w:rPr>
              <w:t>4 Conclusion</w:t>
            </w:r>
            <w:r w:rsidRPr="00F94629">
              <w:rPr>
                <w:rFonts w:ascii="Arial" w:hAnsi="Arial" w:cs="Arial"/>
                <w:noProof/>
                <w:webHidden/>
                <w:sz w:val="24"/>
                <w:szCs w:val="24"/>
              </w:rPr>
              <w:tab/>
            </w:r>
            <w:r w:rsidRPr="00F94629">
              <w:rPr>
                <w:rFonts w:ascii="Arial" w:hAnsi="Arial" w:cs="Arial"/>
                <w:noProof/>
                <w:webHidden/>
                <w:sz w:val="24"/>
                <w:szCs w:val="24"/>
              </w:rPr>
              <w:fldChar w:fldCharType="begin"/>
            </w:r>
            <w:r w:rsidRPr="00F94629">
              <w:rPr>
                <w:rFonts w:ascii="Arial" w:hAnsi="Arial" w:cs="Arial"/>
                <w:noProof/>
                <w:webHidden/>
                <w:sz w:val="24"/>
                <w:szCs w:val="24"/>
              </w:rPr>
              <w:instrText xml:space="preserve"> PAGEREF _Toc238167267 \h </w:instrText>
            </w:r>
            <w:r w:rsidRPr="00F94629">
              <w:rPr>
                <w:rFonts w:ascii="Arial" w:hAnsi="Arial" w:cs="Arial"/>
                <w:noProof/>
                <w:webHidden/>
                <w:sz w:val="24"/>
                <w:szCs w:val="24"/>
              </w:rPr>
            </w:r>
            <w:r w:rsidRPr="00F94629">
              <w:rPr>
                <w:rFonts w:ascii="Arial" w:hAnsi="Arial" w:cs="Arial"/>
                <w:noProof/>
                <w:webHidden/>
                <w:sz w:val="24"/>
                <w:szCs w:val="24"/>
              </w:rPr>
              <w:fldChar w:fldCharType="separate"/>
            </w:r>
            <w:r w:rsidRPr="00F94629">
              <w:rPr>
                <w:rFonts w:ascii="Arial" w:hAnsi="Arial" w:cs="Arial"/>
                <w:noProof/>
                <w:webHidden/>
                <w:sz w:val="24"/>
                <w:szCs w:val="24"/>
              </w:rPr>
              <w:t>6</w:t>
            </w:r>
            <w:r w:rsidRPr="00F94629">
              <w:rPr>
                <w:rFonts w:ascii="Arial" w:hAnsi="Arial" w:cs="Arial"/>
                <w:noProof/>
                <w:webHidden/>
                <w:sz w:val="24"/>
                <w:szCs w:val="24"/>
              </w:rPr>
              <w:fldChar w:fldCharType="end"/>
            </w:r>
          </w:hyperlink>
        </w:p>
        <w:p w14:paraId="1DDB6C73" w14:textId="758F8D11" w:rsidR="00F94629" w:rsidRPr="00F94629" w:rsidRDefault="00F94629" w:rsidP="00F94629">
          <w:pPr>
            <w:pStyle w:val="TOC2"/>
            <w:tabs>
              <w:tab w:val="right" w:leader="dot" w:pos="9016"/>
            </w:tabs>
            <w:spacing w:line="360" w:lineRule="auto"/>
            <w:rPr>
              <w:rFonts w:ascii="Arial" w:hAnsi="Arial" w:cs="Arial"/>
              <w:b w:val="0"/>
              <w:bCs w:val="0"/>
              <w:noProof/>
              <w:sz w:val="24"/>
              <w:szCs w:val="24"/>
              <w:lang w:val="en-US" w:eastAsia="en-US"/>
            </w:rPr>
          </w:pPr>
          <w:hyperlink w:anchor="_Toc238167268" w:history="1">
            <w:r w:rsidRPr="00F94629">
              <w:rPr>
                <w:rStyle w:val="Hyperlink"/>
                <w:rFonts w:ascii="Arial" w:hAnsi="Arial" w:cs="Arial"/>
                <w:noProof/>
                <w:sz w:val="24"/>
                <w:szCs w:val="24"/>
              </w:rPr>
              <w:t>5 Reference List</w:t>
            </w:r>
            <w:r w:rsidRPr="00F94629">
              <w:rPr>
                <w:rFonts w:ascii="Arial" w:hAnsi="Arial" w:cs="Arial"/>
                <w:noProof/>
                <w:webHidden/>
                <w:sz w:val="24"/>
                <w:szCs w:val="24"/>
              </w:rPr>
              <w:tab/>
            </w:r>
            <w:r w:rsidRPr="00F94629">
              <w:rPr>
                <w:rFonts w:ascii="Arial" w:hAnsi="Arial" w:cs="Arial"/>
                <w:noProof/>
                <w:webHidden/>
                <w:sz w:val="24"/>
                <w:szCs w:val="24"/>
              </w:rPr>
              <w:fldChar w:fldCharType="begin"/>
            </w:r>
            <w:r w:rsidRPr="00F94629">
              <w:rPr>
                <w:rFonts w:ascii="Arial" w:hAnsi="Arial" w:cs="Arial"/>
                <w:noProof/>
                <w:webHidden/>
                <w:sz w:val="24"/>
                <w:szCs w:val="24"/>
              </w:rPr>
              <w:instrText xml:space="preserve"> PAGEREF _Toc238167268 \h </w:instrText>
            </w:r>
            <w:r w:rsidRPr="00F94629">
              <w:rPr>
                <w:rFonts w:ascii="Arial" w:hAnsi="Arial" w:cs="Arial"/>
                <w:noProof/>
                <w:webHidden/>
                <w:sz w:val="24"/>
                <w:szCs w:val="24"/>
              </w:rPr>
            </w:r>
            <w:r w:rsidRPr="00F94629">
              <w:rPr>
                <w:rFonts w:ascii="Arial" w:hAnsi="Arial" w:cs="Arial"/>
                <w:noProof/>
                <w:webHidden/>
                <w:sz w:val="24"/>
                <w:szCs w:val="24"/>
              </w:rPr>
              <w:fldChar w:fldCharType="separate"/>
            </w:r>
            <w:r w:rsidRPr="00F94629">
              <w:rPr>
                <w:rFonts w:ascii="Arial" w:hAnsi="Arial" w:cs="Arial"/>
                <w:noProof/>
                <w:webHidden/>
                <w:sz w:val="24"/>
                <w:szCs w:val="24"/>
              </w:rPr>
              <w:t>7</w:t>
            </w:r>
            <w:r w:rsidRPr="00F94629">
              <w:rPr>
                <w:rFonts w:ascii="Arial" w:hAnsi="Arial" w:cs="Arial"/>
                <w:noProof/>
                <w:webHidden/>
                <w:sz w:val="24"/>
                <w:szCs w:val="24"/>
              </w:rPr>
              <w:fldChar w:fldCharType="end"/>
            </w:r>
          </w:hyperlink>
        </w:p>
        <w:p w14:paraId="2F2A1EA8" w14:textId="05DC3872" w:rsidR="0156E134" w:rsidRPr="00F94629" w:rsidRDefault="0156E134" w:rsidP="00F94629">
          <w:pPr>
            <w:pStyle w:val="TOC2"/>
            <w:tabs>
              <w:tab w:val="right" w:leader="dot" w:pos="9015"/>
            </w:tabs>
            <w:spacing w:line="360" w:lineRule="auto"/>
            <w:rPr>
              <w:rStyle w:val="Hyperlink"/>
              <w:rFonts w:ascii="Arial" w:hAnsi="Arial" w:cs="Arial"/>
              <w:sz w:val="24"/>
              <w:szCs w:val="24"/>
            </w:rPr>
          </w:pPr>
          <w:r w:rsidRPr="00F94629">
            <w:rPr>
              <w:rFonts w:ascii="Arial" w:hAnsi="Arial" w:cs="Arial"/>
              <w:sz w:val="24"/>
              <w:szCs w:val="24"/>
            </w:rP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50F31860" w:rsidR="00A035CD" w:rsidRPr="00A805BC" w:rsidRDefault="00AA77C8" w:rsidP="00A805BC">
      <w:pPr>
        <w:pStyle w:val="Heading2"/>
        <w:spacing w:line="360" w:lineRule="auto"/>
        <w:rPr>
          <w:rFonts w:ascii="Arial" w:hAnsi="Arial" w:cs="Arial"/>
          <w:color w:val="4472C4" w:themeColor="accent1"/>
          <w:sz w:val="24"/>
          <w:szCs w:val="24"/>
        </w:rPr>
      </w:pPr>
      <w:bookmarkStart w:id="0" w:name="_Toc238167261"/>
      <w:r w:rsidRPr="00A805BC">
        <w:rPr>
          <w:rFonts w:ascii="Arial" w:hAnsi="Arial" w:cs="Arial"/>
          <w:color w:val="4471C4"/>
          <w:sz w:val="24"/>
          <w:szCs w:val="24"/>
        </w:rPr>
        <w:lastRenderedPageBreak/>
        <w:t>1</w:t>
      </w:r>
      <w:r w:rsidR="00500295" w:rsidRPr="00A805BC">
        <w:rPr>
          <w:rFonts w:ascii="Arial" w:hAnsi="Arial" w:cs="Arial"/>
          <w:color w:val="4471C4"/>
          <w:sz w:val="24"/>
          <w:szCs w:val="24"/>
        </w:rPr>
        <w:t xml:space="preserve">.1 </w:t>
      </w:r>
      <w:r w:rsidR="00A035CD" w:rsidRPr="00A805BC">
        <w:rPr>
          <w:rFonts w:ascii="Arial" w:hAnsi="Arial" w:cs="Arial"/>
          <w:color w:val="4471C4"/>
          <w:sz w:val="24"/>
          <w:szCs w:val="24"/>
        </w:rPr>
        <w:t>Introduction</w:t>
      </w:r>
      <w:bookmarkEnd w:id="0"/>
    </w:p>
    <w:p w14:paraId="4CC61BC1" w14:textId="57E80B57" w:rsidR="00F36ADC" w:rsidRPr="00A805BC" w:rsidRDefault="00032504" w:rsidP="00A805BC">
      <w:pPr>
        <w:spacing w:after="0" w:line="360" w:lineRule="auto"/>
        <w:jc w:val="both"/>
        <w:rPr>
          <w:rFonts w:ascii="Arial" w:hAnsi="Arial" w:cs="Arial"/>
          <w:sz w:val="24"/>
          <w:szCs w:val="24"/>
        </w:rPr>
      </w:pPr>
      <w:r w:rsidRPr="00032504">
        <w:rPr>
          <w:rFonts w:ascii="Arial" w:hAnsi="Arial" w:cs="Arial"/>
          <w:sz w:val="24"/>
          <w:szCs w:val="24"/>
        </w:rPr>
        <w:t>The importance of health and social care within schools lies in children's learning and their development can be impacted by the lack of health, nutrition and family needs (</w:t>
      </w:r>
      <w:proofErr w:type="spellStart"/>
      <w:r w:rsidRPr="00032504">
        <w:rPr>
          <w:rFonts w:ascii="Arial" w:hAnsi="Arial" w:cs="Arial"/>
          <w:sz w:val="24"/>
          <w:szCs w:val="24"/>
        </w:rPr>
        <w:t>Skouteris</w:t>
      </w:r>
      <w:proofErr w:type="spellEnd"/>
      <w:r w:rsidRPr="00032504">
        <w:rPr>
          <w:rFonts w:ascii="Arial" w:hAnsi="Arial" w:cs="Arial"/>
          <w:sz w:val="24"/>
          <w:szCs w:val="24"/>
        </w:rPr>
        <w:t xml:space="preserve"> et al., 2022). Children are not diagnosed with illness or placed on diets by a social worker in the school who is responsible for keeping children healthy and managing nutrition. Rather, the practitioner will review welfare issues, provide support to families, arrange referrals and liaise with education and health practitioners. This report outlines the role and responsibilities, explores three main skills (communication, observation and assessment, collaborative working), and outlines practical approaches for enhancing each of these skills in the school setting while working with families safely amidst complex, everyday school circumstances.</w:t>
      </w:r>
    </w:p>
    <w:p w14:paraId="3C079BEF" w14:textId="15251B71" w:rsidR="0156E134" w:rsidRPr="00A805BC" w:rsidRDefault="3C659699" w:rsidP="00A805BC">
      <w:pPr>
        <w:pStyle w:val="Heading2"/>
        <w:spacing w:line="360" w:lineRule="auto"/>
        <w:rPr>
          <w:rFonts w:ascii="Arial" w:hAnsi="Arial" w:cs="Arial"/>
          <w:color w:val="4472C4" w:themeColor="accent1"/>
          <w:sz w:val="24"/>
          <w:szCs w:val="24"/>
        </w:rPr>
      </w:pPr>
      <w:bookmarkStart w:id="1" w:name="_Toc238167262"/>
      <w:r w:rsidRPr="00A805BC">
        <w:rPr>
          <w:rFonts w:ascii="Arial" w:hAnsi="Arial" w:cs="Arial"/>
          <w:color w:val="4471C4"/>
          <w:sz w:val="24"/>
          <w:szCs w:val="24"/>
        </w:rPr>
        <w:t xml:space="preserve">2 </w:t>
      </w:r>
      <w:r w:rsidR="00237762" w:rsidRPr="00A805BC">
        <w:rPr>
          <w:rFonts w:ascii="Arial" w:hAnsi="Arial" w:cs="Arial"/>
          <w:color w:val="4471C4"/>
          <w:sz w:val="24"/>
          <w:szCs w:val="24"/>
        </w:rPr>
        <w:t>Social Worker in the School to Control the Health and Nutrition of the Children in the Health and Social Care Field</w:t>
      </w:r>
      <w:bookmarkEnd w:id="1"/>
    </w:p>
    <w:p w14:paraId="26E0D1A5" w14:textId="65923AB4" w:rsidR="0156E134" w:rsidRPr="00A805BC" w:rsidRDefault="5CF7C3DB" w:rsidP="00A805BC">
      <w:pPr>
        <w:pStyle w:val="Heading2"/>
        <w:spacing w:after="240" w:line="360" w:lineRule="auto"/>
        <w:rPr>
          <w:rFonts w:ascii="Arial" w:hAnsi="Arial" w:cs="Arial"/>
          <w:color w:val="4472C4" w:themeColor="accent1"/>
          <w:sz w:val="24"/>
          <w:szCs w:val="24"/>
        </w:rPr>
      </w:pPr>
      <w:bookmarkStart w:id="2" w:name="_Toc238167263"/>
      <w:r w:rsidRPr="00A805BC">
        <w:rPr>
          <w:rFonts w:ascii="Arial" w:hAnsi="Arial" w:cs="Arial"/>
          <w:color w:val="4471C4"/>
          <w:sz w:val="24"/>
          <w:szCs w:val="24"/>
        </w:rPr>
        <w:t>2.1</w:t>
      </w:r>
      <w:r w:rsidR="002370CE" w:rsidRPr="00A805BC">
        <w:rPr>
          <w:rFonts w:ascii="Arial" w:hAnsi="Arial" w:cs="Arial"/>
          <w:color w:val="4471C4"/>
          <w:sz w:val="24"/>
          <w:szCs w:val="24"/>
        </w:rPr>
        <w:t xml:space="preserve"> </w:t>
      </w:r>
      <w:r w:rsidR="00237762" w:rsidRPr="00A805BC">
        <w:rPr>
          <w:rFonts w:ascii="Arial" w:hAnsi="Arial" w:cs="Arial"/>
          <w:color w:val="4471C4"/>
          <w:sz w:val="24"/>
          <w:szCs w:val="24"/>
        </w:rPr>
        <w:t>Description of Social Worker in the School to Control the Health and Nutrition of the Children in Health and Social Care</w:t>
      </w:r>
      <w:bookmarkEnd w:id="2"/>
    </w:p>
    <w:p w14:paraId="4CC9C9E9" w14:textId="77777777" w:rsidR="00032504" w:rsidRPr="00032504" w:rsidRDefault="00032504" w:rsidP="00032504">
      <w:pPr>
        <w:spacing w:after="0" w:line="360" w:lineRule="auto"/>
        <w:jc w:val="both"/>
        <w:rPr>
          <w:rFonts w:ascii="Arial" w:hAnsi="Arial" w:cs="Arial"/>
          <w:sz w:val="24"/>
          <w:szCs w:val="24"/>
          <w:lang w:val="en-US"/>
        </w:rPr>
      </w:pPr>
      <w:r w:rsidRPr="00032504">
        <w:rPr>
          <w:rFonts w:ascii="Arial" w:hAnsi="Arial" w:cs="Arial"/>
          <w:sz w:val="24"/>
          <w:szCs w:val="24"/>
          <w:lang w:val="en-US"/>
        </w:rPr>
        <w:t xml:space="preserve">A School Social Worker works with children whose wellbeing could be impacted by poverty, child protection and/or family issues, disability or access to services. Ongoing guidance from the Department for Education places a strong focus on child </w:t>
      </w:r>
      <w:proofErr w:type="spellStart"/>
      <w:r w:rsidRPr="00032504">
        <w:rPr>
          <w:rFonts w:ascii="Arial" w:hAnsi="Arial" w:cs="Arial"/>
          <w:sz w:val="24"/>
          <w:szCs w:val="24"/>
          <w:lang w:val="en-US"/>
        </w:rPr>
        <w:t>centred</w:t>
      </w:r>
      <w:proofErr w:type="spellEnd"/>
      <w:r w:rsidRPr="00032504">
        <w:rPr>
          <w:rFonts w:ascii="Arial" w:hAnsi="Arial" w:cs="Arial"/>
          <w:sz w:val="24"/>
          <w:szCs w:val="24"/>
          <w:lang w:val="en-US"/>
        </w:rPr>
        <w:t xml:space="preserve"> approaches, on trusting relationships with families and multi-agency early support (Department for Education, 2026a). Persistent hunger, tiredness or the lack of concentration can be a red flag for a broader welfare issue, but cannot be simply assumed. The practitioner is thus able to pinpoint concerns and arrange for proper support rather than being a nutrition clinician.</w:t>
      </w:r>
    </w:p>
    <w:p w14:paraId="1CB8B0F1" w14:textId="7453CF66" w:rsidR="0156E134" w:rsidRPr="00A805BC" w:rsidRDefault="00032504" w:rsidP="00032504">
      <w:pPr>
        <w:spacing w:after="0" w:line="360" w:lineRule="auto"/>
        <w:jc w:val="both"/>
        <w:rPr>
          <w:rFonts w:ascii="Arial" w:hAnsi="Arial" w:cs="Arial"/>
          <w:sz w:val="24"/>
          <w:szCs w:val="24"/>
          <w:lang w:val="en-US"/>
        </w:rPr>
      </w:pPr>
      <w:r w:rsidRPr="00032504">
        <w:rPr>
          <w:rFonts w:ascii="Arial" w:hAnsi="Arial" w:cs="Arial"/>
          <w:sz w:val="24"/>
          <w:szCs w:val="24"/>
          <w:lang w:val="en-US"/>
        </w:rPr>
        <w:t>These core tasks involve collecting information from children and carers, evaluating social factors, keeping records confidentially, identifying possible signs of neglect, input into safeguarding decisions and referrals. The social worker may communicate with teachers, safeguarding leads, school nurses, local authorities and health service. The provision of healthy options and the practice of food in schools also needs to be included in school food guidance (Department for Education, 2026b). If food insecurity is suspected, then the practitioner can advocate for the family, refer to support and may include food insecurity in their discussions with the family regarding attendance, housing, income generation and safeguarding issues.</w:t>
      </w:r>
    </w:p>
    <w:p w14:paraId="4010C35E" w14:textId="311C9F48" w:rsidR="00EC7EBE" w:rsidRPr="00A805BC" w:rsidRDefault="04019B15" w:rsidP="00A805BC">
      <w:pPr>
        <w:pStyle w:val="Heading2"/>
        <w:spacing w:line="360" w:lineRule="auto"/>
        <w:rPr>
          <w:rFonts w:ascii="Arial" w:hAnsi="Arial" w:cs="Arial"/>
          <w:color w:val="4472C4" w:themeColor="accent1"/>
          <w:sz w:val="24"/>
          <w:szCs w:val="24"/>
        </w:rPr>
      </w:pPr>
      <w:bookmarkStart w:id="3" w:name="_Toc238167264"/>
      <w:r w:rsidRPr="00A805BC">
        <w:rPr>
          <w:rFonts w:ascii="Arial" w:hAnsi="Arial" w:cs="Arial"/>
          <w:color w:val="4471C4"/>
          <w:sz w:val="24"/>
          <w:szCs w:val="24"/>
        </w:rPr>
        <w:lastRenderedPageBreak/>
        <w:t>2.</w:t>
      </w:r>
      <w:r w:rsidR="00647432">
        <w:rPr>
          <w:rFonts w:ascii="Arial" w:hAnsi="Arial" w:cs="Arial"/>
          <w:color w:val="4471C4"/>
          <w:sz w:val="24"/>
          <w:szCs w:val="24"/>
        </w:rPr>
        <w:t>2</w:t>
      </w:r>
      <w:r w:rsidR="00237762" w:rsidRPr="00A805BC">
        <w:rPr>
          <w:rFonts w:ascii="Arial" w:hAnsi="Arial" w:cs="Arial"/>
          <w:sz w:val="24"/>
          <w:szCs w:val="24"/>
        </w:rPr>
        <w:t xml:space="preserve"> </w:t>
      </w:r>
      <w:r w:rsidR="00237762" w:rsidRPr="00A805BC">
        <w:rPr>
          <w:rFonts w:ascii="Arial" w:hAnsi="Arial" w:cs="Arial"/>
          <w:color w:val="4471C4"/>
          <w:sz w:val="24"/>
          <w:szCs w:val="24"/>
        </w:rPr>
        <w:t>Explanation of Most Significant Skills Needed for Social Worker in the School to Control the Health and Nutrition of the Children in Health and Social Care</w:t>
      </w:r>
      <w:bookmarkEnd w:id="3"/>
    </w:p>
    <w:p w14:paraId="55A9725D" w14:textId="77777777" w:rsidR="00032504" w:rsidRPr="00032504" w:rsidRDefault="00032504" w:rsidP="00032504">
      <w:pPr>
        <w:spacing w:after="0" w:line="360" w:lineRule="auto"/>
        <w:jc w:val="both"/>
        <w:rPr>
          <w:rFonts w:ascii="Arial" w:hAnsi="Arial" w:cs="Arial"/>
          <w:sz w:val="24"/>
          <w:szCs w:val="24"/>
          <w:lang w:val="en-US"/>
        </w:rPr>
      </w:pPr>
      <w:r w:rsidRPr="00032504">
        <w:rPr>
          <w:rFonts w:ascii="Arial" w:hAnsi="Arial" w:cs="Arial"/>
          <w:sz w:val="24"/>
          <w:szCs w:val="24"/>
          <w:lang w:val="en-US"/>
        </w:rPr>
        <w:t xml:space="preserve">Communication is imperative as it is for school social work to rely on accurate information and maintaining trust. Social Work England expects the social worker to listen and respond actively, adapt communication and handle information sensitively (Social Work England, 2026). Repeatedly arriving at school late without breakfast can make a child feel bad and may make them not want to tell. The right questions, at the right age and </w:t>
      </w:r>
      <w:proofErr w:type="spellStart"/>
      <w:r w:rsidRPr="00032504">
        <w:rPr>
          <w:rFonts w:ascii="Arial" w:hAnsi="Arial" w:cs="Arial"/>
          <w:sz w:val="24"/>
          <w:szCs w:val="24"/>
          <w:lang w:val="en-US"/>
        </w:rPr>
        <w:t>non-judgemental</w:t>
      </w:r>
      <w:proofErr w:type="spellEnd"/>
      <w:r w:rsidRPr="00032504">
        <w:rPr>
          <w:rFonts w:ascii="Arial" w:hAnsi="Arial" w:cs="Arial"/>
          <w:sz w:val="24"/>
          <w:szCs w:val="24"/>
          <w:lang w:val="en-US"/>
        </w:rPr>
        <w:t xml:space="preserve"> can begin to determine if the problem is poverty, family habits, neglect or some other reason. This is followed by sensitive communication with parents and professionals which facilitates constructive action.</w:t>
      </w:r>
    </w:p>
    <w:p w14:paraId="609532CC" w14:textId="77777777" w:rsidR="00032504" w:rsidRPr="00032504" w:rsidRDefault="00032504" w:rsidP="00032504">
      <w:pPr>
        <w:spacing w:after="0" w:line="360" w:lineRule="auto"/>
        <w:jc w:val="both"/>
        <w:rPr>
          <w:rFonts w:ascii="Arial" w:hAnsi="Arial" w:cs="Arial"/>
          <w:sz w:val="24"/>
          <w:szCs w:val="24"/>
          <w:lang w:val="en-US"/>
        </w:rPr>
      </w:pPr>
      <w:r w:rsidRPr="00032504">
        <w:rPr>
          <w:rFonts w:ascii="Arial" w:hAnsi="Arial" w:cs="Arial"/>
          <w:sz w:val="24"/>
          <w:szCs w:val="24"/>
          <w:lang w:val="en-US"/>
        </w:rPr>
        <w:t>Observation and assessment are both critical, since it is important to note what is being observed, and to see what is happening. Social workers should use appropriate information and supervision to assess risk (Social Work England, 2026). If a child is hungry, tired and not concentrating, this might be a sign of food insecurity, illness or a problem with sleep. Therefore, if the child and family information, school evidence, and evidence from relevant professionals are compared prior to making judgement. The NSPCC guidance states that poor quality suitable food can lead to a lack of nutrition and poor concentration. There is a careful assessment, so that proportionate referral is not made in unsupported conclusion.</w:t>
      </w:r>
    </w:p>
    <w:p w14:paraId="56CAB438" w14:textId="77777777" w:rsidR="00032504" w:rsidRPr="00032504" w:rsidRDefault="00032504" w:rsidP="00032504">
      <w:pPr>
        <w:spacing w:after="0" w:line="360" w:lineRule="auto"/>
        <w:jc w:val="both"/>
        <w:rPr>
          <w:rFonts w:ascii="Arial" w:hAnsi="Arial" w:cs="Arial"/>
          <w:sz w:val="24"/>
          <w:szCs w:val="24"/>
          <w:lang w:val="en-US"/>
        </w:rPr>
      </w:pPr>
      <w:r w:rsidRPr="00032504">
        <w:rPr>
          <w:rFonts w:ascii="Arial" w:hAnsi="Arial" w:cs="Arial"/>
          <w:sz w:val="24"/>
          <w:szCs w:val="24"/>
          <w:lang w:val="en-US"/>
        </w:rPr>
        <w:t xml:space="preserve">Team working is essential as child's needs span professional roles. </w:t>
      </w:r>
      <w:proofErr w:type="spellStart"/>
      <w:r w:rsidRPr="00032504">
        <w:rPr>
          <w:rFonts w:ascii="Arial" w:hAnsi="Arial" w:cs="Arial"/>
          <w:sz w:val="24"/>
          <w:szCs w:val="24"/>
          <w:lang w:val="en-US"/>
        </w:rPr>
        <w:t>Emphasising</w:t>
      </w:r>
      <w:proofErr w:type="spellEnd"/>
      <w:r w:rsidRPr="00032504">
        <w:rPr>
          <w:rFonts w:ascii="Arial" w:hAnsi="Arial" w:cs="Arial"/>
          <w:sz w:val="24"/>
          <w:szCs w:val="24"/>
          <w:lang w:val="en-US"/>
        </w:rPr>
        <w:t xml:space="preserve"> partnership between agencies and families is a key focus of Working Together to Safeguard Children (Department for Education, 2023). Teachers, the safeguarding lead, nurse, parents and social worker may have different information for a child who has been experiencing hunger on a regular basis, with health issues and attendance concerns. These viewpoints are brought together through collaboration, which establishes roles and facilitates timely action.</w:t>
      </w:r>
    </w:p>
    <w:p w14:paraId="7338813D" w14:textId="7CFF9343" w:rsidR="00C85A7C" w:rsidRPr="00A805BC" w:rsidRDefault="00032504" w:rsidP="00032504">
      <w:pPr>
        <w:spacing w:after="0" w:line="360" w:lineRule="auto"/>
        <w:jc w:val="both"/>
        <w:rPr>
          <w:rFonts w:ascii="Arial" w:hAnsi="Arial" w:cs="Arial"/>
          <w:sz w:val="24"/>
          <w:szCs w:val="24"/>
          <w:lang w:val="en-US"/>
        </w:rPr>
      </w:pPr>
      <w:r w:rsidRPr="00032504">
        <w:rPr>
          <w:rFonts w:ascii="Arial" w:hAnsi="Arial" w:cs="Arial"/>
          <w:sz w:val="24"/>
          <w:szCs w:val="24"/>
          <w:lang w:val="en-US"/>
        </w:rPr>
        <w:t>The skills are missing; concerns may be misunderstood or missed. Communication issues can impact on trust, inaccurate assessment can lead to inaccurate decisions, and poor teamwork can be a barrier to referrals (Abbas and Miller 2025). The information is collected in the act of communication, assessed in the act of understanding, and collated in act of collaboration.</w:t>
      </w:r>
    </w:p>
    <w:p w14:paraId="2CAEA1EC" w14:textId="66BEA1BF" w:rsidR="002370CE" w:rsidRPr="00A805BC" w:rsidRDefault="1F09BC6E" w:rsidP="00A805BC">
      <w:pPr>
        <w:pStyle w:val="Heading2"/>
        <w:spacing w:line="360" w:lineRule="auto"/>
        <w:rPr>
          <w:rFonts w:ascii="Arial" w:hAnsi="Arial" w:cs="Arial"/>
          <w:color w:val="4472C4" w:themeColor="accent1"/>
          <w:sz w:val="24"/>
          <w:szCs w:val="24"/>
        </w:rPr>
      </w:pPr>
      <w:bookmarkStart w:id="4" w:name="_Toc238167265"/>
      <w:r w:rsidRPr="00A805BC">
        <w:rPr>
          <w:rFonts w:ascii="Arial" w:hAnsi="Arial" w:cs="Arial"/>
          <w:color w:val="4471C4"/>
          <w:sz w:val="24"/>
          <w:szCs w:val="24"/>
        </w:rPr>
        <w:lastRenderedPageBreak/>
        <w:t>3</w:t>
      </w:r>
      <w:r w:rsidR="005D5457" w:rsidRPr="00A805BC">
        <w:rPr>
          <w:rFonts w:ascii="Arial" w:hAnsi="Arial" w:cs="Arial"/>
          <w:color w:val="4471C4"/>
          <w:sz w:val="24"/>
          <w:szCs w:val="24"/>
        </w:rPr>
        <w:t xml:space="preserve"> </w:t>
      </w:r>
      <w:r w:rsidR="00237762" w:rsidRPr="00A805BC">
        <w:rPr>
          <w:rFonts w:ascii="Arial" w:hAnsi="Arial" w:cs="Arial"/>
          <w:color w:val="4471C4"/>
          <w:sz w:val="24"/>
          <w:szCs w:val="24"/>
        </w:rPr>
        <w:t>Strategies for Skill Improvement for Social Worker in the School to Control the Health and Nutrition of the Children</w:t>
      </w:r>
      <w:bookmarkEnd w:id="4"/>
    </w:p>
    <w:p w14:paraId="01C49510" w14:textId="3F8BCEEA" w:rsidR="002370CE" w:rsidRPr="00A805BC" w:rsidRDefault="0C5D0C5C" w:rsidP="00A805BC">
      <w:pPr>
        <w:pStyle w:val="Heading2"/>
        <w:spacing w:line="360" w:lineRule="auto"/>
        <w:rPr>
          <w:rFonts w:ascii="Arial" w:hAnsi="Arial" w:cs="Arial"/>
          <w:color w:val="4472C4" w:themeColor="accent1"/>
          <w:sz w:val="24"/>
          <w:szCs w:val="24"/>
        </w:rPr>
      </w:pPr>
      <w:bookmarkStart w:id="5" w:name="_Toc238167266"/>
      <w:r w:rsidRPr="00A805BC">
        <w:rPr>
          <w:rFonts w:ascii="Arial" w:hAnsi="Arial" w:cs="Arial"/>
          <w:color w:val="4471C4"/>
          <w:sz w:val="24"/>
          <w:szCs w:val="24"/>
        </w:rPr>
        <w:t xml:space="preserve">3.1 </w:t>
      </w:r>
      <w:r w:rsidR="00237762" w:rsidRPr="00A805BC">
        <w:rPr>
          <w:rFonts w:ascii="Arial" w:hAnsi="Arial" w:cs="Arial"/>
          <w:color w:val="4471C4"/>
          <w:sz w:val="24"/>
          <w:szCs w:val="24"/>
        </w:rPr>
        <w:t>Three Strategies to Improve the Skills for Social Worker in the School to Control the Health and Nutrition of the Children</w:t>
      </w:r>
      <w:bookmarkEnd w:id="5"/>
    </w:p>
    <w:p w14:paraId="0E824C52" w14:textId="77777777" w:rsidR="00127B74" w:rsidRPr="00127B74" w:rsidRDefault="00127B74" w:rsidP="00127B74">
      <w:pPr>
        <w:spacing w:after="0" w:line="360" w:lineRule="auto"/>
        <w:jc w:val="both"/>
        <w:rPr>
          <w:rFonts w:ascii="Arial" w:hAnsi="Arial" w:cs="Arial"/>
          <w:sz w:val="24"/>
          <w:szCs w:val="24"/>
          <w:lang w:val="en-US"/>
        </w:rPr>
      </w:pPr>
      <w:r w:rsidRPr="00127B74">
        <w:rPr>
          <w:rFonts w:ascii="Arial" w:hAnsi="Arial" w:cs="Arial"/>
          <w:sz w:val="24"/>
          <w:szCs w:val="24"/>
          <w:lang w:val="en-US"/>
        </w:rPr>
        <w:t xml:space="preserve">The first skill can be reinforced with communication and active-listening training, using role-playing and feedback and practicing age-appropriate questioning. Continuing professional development is included in the Professional Capabilities Framework (PCF) for BASW (2026) Professional Practice. Training can practice with a child that there is little food available at home, so supervisors can become aware of the leading questions, jargon or </w:t>
      </w:r>
      <w:proofErr w:type="spellStart"/>
      <w:r w:rsidRPr="00127B74">
        <w:rPr>
          <w:rFonts w:ascii="Arial" w:hAnsi="Arial" w:cs="Arial"/>
          <w:sz w:val="24"/>
          <w:szCs w:val="24"/>
          <w:lang w:val="en-US"/>
        </w:rPr>
        <w:t>judgemental</w:t>
      </w:r>
      <w:proofErr w:type="spellEnd"/>
      <w:r w:rsidRPr="00127B74">
        <w:rPr>
          <w:rFonts w:ascii="Arial" w:hAnsi="Arial" w:cs="Arial"/>
          <w:sz w:val="24"/>
          <w:szCs w:val="24"/>
          <w:lang w:val="en-US"/>
        </w:rPr>
        <w:t xml:space="preserve"> language. With repetition, the practitioner learns to use open questions, reflective listening and clear explanations, which enhances the level of trust and the quality of information collected (Voogt et al., 2022).</w:t>
      </w:r>
    </w:p>
    <w:p w14:paraId="37B68EED" w14:textId="77777777" w:rsidR="00127B74" w:rsidRPr="00127B74" w:rsidRDefault="00127B74" w:rsidP="00127B74">
      <w:pPr>
        <w:spacing w:after="0" w:line="360" w:lineRule="auto"/>
        <w:jc w:val="both"/>
        <w:rPr>
          <w:rFonts w:ascii="Arial" w:hAnsi="Arial" w:cs="Arial"/>
          <w:sz w:val="24"/>
          <w:szCs w:val="24"/>
          <w:lang w:val="en-US"/>
        </w:rPr>
      </w:pPr>
      <w:r w:rsidRPr="00127B74">
        <w:rPr>
          <w:rFonts w:ascii="Arial" w:hAnsi="Arial" w:cs="Arial"/>
          <w:sz w:val="24"/>
          <w:szCs w:val="24"/>
          <w:lang w:val="en-US"/>
        </w:rPr>
        <w:t>Observation and assessment can be developed and supported by safeguarding and child-assessment training and supervised child-assessment practice. Training should include signs of unmet need, evidence recording, RAR (Risk Analysis and Referral) procedures. With the assistance of an experienced practitioner, supervision enables the assumption to be challenged. For instance, if a child's or young person's parents or carers repeatedly report that they are hungry, then the structured information gathering process should follow rather than automatically assuming that the family is neglecting the child's needs (Helton et al., 2026). Case review with a supervisor trains a good sense of judgment and enhances the fairness of judgments.</w:t>
      </w:r>
    </w:p>
    <w:p w14:paraId="58A1B501" w14:textId="7195E938" w:rsidR="0156E134" w:rsidRDefault="00127B74" w:rsidP="00127B74">
      <w:pPr>
        <w:spacing w:after="0" w:line="360" w:lineRule="auto"/>
        <w:jc w:val="both"/>
        <w:rPr>
          <w:rFonts w:ascii="Arial" w:hAnsi="Arial" w:cs="Arial"/>
          <w:sz w:val="24"/>
          <w:szCs w:val="24"/>
          <w:lang w:val="en-US"/>
        </w:rPr>
      </w:pPr>
      <w:r w:rsidRPr="00127B74">
        <w:rPr>
          <w:rFonts w:ascii="Arial" w:hAnsi="Arial" w:cs="Arial"/>
          <w:sz w:val="24"/>
          <w:szCs w:val="24"/>
          <w:lang w:val="en-US"/>
        </w:rPr>
        <w:t>Training and regular case meetings can enhance collaborative working, by providing clarity on the professional roles, referral pathways, information sharing responsibilities and decisions regarding children and young people (Purcell et al., 2026). Strong relationships between schools and social workers, and partner agencies, and timely information sharing is identified in guidance from the Department for Education (2026a). For a food-insecurity case, a meeting may include information from the teacher, the nurse, the family, and the social worker. The repetition builds up a clear and succinct cross-professional communication and demarcation. These strategies in combination enhance integrated, evidenced-based and child-</w:t>
      </w:r>
      <w:proofErr w:type="spellStart"/>
      <w:r w:rsidRPr="00127B74">
        <w:rPr>
          <w:rFonts w:ascii="Arial" w:hAnsi="Arial" w:cs="Arial"/>
          <w:sz w:val="24"/>
          <w:szCs w:val="24"/>
          <w:lang w:val="en-US"/>
        </w:rPr>
        <w:t>centred</w:t>
      </w:r>
      <w:proofErr w:type="spellEnd"/>
      <w:r w:rsidRPr="00127B74">
        <w:rPr>
          <w:rFonts w:ascii="Arial" w:hAnsi="Arial" w:cs="Arial"/>
          <w:sz w:val="24"/>
          <w:szCs w:val="24"/>
          <w:lang w:val="en-US"/>
        </w:rPr>
        <w:t xml:space="preserve"> practice.</w:t>
      </w:r>
    </w:p>
    <w:p w14:paraId="41FA7459" w14:textId="1B2ECABA" w:rsidR="00C02ED9" w:rsidRPr="00A805BC" w:rsidRDefault="00C02ED9" w:rsidP="00127B74">
      <w:pPr>
        <w:spacing w:after="0" w:line="360" w:lineRule="auto"/>
        <w:jc w:val="both"/>
        <w:rPr>
          <w:rFonts w:ascii="Arial" w:hAnsi="Arial" w:cs="Arial"/>
          <w:sz w:val="24"/>
          <w:szCs w:val="24"/>
          <w:lang w:val="en-US"/>
        </w:rPr>
      </w:pPr>
      <w:r w:rsidRPr="00C02ED9">
        <w:rPr>
          <w:rFonts w:ascii="Arial" w:hAnsi="Arial" w:cs="Arial"/>
          <w:sz w:val="24"/>
          <w:szCs w:val="24"/>
          <w:lang w:val="en-US"/>
        </w:rPr>
        <w:t xml:space="preserve">Reflective practice is another effective approach which involves social workers reflecting on the work they have done with children and families from time to time. Use reflective journals, supervision and feedback from colleagues to </w:t>
      </w:r>
      <w:proofErr w:type="spellStart"/>
      <w:r w:rsidRPr="00C02ED9">
        <w:rPr>
          <w:rFonts w:ascii="Arial" w:hAnsi="Arial" w:cs="Arial"/>
          <w:sz w:val="24"/>
          <w:szCs w:val="24"/>
          <w:lang w:val="en-US"/>
        </w:rPr>
        <w:t>recogni</w:t>
      </w:r>
      <w:r>
        <w:rPr>
          <w:rFonts w:ascii="Arial" w:hAnsi="Arial" w:cs="Arial"/>
          <w:sz w:val="24"/>
          <w:szCs w:val="24"/>
          <w:lang w:val="en-US"/>
        </w:rPr>
        <w:t>s</w:t>
      </w:r>
      <w:r w:rsidRPr="00C02ED9">
        <w:rPr>
          <w:rFonts w:ascii="Arial" w:hAnsi="Arial" w:cs="Arial"/>
          <w:sz w:val="24"/>
          <w:szCs w:val="24"/>
          <w:lang w:val="en-US"/>
        </w:rPr>
        <w:t>e</w:t>
      </w:r>
      <w:proofErr w:type="spellEnd"/>
      <w:r w:rsidRPr="00C02ED9">
        <w:rPr>
          <w:rFonts w:ascii="Arial" w:hAnsi="Arial" w:cs="Arial"/>
          <w:sz w:val="24"/>
          <w:szCs w:val="24"/>
          <w:lang w:val="en-US"/>
        </w:rPr>
        <w:t xml:space="preserve"> areas that </w:t>
      </w:r>
      <w:r w:rsidRPr="00C02ED9">
        <w:rPr>
          <w:rFonts w:ascii="Arial" w:hAnsi="Arial" w:cs="Arial"/>
          <w:sz w:val="24"/>
          <w:szCs w:val="24"/>
          <w:lang w:val="en-US"/>
        </w:rPr>
        <w:lastRenderedPageBreak/>
        <w:t xml:space="preserve">need improvement and build professional confidence. This also prompts practitioners to reflect on the appropriateness of their communication, assessment and team working and how this was child </w:t>
      </w:r>
      <w:proofErr w:type="spellStart"/>
      <w:r w:rsidRPr="00C02ED9">
        <w:rPr>
          <w:rFonts w:ascii="Arial" w:hAnsi="Arial" w:cs="Arial"/>
          <w:sz w:val="24"/>
          <w:szCs w:val="24"/>
          <w:lang w:val="en-US"/>
        </w:rPr>
        <w:t>centred</w:t>
      </w:r>
      <w:proofErr w:type="spellEnd"/>
      <w:r w:rsidRPr="00C02ED9">
        <w:rPr>
          <w:rFonts w:ascii="Arial" w:hAnsi="Arial" w:cs="Arial"/>
          <w:sz w:val="24"/>
          <w:szCs w:val="24"/>
          <w:lang w:val="en-US"/>
        </w:rPr>
        <w:t>. In the course of time, reflection can enhance professional judgement, limit assumptions, and help make decisions more consistently when responding to concerns regarding children's health, nutrition and welfare (Godoy et al., 2022).</w:t>
      </w:r>
    </w:p>
    <w:p w14:paraId="1497148C" w14:textId="5D9ACA22" w:rsidR="00A946CB" w:rsidRPr="00A805BC" w:rsidRDefault="5617AA6E" w:rsidP="00A805BC">
      <w:pPr>
        <w:pStyle w:val="Heading2"/>
        <w:spacing w:line="360" w:lineRule="auto"/>
        <w:rPr>
          <w:rFonts w:ascii="Arial" w:hAnsi="Arial" w:cs="Arial"/>
          <w:color w:val="4472C4" w:themeColor="accent1"/>
          <w:sz w:val="24"/>
          <w:szCs w:val="24"/>
        </w:rPr>
      </w:pPr>
      <w:bookmarkStart w:id="6" w:name="_Toc238167267"/>
      <w:r w:rsidRPr="00A805BC">
        <w:rPr>
          <w:rFonts w:ascii="Arial" w:hAnsi="Arial" w:cs="Arial"/>
          <w:color w:val="4471C4"/>
          <w:sz w:val="24"/>
          <w:szCs w:val="24"/>
        </w:rPr>
        <w:t>4</w:t>
      </w:r>
      <w:r w:rsidR="00A946CB" w:rsidRPr="00A805BC">
        <w:rPr>
          <w:rFonts w:ascii="Arial" w:hAnsi="Arial" w:cs="Arial"/>
          <w:color w:val="4471C4"/>
          <w:sz w:val="24"/>
          <w:szCs w:val="24"/>
        </w:rPr>
        <w:t xml:space="preserve"> Conclusion</w:t>
      </w:r>
      <w:bookmarkEnd w:id="6"/>
    </w:p>
    <w:p w14:paraId="6B49B23F" w14:textId="155F88DD" w:rsidR="00237762" w:rsidRPr="00A805BC" w:rsidRDefault="00647432" w:rsidP="00A805BC">
      <w:pPr>
        <w:spacing w:after="0" w:line="360" w:lineRule="auto"/>
        <w:jc w:val="both"/>
        <w:rPr>
          <w:rFonts w:ascii="Arial" w:hAnsi="Arial" w:cs="Arial"/>
          <w:sz w:val="24"/>
          <w:szCs w:val="24"/>
          <w:lang w:val="en-US"/>
        </w:rPr>
      </w:pPr>
      <w:r w:rsidRPr="00647432">
        <w:rPr>
          <w:rFonts w:ascii="Arial" w:hAnsi="Arial" w:cs="Arial"/>
          <w:sz w:val="24"/>
          <w:szCs w:val="24"/>
          <w:lang w:val="en-US"/>
        </w:rPr>
        <w:t>This report has demonstrated how a school social worker can contribute to child health and nutrition through a comprehensive assessment of welfare issues, protection of children, advocacy for families and coordinating services and interventions, rather than medical interventions. Communication allows for sensitive engagement, observation and assessment; allows for evidence-based judgement; allows for teamwork; and connects the expertise required for complex needs. Any weakness in any area could cause delayed support. Practical ways of improving: active-listening training, supervised safeguarding assessment and multi-agency development. It supports school and partner services to respond to children's health, nutrition and wider wellbeing needs, and reinforces professional decisions, where these skills and knowledge are developed continuously.</w:t>
      </w:r>
    </w:p>
    <w:p w14:paraId="5155B0ED" w14:textId="77777777" w:rsidR="00D676C3" w:rsidRPr="00A805BC" w:rsidRDefault="00D676C3" w:rsidP="00A805BC">
      <w:pPr>
        <w:pStyle w:val="ListParagraph"/>
        <w:spacing w:after="0" w:line="360" w:lineRule="auto"/>
        <w:rPr>
          <w:rFonts w:ascii="Arial" w:hAnsi="Arial" w:cs="Arial"/>
          <w:sz w:val="24"/>
          <w:szCs w:val="24"/>
        </w:rPr>
      </w:pPr>
    </w:p>
    <w:p w14:paraId="0A8033DC" w14:textId="77777777" w:rsidR="00237762" w:rsidRPr="00A805BC" w:rsidRDefault="00237762" w:rsidP="00A805BC">
      <w:pPr>
        <w:spacing w:line="360" w:lineRule="auto"/>
        <w:rPr>
          <w:rFonts w:ascii="Arial" w:eastAsiaTheme="majorEastAsia" w:hAnsi="Arial" w:cs="Arial"/>
          <w:color w:val="4471C4"/>
          <w:sz w:val="24"/>
          <w:szCs w:val="24"/>
        </w:rPr>
      </w:pPr>
      <w:r w:rsidRPr="00A805BC">
        <w:rPr>
          <w:rFonts w:ascii="Arial" w:hAnsi="Arial" w:cs="Arial"/>
          <w:color w:val="4471C4"/>
          <w:sz w:val="24"/>
          <w:szCs w:val="24"/>
        </w:rPr>
        <w:br w:type="page"/>
      </w:r>
    </w:p>
    <w:p w14:paraId="6C4B494D" w14:textId="3713B7D5" w:rsidR="00226D31" w:rsidRPr="00A805BC" w:rsidRDefault="00226D31" w:rsidP="00A805BC">
      <w:pPr>
        <w:pStyle w:val="Heading2"/>
        <w:spacing w:line="360" w:lineRule="auto"/>
        <w:jc w:val="both"/>
        <w:rPr>
          <w:rFonts w:ascii="Arial" w:hAnsi="Arial" w:cs="Arial"/>
          <w:color w:val="4472C4" w:themeColor="accent1"/>
          <w:sz w:val="24"/>
          <w:szCs w:val="24"/>
        </w:rPr>
      </w:pPr>
      <w:bookmarkStart w:id="7" w:name="_Toc238167268"/>
      <w:r w:rsidRPr="00A805BC">
        <w:rPr>
          <w:rFonts w:ascii="Arial" w:hAnsi="Arial" w:cs="Arial"/>
          <w:b/>
          <w:color w:val="4471C4"/>
          <w:sz w:val="24"/>
          <w:szCs w:val="24"/>
        </w:rPr>
        <w:lastRenderedPageBreak/>
        <w:t>5 Reference List</w:t>
      </w:r>
      <w:bookmarkEnd w:id="7"/>
    </w:p>
    <w:p w14:paraId="59AF987A" w14:textId="77777777" w:rsidR="00C02ED9" w:rsidRPr="00A805BC" w:rsidRDefault="00C02ED9" w:rsidP="00A805BC">
      <w:pPr>
        <w:spacing w:after="0" w:line="360" w:lineRule="auto"/>
        <w:ind w:left="720" w:hanging="720"/>
        <w:jc w:val="both"/>
        <w:rPr>
          <w:rFonts w:ascii="Arial" w:hAnsi="Arial" w:cs="Arial"/>
          <w:sz w:val="24"/>
          <w:szCs w:val="24"/>
          <w:lang w:val="en-US"/>
        </w:rPr>
      </w:pPr>
      <w:r w:rsidRPr="00A805BC">
        <w:rPr>
          <w:rFonts w:ascii="Arial" w:hAnsi="Arial" w:cs="Arial"/>
          <w:sz w:val="24"/>
          <w:szCs w:val="24"/>
        </w:rPr>
        <w:t>Abbas, R. and Miller, T., 2025. Exploring communication inefficiencies in disaster response: Perspectives of emergency managers and health professionals. </w:t>
      </w:r>
      <w:r w:rsidRPr="00A805BC">
        <w:rPr>
          <w:rFonts w:ascii="Arial" w:hAnsi="Arial" w:cs="Arial"/>
          <w:i/>
          <w:iCs/>
          <w:sz w:val="24"/>
          <w:szCs w:val="24"/>
        </w:rPr>
        <w:t>International Journal of Disaster Risk Reduction</w:t>
      </w:r>
      <w:r w:rsidRPr="00A805BC">
        <w:rPr>
          <w:rFonts w:ascii="Arial" w:hAnsi="Arial" w:cs="Arial"/>
          <w:sz w:val="24"/>
          <w:szCs w:val="24"/>
        </w:rPr>
        <w:t>, </w:t>
      </w:r>
      <w:r w:rsidRPr="00A805BC">
        <w:rPr>
          <w:rFonts w:ascii="Arial" w:hAnsi="Arial" w:cs="Arial"/>
          <w:i/>
          <w:iCs/>
          <w:sz w:val="24"/>
          <w:szCs w:val="24"/>
        </w:rPr>
        <w:t>120</w:t>
      </w:r>
      <w:r w:rsidRPr="00A805BC">
        <w:rPr>
          <w:rFonts w:ascii="Arial" w:hAnsi="Arial" w:cs="Arial"/>
          <w:sz w:val="24"/>
          <w:szCs w:val="24"/>
        </w:rPr>
        <w:t>, p.105393.</w:t>
      </w:r>
    </w:p>
    <w:p w14:paraId="40795690" w14:textId="77777777" w:rsidR="00C02ED9" w:rsidRPr="00A805BC" w:rsidRDefault="00C02ED9" w:rsidP="00A805BC">
      <w:pPr>
        <w:spacing w:after="0" w:line="360" w:lineRule="auto"/>
        <w:ind w:left="720" w:hanging="720"/>
        <w:jc w:val="both"/>
        <w:rPr>
          <w:rFonts w:ascii="Arial" w:hAnsi="Arial" w:cs="Arial"/>
          <w:sz w:val="24"/>
          <w:szCs w:val="24"/>
          <w:lang w:val="en-US"/>
        </w:rPr>
      </w:pPr>
      <w:r w:rsidRPr="00A805BC">
        <w:rPr>
          <w:rFonts w:ascii="Arial" w:hAnsi="Arial" w:cs="Arial"/>
          <w:sz w:val="24"/>
          <w:szCs w:val="24"/>
          <w:lang w:val="en-US"/>
        </w:rPr>
        <w:t xml:space="preserve">British Association of Social Workers (BASW) (2026) </w:t>
      </w:r>
      <w:r w:rsidRPr="00A805BC">
        <w:rPr>
          <w:rFonts w:ascii="Arial" w:hAnsi="Arial" w:cs="Arial"/>
          <w:i/>
          <w:iCs/>
          <w:sz w:val="24"/>
          <w:szCs w:val="24"/>
          <w:lang w:val="en-US"/>
        </w:rPr>
        <w:t>Professional Capabilities Framework (PCF)</w:t>
      </w:r>
      <w:r w:rsidRPr="00A805BC">
        <w:rPr>
          <w:rFonts w:ascii="Arial" w:hAnsi="Arial" w:cs="Arial"/>
          <w:sz w:val="24"/>
          <w:szCs w:val="24"/>
          <w:lang w:val="en-US"/>
        </w:rPr>
        <w:t xml:space="preserve">. Birmingham: British Association of Social Workers. Available at: </w:t>
      </w:r>
      <w:hyperlink r:id="rId9" w:tgtFrame="_blank" w:history="1">
        <w:r w:rsidRPr="00A805BC">
          <w:rPr>
            <w:rStyle w:val="Hyperlink"/>
            <w:rFonts w:ascii="Arial" w:hAnsi="Arial" w:cs="Arial"/>
            <w:sz w:val="24"/>
            <w:szCs w:val="24"/>
            <w:lang w:val="en-US"/>
          </w:rPr>
          <w:t>https://basw.co.uk/training-cpd/professional-capabilities-framework-pcf</w:t>
        </w:r>
      </w:hyperlink>
      <w:r w:rsidRPr="00A805BC">
        <w:rPr>
          <w:rFonts w:ascii="Arial" w:hAnsi="Arial" w:cs="Arial"/>
          <w:sz w:val="24"/>
          <w:szCs w:val="24"/>
          <w:lang w:val="en-US"/>
        </w:rPr>
        <w:t xml:space="preserve"> (Accessed: 20 August 2026). </w:t>
      </w:r>
    </w:p>
    <w:p w14:paraId="09FAAEC7" w14:textId="77777777" w:rsidR="00C02ED9" w:rsidRPr="00A805BC" w:rsidRDefault="00C02ED9" w:rsidP="00A805BC">
      <w:pPr>
        <w:spacing w:after="0" w:line="360" w:lineRule="auto"/>
        <w:ind w:left="720" w:hanging="720"/>
        <w:jc w:val="both"/>
        <w:rPr>
          <w:rFonts w:ascii="Arial" w:hAnsi="Arial" w:cs="Arial"/>
          <w:sz w:val="24"/>
          <w:szCs w:val="24"/>
          <w:lang w:val="en-US"/>
        </w:rPr>
      </w:pPr>
      <w:r w:rsidRPr="00A805BC">
        <w:rPr>
          <w:rFonts w:ascii="Arial" w:hAnsi="Arial" w:cs="Arial"/>
          <w:sz w:val="24"/>
          <w:szCs w:val="24"/>
          <w:lang w:val="en-US"/>
        </w:rPr>
        <w:t xml:space="preserve">Department for Education (2023) </w:t>
      </w:r>
      <w:r w:rsidRPr="00A805BC">
        <w:rPr>
          <w:rFonts w:ascii="Arial" w:hAnsi="Arial" w:cs="Arial"/>
          <w:i/>
          <w:iCs/>
          <w:sz w:val="24"/>
          <w:szCs w:val="24"/>
          <w:lang w:val="en-US"/>
        </w:rPr>
        <w:t>Working Together to Safeguard Children 2023: A Guide to Multi-Agency Working to Help, Protect and Promote the Welfare of Children</w:t>
      </w:r>
      <w:r w:rsidRPr="00A805BC">
        <w:rPr>
          <w:rFonts w:ascii="Arial" w:hAnsi="Arial" w:cs="Arial"/>
          <w:sz w:val="24"/>
          <w:szCs w:val="24"/>
          <w:lang w:val="en-US"/>
        </w:rPr>
        <w:t xml:space="preserve">. London: Department for Education. Available at: </w:t>
      </w:r>
      <w:hyperlink r:id="rId10" w:tgtFrame="_blank" w:history="1">
        <w:r w:rsidRPr="00A805BC">
          <w:rPr>
            <w:rStyle w:val="Hyperlink"/>
            <w:rFonts w:ascii="Arial" w:hAnsi="Arial" w:cs="Arial"/>
            <w:sz w:val="24"/>
            <w:szCs w:val="24"/>
            <w:lang w:val="en-US"/>
          </w:rPr>
          <w:t>Working Together to Safeguard Children</w:t>
        </w:r>
      </w:hyperlink>
      <w:r w:rsidRPr="00A805BC">
        <w:rPr>
          <w:rFonts w:ascii="Arial" w:hAnsi="Arial" w:cs="Arial"/>
          <w:sz w:val="24"/>
          <w:szCs w:val="24"/>
          <w:lang w:val="en-US"/>
        </w:rPr>
        <w:t xml:space="preserve"> (Accessed: 20 August 2026). </w:t>
      </w:r>
    </w:p>
    <w:p w14:paraId="710FC150" w14:textId="77777777" w:rsidR="00C02ED9" w:rsidRPr="00A805BC" w:rsidRDefault="00C02ED9" w:rsidP="00A805BC">
      <w:pPr>
        <w:spacing w:after="0" w:line="360" w:lineRule="auto"/>
        <w:ind w:left="720" w:hanging="720"/>
        <w:jc w:val="both"/>
        <w:rPr>
          <w:rFonts w:ascii="Arial" w:hAnsi="Arial" w:cs="Arial"/>
          <w:sz w:val="24"/>
          <w:szCs w:val="24"/>
          <w:lang w:val="en-US"/>
        </w:rPr>
      </w:pPr>
      <w:r w:rsidRPr="00A805BC">
        <w:rPr>
          <w:rFonts w:ascii="Arial" w:hAnsi="Arial" w:cs="Arial"/>
          <w:sz w:val="24"/>
          <w:szCs w:val="24"/>
          <w:lang w:val="en-US"/>
        </w:rPr>
        <w:t xml:space="preserve">Department for Education (2026a) </w:t>
      </w:r>
      <w:r w:rsidRPr="00A805BC">
        <w:rPr>
          <w:rFonts w:ascii="Arial" w:hAnsi="Arial" w:cs="Arial"/>
          <w:i/>
          <w:iCs/>
          <w:sz w:val="24"/>
          <w:szCs w:val="24"/>
          <w:lang w:val="en-US"/>
        </w:rPr>
        <w:t>Improving Practice with Children, Young People and Families</w:t>
      </w:r>
      <w:r w:rsidRPr="00A805BC">
        <w:rPr>
          <w:rFonts w:ascii="Arial" w:hAnsi="Arial" w:cs="Arial"/>
          <w:sz w:val="24"/>
          <w:szCs w:val="24"/>
          <w:lang w:val="en-US"/>
        </w:rPr>
        <w:t xml:space="preserve">. London: Department for Education. Available at: </w:t>
      </w:r>
      <w:hyperlink r:id="rId11" w:tgtFrame="_blank" w:history="1">
        <w:r w:rsidRPr="00A805BC">
          <w:rPr>
            <w:rStyle w:val="Hyperlink"/>
            <w:rFonts w:ascii="Arial" w:hAnsi="Arial" w:cs="Arial"/>
            <w:sz w:val="24"/>
            <w:szCs w:val="24"/>
            <w:lang w:val="en-US"/>
          </w:rPr>
          <w:t>Improving Practice with Children, Young People and Families</w:t>
        </w:r>
      </w:hyperlink>
      <w:r w:rsidRPr="00A805BC">
        <w:rPr>
          <w:rFonts w:ascii="Arial" w:hAnsi="Arial" w:cs="Arial"/>
          <w:sz w:val="24"/>
          <w:szCs w:val="24"/>
          <w:lang w:val="en-US"/>
        </w:rPr>
        <w:t xml:space="preserve"> (Accessed: 20 August 2026). </w:t>
      </w:r>
    </w:p>
    <w:p w14:paraId="0477FCAC" w14:textId="77777777" w:rsidR="00C02ED9" w:rsidRPr="00A805BC" w:rsidRDefault="00C02ED9" w:rsidP="00A805BC">
      <w:pPr>
        <w:spacing w:after="0" w:line="360" w:lineRule="auto"/>
        <w:ind w:left="720" w:hanging="720"/>
        <w:jc w:val="both"/>
        <w:rPr>
          <w:rFonts w:ascii="Arial" w:hAnsi="Arial" w:cs="Arial"/>
          <w:sz w:val="24"/>
          <w:szCs w:val="24"/>
          <w:lang w:val="en-US"/>
        </w:rPr>
      </w:pPr>
      <w:r w:rsidRPr="00A805BC">
        <w:rPr>
          <w:rFonts w:ascii="Arial" w:hAnsi="Arial" w:cs="Arial"/>
          <w:sz w:val="24"/>
          <w:szCs w:val="24"/>
          <w:lang w:val="en-US"/>
        </w:rPr>
        <w:t xml:space="preserve">Department for Education (2026b) </w:t>
      </w:r>
      <w:r w:rsidRPr="00A805BC">
        <w:rPr>
          <w:rFonts w:ascii="Arial" w:hAnsi="Arial" w:cs="Arial"/>
          <w:i/>
          <w:iCs/>
          <w:sz w:val="24"/>
          <w:szCs w:val="24"/>
          <w:lang w:val="en-US"/>
        </w:rPr>
        <w:t>School Food Standards: Resources for Schools</w:t>
      </w:r>
      <w:r w:rsidRPr="00A805BC">
        <w:rPr>
          <w:rFonts w:ascii="Arial" w:hAnsi="Arial" w:cs="Arial"/>
          <w:sz w:val="24"/>
          <w:szCs w:val="24"/>
          <w:lang w:val="en-US"/>
        </w:rPr>
        <w:t xml:space="preserve">. London: Department for Education. Available at: </w:t>
      </w:r>
      <w:hyperlink r:id="rId12" w:tgtFrame="_blank" w:history="1">
        <w:r w:rsidRPr="00A805BC">
          <w:rPr>
            <w:rStyle w:val="Hyperlink"/>
            <w:rFonts w:ascii="Arial" w:hAnsi="Arial" w:cs="Arial"/>
            <w:sz w:val="24"/>
            <w:szCs w:val="24"/>
            <w:lang w:val="en-US"/>
          </w:rPr>
          <w:t>School Food Standards: Resources for Schools</w:t>
        </w:r>
      </w:hyperlink>
      <w:r w:rsidRPr="00A805BC">
        <w:rPr>
          <w:rFonts w:ascii="Arial" w:hAnsi="Arial" w:cs="Arial"/>
          <w:sz w:val="24"/>
          <w:szCs w:val="24"/>
          <w:lang w:val="en-US"/>
        </w:rPr>
        <w:t xml:space="preserve"> (Accessed: 20 August 2026).  </w:t>
      </w:r>
    </w:p>
    <w:p w14:paraId="0A250776" w14:textId="77777777" w:rsidR="00C02ED9" w:rsidRPr="00A805BC" w:rsidRDefault="00C02ED9" w:rsidP="00A805BC">
      <w:pPr>
        <w:spacing w:after="0" w:line="360" w:lineRule="auto"/>
        <w:ind w:left="720" w:hanging="720"/>
        <w:rPr>
          <w:rFonts w:ascii="Arial" w:hAnsi="Arial" w:cs="Arial"/>
          <w:sz w:val="24"/>
          <w:szCs w:val="24"/>
        </w:rPr>
      </w:pPr>
      <w:r w:rsidRPr="00C02ED9">
        <w:rPr>
          <w:rFonts w:ascii="Arial" w:hAnsi="Arial" w:cs="Arial"/>
          <w:sz w:val="24"/>
          <w:szCs w:val="24"/>
        </w:rPr>
        <w:t>Godoy, S., Kainz, K., Brevard, K. and Keyes, O., 2022. A conceptual model to guide collaborative reflective practice and values-driven child welfare decision-making. </w:t>
      </w:r>
      <w:r w:rsidRPr="00C02ED9">
        <w:rPr>
          <w:rFonts w:ascii="Arial" w:hAnsi="Arial" w:cs="Arial"/>
          <w:i/>
          <w:iCs/>
          <w:sz w:val="24"/>
          <w:szCs w:val="24"/>
        </w:rPr>
        <w:t>Children and Youth Services Review</w:t>
      </w:r>
      <w:r w:rsidRPr="00C02ED9">
        <w:rPr>
          <w:rFonts w:ascii="Arial" w:hAnsi="Arial" w:cs="Arial"/>
          <w:sz w:val="24"/>
          <w:szCs w:val="24"/>
        </w:rPr>
        <w:t>, </w:t>
      </w:r>
      <w:r w:rsidRPr="00C02ED9">
        <w:rPr>
          <w:rFonts w:ascii="Arial" w:hAnsi="Arial" w:cs="Arial"/>
          <w:i/>
          <w:iCs/>
          <w:sz w:val="24"/>
          <w:szCs w:val="24"/>
        </w:rPr>
        <w:t>143</w:t>
      </w:r>
      <w:r w:rsidRPr="00C02ED9">
        <w:rPr>
          <w:rFonts w:ascii="Arial" w:hAnsi="Arial" w:cs="Arial"/>
          <w:sz w:val="24"/>
          <w:szCs w:val="24"/>
        </w:rPr>
        <w:t>, p.106681.</w:t>
      </w:r>
    </w:p>
    <w:p w14:paraId="499BFD74" w14:textId="77777777" w:rsidR="00C02ED9" w:rsidRPr="00A805BC" w:rsidRDefault="00C02ED9" w:rsidP="00A805BC">
      <w:pPr>
        <w:spacing w:after="0" w:line="360" w:lineRule="auto"/>
        <w:ind w:left="720" w:hanging="720"/>
        <w:rPr>
          <w:rFonts w:ascii="Arial" w:hAnsi="Arial" w:cs="Arial"/>
          <w:sz w:val="24"/>
          <w:szCs w:val="24"/>
        </w:rPr>
      </w:pPr>
      <w:r w:rsidRPr="00A805BC">
        <w:rPr>
          <w:rFonts w:ascii="Arial" w:hAnsi="Arial" w:cs="Arial"/>
          <w:sz w:val="24"/>
          <w:szCs w:val="24"/>
        </w:rPr>
        <w:t>Helton, J.J., Schreiber, J.C., Wells, M. and Carter, V., 2026. Disordered eating and hoarding after neglect: a qualitative study of foster parent responses. </w:t>
      </w:r>
      <w:r w:rsidRPr="00A805BC">
        <w:rPr>
          <w:rFonts w:ascii="Arial" w:hAnsi="Arial" w:cs="Arial"/>
          <w:i/>
          <w:iCs/>
          <w:sz w:val="24"/>
          <w:szCs w:val="24"/>
        </w:rPr>
        <w:t>Children and Youth Services Review</w:t>
      </w:r>
      <w:r w:rsidRPr="00A805BC">
        <w:rPr>
          <w:rFonts w:ascii="Arial" w:hAnsi="Arial" w:cs="Arial"/>
          <w:sz w:val="24"/>
          <w:szCs w:val="24"/>
        </w:rPr>
        <w:t>, p.109015.</w:t>
      </w:r>
    </w:p>
    <w:p w14:paraId="00571ED7" w14:textId="77777777" w:rsidR="00C02ED9" w:rsidRPr="00A805BC" w:rsidRDefault="00C02ED9" w:rsidP="00A805BC">
      <w:pPr>
        <w:spacing w:after="0" w:line="360" w:lineRule="auto"/>
        <w:ind w:left="720" w:hanging="720"/>
        <w:rPr>
          <w:rFonts w:ascii="Arial" w:hAnsi="Arial" w:cs="Arial"/>
          <w:sz w:val="24"/>
          <w:szCs w:val="24"/>
        </w:rPr>
      </w:pPr>
      <w:r w:rsidRPr="00A805BC">
        <w:rPr>
          <w:rFonts w:ascii="Arial" w:hAnsi="Arial" w:cs="Arial"/>
          <w:sz w:val="24"/>
          <w:szCs w:val="24"/>
        </w:rPr>
        <w:t xml:space="preserve">Purcell, C., Baginsky, M. and </w:t>
      </w:r>
      <w:proofErr w:type="spellStart"/>
      <w:r w:rsidRPr="00A805BC">
        <w:rPr>
          <w:rFonts w:ascii="Arial" w:hAnsi="Arial" w:cs="Arial"/>
          <w:sz w:val="24"/>
          <w:szCs w:val="24"/>
        </w:rPr>
        <w:t>Steils</w:t>
      </w:r>
      <w:proofErr w:type="spellEnd"/>
      <w:r w:rsidRPr="00A805BC">
        <w:rPr>
          <w:rFonts w:ascii="Arial" w:hAnsi="Arial" w:cs="Arial"/>
          <w:sz w:val="24"/>
          <w:szCs w:val="24"/>
        </w:rPr>
        <w:t>, N., 2026. No quick fixes: Multi-agency working to improve information-sharing on men and keep children safe. </w:t>
      </w:r>
      <w:r w:rsidRPr="00A805BC">
        <w:rPr>
          <w:rFonts w:ascii="Arial" w:hAnsi="Arial" w:cs="Arial"/>
          <w:i/>
          <w:iCs/>
          <w:sz w:val="24"/>
          <w:szCs w:val="24"/>
        </w:rPr>
        <w:t>The British Journal of Social Work</w:t>
      </w:r>
      <w:r w:rsidRPr="00A805BC">
        <w:rPr>
          <w:rFonts w:ascii="Arial" w:hAnsi="Arial" w:cs="Arial"/>
          <w:sz w:val="24"/>
          <w:szCs w:val="24"/>
        </w:rPr>
        <w:t>, </w:t>
      </w:r>
      <w:r w:rsidRPr="00A805BC">
        <w:rPr>
          <w:rFonts w:ascii="Arial" w:hAnsi="Arial" w:cs="Arial"/>
          <w:i/>
          <w:iCs/>
          <w:sz w:val="24"/>
          <w:szCs w:val="24"/>
        </w:rPr>
        <w:t>56</w:t>
      </w:r>
      <w:r w:rsidRPr="00A805BC">
        <w:rPr>
          <w:rFonts w:ascii="Arial" w:hAnsi="Arial" w:cs="Arial"/>
          <w:sz w:val="24"/>
          <w:szCs w:val="24"/>
        </w:rPr>
        <w:t>(4), pp.1610-1630.</w:t>
      </w:r>
    </w:p>
    <w:p w14:paraId="2946CD76" w14:textId="77777777" w:rsidR="00C02ED9" w:rsidRPr="00A805BC" w:rsidRDefault="00C02ED9" w:rsidP="00A805BC">
      <w:pPr>
        <w:spacing w:after="0" w:line="360" w:lineRule="auto"/>
        <w:ind w:left="720" w:hanging="720"/>
        <w:jc w:val="both"/>
        <w:rPr>
          <w:rFonts w:ascii="Arial" w:hAnsi="Arial" w:cs="Arial"/>
          <w:sz w:val="24"/>
          <w:szCs w:val="24"/>
        </w:rPr>
      </w:pPr>
      <w:proofErr w:type="spellStart"/>
      <w:r w:rsidRPr="00A805BC">
        <w:rPr>
          <w:rFonts w:ascii="Arial" w:hAnsi="Arial" w:cs="Arial"/>
          <w:sz w:val="24"/>
          <w:szCs w:val="24"/>
        </w:rPr>
        <w:t>Skouteris</w:t>
      </w:r>
      <w:proofErr w:type="spellEnd"/>
      <w:r w:rsidRPr="00A805BC">
        <w:rPr>
          <w:rFonts w:ascii="Arial" w:hAnsi="Arial" w:cs="Arial"/>
          <w:sz w:val="24"/>
          <w:szCs w:val="24"/>
        </w:rPr>
        <w:t>, H., Green, R., Chung, A., Bergmeier, H., Amir, L.H., Baidwan, S.K., Chater, A.M., Chamberlain, C., Emond, R., Gibbons, K. and Gooey, M., 2022. Nurturing children's development through healthy eating and active living: Time for policies to support effective interventions in the context of responsive emotional support and early learning. </w:t>
      </w:r>
      <w:r w:rsidRPr="00A805BC">
        <w:rPr>
          <w:rFonts w:ascii="Arial" w:hAnsi="Arial" w:cs="Arial"/>
          <w:i/>
          <w:iCs/>
          <w:sz w:val="24"/>
          <w:szCs w:val="24"/>
        </w:rPr>
        <w:t>Health &amp; social care in the community</w:t>
      </w:r>
      <w:r w:rsidRPr="00A805BC">
        <w:rPr>
          <w:rFonts w:ascii="Arial" w:hAnsi="Arial" w:cs="Arial"/>
          <w:sz w:val="24"/>
          <w:szCs w:val="24"/>
        </w:rPr>
        <w:t>, </w:t>
      </w:r>
      <w:r w:rsidRPr="00A805BC">
        <w:rPr>
          <w:rFonts w:ascii="Arial" w:hAnsi="Arial" w:cs="Arial"/>
          <w:i/>
          <w:iCs/>
          <w:sz w:val="24"/>
          <w:szCs w:val="24"/>
        </w:rPr>
        <w:t>30</w:t>
      </w:r>
      <w:r w:rsidRPr="00A805BC">
        <w:rPr>
          <w:rFonts w:ascii="Arial" w:hAnsi="Arial" w:cs="Arial"/>
          <w:sz w:val="24"/>
          <w:szCs w:val="24"/>
        </w:rPr>
        <w:t xml:space="preserve">(6), </w:t>
      </w:r>
      <w:proofErr w:type="gramStart"/>
      <w:r w:rsidRPr="00A805BC">
        <w:rPr>
          <w:rFonts w:ascii="Arial" w:hAnsi="Arial" w:cs="Arial"/>
          <w:sz w:val="24"/>
          <w:szCs w:val="24"/>
        </w:rPr>
        <w:t>pp.e</w:t>
      </w:r>
      <w:proofErr w:type="gramEnd"/>
      <w:r w:rsidRPr="00A805BC">
        <w:rPr>
          <w:rFonts w:ascii="Arial" w:hAnsi="Arial" w:cs="Arial"/>
          <w:sz w:val="24"/>
          <w:szCs w:val="24"/>
        </w:rPr>
        <w:t>6719-e6729.</w:t>
      </w:r>
    </w:p>
    <w:p w14:paraId="1C44F9EB" w14:textId="77777777" w:rsidR="00C02ED9" w:rsidRPr="00A805BC" w:rsidRDefault="00C02ED9" w:rsidP="00A805BC">
      <w:pPr>
        <w:spacing w:after="0" w:line="360" w:lineRule="auto"/>
        <w:ind w:left="720" w:hanging="720"/>
        <w:jc w:val="both"/>
        <w:rPr>
          <w:rFonts w:ascii="Arial" w:hAnsi="Arial" w:cs="Arial"/>
          <w:sz w:val="24"/>
          <w:szCs w:val="24"/>
          <w:lang w:val="en-US"/>
        </w:rPr>
      </w:pPr>
      <w:r w:rsidRPr="00A805BC">
        <w:rPr>
          <w:rFonts w:ascii="Arial" w:hAnsi="Arial" w:cs="Arial"/>
          <w:sz w:val="24"/>
          <w:szCs w:val="24"/>
          <w:lang w:val="en-US"/>
        </w:rPr>
        <w:lastRenderedPageBreak/>
        <w:t xml:space="preserve">Social Work England (2019) </w:t>
      </w:r>
      <w:r w:rsidRPr="00A805BC">
        <w:rPr>
          <w:rFonts w:ascii="Arial" w:hAnsi="Arial" w:cs="Arial"/>
          <w:i/>
          <w:iCs/>
          <w:sz w:val="24"/>
          <w:szCs w:val="24"/>
          <w:lang w:val="en-US"/>
        </w:rPr>
        <w:t>Professional Standards</w:t>
      </w:r>
      <w:r w:rsidRPr="00A805BC">
        <w:rPr>
          <w:rFonts w:ascii="Arial" w:hAnsi="Arial" w:cs="Arial"/>
          <w:sz w:val="24"/>
          <w:szCs w:val="24"/>
          <w:lang w:val="en-US"/>
        </w:rPr>
        <w:t xml:space="preserve">. Sheffield: Social Work England. Available at: </w:t>
      </w:r>
      <w:hyperlink r:id="rId13" w:tgtFrame="_blank" w:history="1">
        <w:r w:rsidRPr="00A805BC">
          <w:rPr>
            <w:rStyle w:val="Hyperlink"/>
            <w:rFonts w:ascii="Arial" w:hAnsi="Arial" w:cs="Arial"/>
            <w:sz w:val="24"/>
            <w:szCs w:val="24"/>
            <w:lang w:val="en-US"/>
          </w:rPr>
          <w:t>Professional Standards</w:t>
        </w:r>
      </w:hyperlink>
      <w:r w:rsidRPr="00A805BC">
        <w:rPr>
          <w:rFonts w:ascii="Arial" w:hAnsi="Arial" w:cs="Arial"/>
          <w:sz w:val="24"/>
          <w:szCs w:val="24"/>
          <w:lang w:val="en-US"/>
        </w:rPr>
        <w:t xml:space="preserve"> (Accessed: 20 August 2026). </w:t>
      </w:r>
    </w:p>
    <w:p w14:paraId="1D346A44" w14:textId="77777777" w:rsidR="00C02ED9" w:rsidRDefault="00C02ED9" w:rsidP="00A805BC">
      <w:pPr>
        <w:spacing w:after="0" w:line="360" w:lineRule="auto"/>
        <w:ind w:left="720" w:hanging="720"/>
        <w:rPr>
          <w:rFonts w:ascii="Arial" w:hAnsi="Arial" w:cs="Arial"/>
          <w:sz w:val="24"/>
          <w:szCs w:val="24"/>
        </w:rPr>
      </w:pPr>
      <w:r w:rsidRPr="00A805BC">
        <w:rPr>
          <w:rFonts w:ascii="Arial" w:hAnsi="Arial" w:cs="Arial"/>
          <w:sz w:val="24"/>
          <w:szCs w:val="24"/>
        </w:rPr>
        <w:t>Voogt, S.J., Pratt, K. and Rollet, A., 2022. Patient communication: practical strategies for better interactions. </w:t>
      </w:r>
      <w:r w:rsidRPr="00A805BC">
        <w:rPr>
          <w:rFonts w:ascii="Arial" w:hAnsi="Arial" w:cs="Arial"/>
          <w:i/>
          <w:iCs/>
          <w:sz w:val="24"/>
          <w:szCs w:val="24"/>
        </w:rPr>
        <w:t>Family practice management</w:t>
      </w:r>
      <w:r w:rsidRPr="00A805BC">
        <w:rPr>
          <w:rFonts w:ascii="Arial" w:hAnsi="Arial" w:cs="Arial"/>
          <w:sz w:val="24"/>
          <w:szCs w:val="24"/>
        </w:rPr>
        <w:t>, </w:t>
      </w:r>
      <w:r w:rsidRPr="00A805BC">
        <w:rPr>
          <w:rFonts w:ascii="Arial" w:hAnsi="Arial" w:cs="Arial"/>
          <w:i/>
          <w:iCs/>
          <w:sz w:val="24"/>
          <w:szCs w:val="24"/>
        </w:rPr>
        <w:t>29</w:t>
      </w:r>
      <w:r w:rsidRPr="00A805BC">
        <w:rPr>
          <w:rFonts w:ascii="Arial" w:hAnsi="Arial" w:cs="Arial"/>
          <w:sz w:val="24"/>
          <w:szCs w:val="24"/>
        </w:rPr>
        <w:t>(2), pp.12-16.</w:t>
      </w:r>
    </w:p>
    <w:sectPr w:rsidR="00C02ED9" w:rsidSect="00D676C3">
      <w:headerReference w:type="even" r:id="rId14"/>
      <w:head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5C817" w14:textId="77777777" w:rsidR="009A5329" w:rsidRDefault="009A5329" w:rsidP="003C7C97">
      <w:pPr>
        <w:spacing w:after="0" w:line="240" w:lineRule="auto"/>
      </w:pPr>
      <w:r>
        <w:separator/>
      </w:r>
    </w:p>
  </w:endnote>
  <w:endnote w:type="continuationSeparator" w:id="0">
    <w:p w14:paraId="7FF4D194" w14:textId="77777777" w:rsidR="009A5329" w:rsidRDefault="009A5329"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61582" w14:textId="77777777" w:rsidR="009A5329" w:rsidRDefault="009A5329" w:rsidP="003C7C97">
      <w:pPr>
        <w:spacing w:after="0" w:line="240" w:lineRule="auto"/>
      </w:pPr>
      <w:r>
        <w:separator/>
      </w:r>
    </w:p>
  </w:footnote>
  <w:footnote w:type="continuationSeparator" w:id="0">
    <w:p w14:paraId="4C573F5B" w14:textId="77777777" w:rsidR="009A5329" w:rsidRDefault="009A5329"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sidRPr="00A805BC">
          <w:rPr>
            <w:rStyle w:val="PageNumber"/>
            <w:rFonts w:ascii="Arial" w:hAnsi="Arial" w:cs="Arial"/>
          </w:rPr>
          <w:fldChar w:fldCharType="begin"/>
        </w:r>
        <w:r w:rsidRPr="00A805BC">
          <w:rPr>
            <w:rStyle w:val="PageNumber"/>
            <w:rFonts w:ascii="Arial" w:hAnsi="Arial" w:cs="Arial"/>
          </w:rPr>
          <w:instrText xml:space="preserve"> PAGE </w:instrText>
        </w:r>
        <w:r w:rsidRPr="00A805BC">
          <w:rPr>
            <w:rStyle w:val="PageNumber"/>
            <w:rFonts w:ascii="Arial" w:hAnsi="Arial" w:cs="Arial"/>
          </w:rPr>
          <w:fldChar w:fldCharType="separate"/>
        </w:r>
        <w:r w:rsidR="00237762" w:rsidRPr="00A805BC">
          <w:rPr>
            <w:rStyle w:val="PageNumber"/>
            <w:rFonts w:ascii="Arial" w:hAnsi="Arial" w:cs="Arial"/>
            <w:noProof/>
          </w:rPr>
          <w:t>3</w:t>
        </w:r>
        <w:r w:rsidRPr="00A805BC">
          <w:rPr>
            <w:rStyle w:val="PageNumber"/>
            <w:rFonts w:ascii="Arial" w:hAnsi="Arial" w:cs="Arial"/>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F412FF60"/>
    <w:lvl w:ilvl="0" w:tplc="AB94D9F6">
      <w:start w:val="1"/>
      <w:numFmt w:val="bullet"/>
      <w:lvlText w:val=""/>
      <w:lvlJc w:val="left"/>
      <w:pPr>
        <w:ind w:left="720" w:hanging="360"/>
      </w:pPr>
      <w:rPr>
        <w:rFonts w:ascii="Symbol" w:hAnsi="Symbol" w:hint="default"/>
      </w:rPr>
    </w:lvl>
    <w:lvl w:ilvl="1" w:tplc="4D065E8A">
      <w:start w:val="1"/>
      <w:numFmt w:val="bullet"/>
      <w:lvlText w:val="o"/>
      <w:lvlJc w:val="left"/>
      <w:pPr>
        <w:ind w:left="1440" w:hanging="360"/>
      </w:pPr>
      <w:rPr>
        <w:rFonts w:ascii="Courier New" w:hAnsi="Courier New" w:hint="default"/>
      </w:rPr>
    </w:lvl>
    <w:lvl w:ilvl="2" w:tplc="6E52D232">
      <w:start w:val="1"/>
      <w:numFmt w:val="bullet"/>
      <w:lvlText w:val=""/>
      <w:lvlJc w:val="left"/>
      <w:pPr>
        <w:ind w:left="2160" w:hanging="360"/>
      </w:pPr>
      <w:rPr>
        <w:rFonts w:ascii="Wingdings" w:hAnsi="Wingdings" w:hint="default"/>
      </w:rPr>
    </w:lvl>
    <w:lvl w:ilvl="3" w:tplc="4606B960">
      <w:start w:val="1"/>
      <w:numFmt w:val="bullet"/>
      <w:lvlText w:val=""/>
      <w:lvlJc w:val="left"/>
      <w:pPr>
        <w:ind w:left="2880" w:hanging="360"/>
      </w:pPr>
      <w:rPr>
        <w:rFonts w:ascii="Symbol" w:hAnsi="Symbol" w:hint="default"/>
      </w:rPr>
    </w:lvl>
    <w:lvl w:ilvl="4" w:tplc="2714780C">
      <w:start w:val="1"/>
      <w:numFmt w:val="bullet"/>
      <w:lvlText w:val="o"/>
      <w:lvlJc w:val="left"/>
      <w:pPr>
        <w:ind w:left="3600" w:hanging="360"/>
      </w:pPr>
      <w:rPr>
        <w:rFonts w:ascii="Courier New" w:hAnsi="Courier New" w:hint="default"/>
      </w:rPr>
    </w:lvl>
    <w:lvl w:ilvl="5" w:tplc="D2582BE0">
      <w:start w:val="1"/>
      <w:numFmt w:val="bullet"/>
      <w:lvlText w:val=""/>
      <w:lvlJc w:val="left"/>
      <w:pPr>
        <w:ind w:left="4320" w:hanging="360"/>
      </w:pPr>
      <w:rPr>
        <w:rFonts w:ascii="Wingdings" w:hAnsi="Wingdings" w:hint="default"/>
      </w:rPr>
    </w:lvl>
    <w:lvl w:ilvl="6" w:tplc="BF5490C2">
      <w:start w:val="1"/>
      <w:numFmt w:val="bullet"/>
      <w:lvlText w:val=""/>
      <w:lvlJc w:val="left"/>
      <w:pPr>
        <w:ind w:left="5040" w:hanging="360"/>
      </w:pPr>
      <w:rPr>
        <w:rFonts w:ascii="Symbol" w:hAnsi="Symbol" w:hint="default"/>
      </w:rPr>
    </w:lvl>
    <w:lvl w:ilvl="7" w:tplc="D68C5DAA">
      <w:start w:val="1"/>
      <w:numFmt w:val="bullet"/>
      <w:lvlText w:val="o"/>
      <w:lvlJc w:val="left"/>
      <w:pPr>
        <w:ind w:left="5760" w:hanging="360"/>
      </w:pPr>
      <w:rPr>
        <w:rFonts w:ascii="Courier New" w:hAnsi="Courier New" w:hint="default"/>
      </w:rPr>
    </w:lvl>
    <w:lvl w:ilvl="8" w:tplc="97BE022A">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9F18D906"/>
    <w:lvl w:ilvl="0" w:tplc="6FF8EB1C">
      <w:start w:val="1"/>
      <w:numFmt w:val="bullet"/>
      <w:lvlText w:val=""/>
      <w:lvlJc w:val="left"/>
      <w:pPr>
        <w:ind w:left="720" w:hanging="360"/>
      </w:pPr>
      <w:rPr>
        <w:rFonts w:ascii="Symbol" w:hAnsi="Symbol" w:hint="default"/>
      </w:rPr>
    </w:lvl>
    <w:lvl w:ilvl="1" w:tplc="4CCC96E4">
      <w:start w:val="1"/>
      <w:numFmt w:val="bullet"/>
      <w:lvlText w:val="o"/>
      <w:lvlJc w:val="left"/>
      <w:pPr>
        <w:ind w:left="1440" w:hanging="360"/>
      </w:pPr>
      <w:rPr>
        <w:rFonts w:ascii="Courier New" w:hAnsi="Courier New" w:hint="default"/>
      </w:rPr>
    </w:lvl>
    <w:lvl w:ilvl="2" w:tplc="34447D8E">
      <w:start w:val="1"/>
      <w:numFmt w:val="bullet"/>
      <w:lvlText w:val=""/>
      <w:lvlJc w:val="left"/>
      <w:pPr>
        <w:ind w:left="2160" w:hanging="360"/>
      </w:pPr>
      <w:rPr>
        <w:rFonts w:ascii="Wingdings" w:hAnsi="Wingdings" w:hint="default"/>
      </w:rPr>
    </w:lvl>
    <w:lvl w:ilvl="3" w:tplc="10D40C44">
      <w:start w:val="1"/>
      <w:numFmt w:val="bullet"/>
      <w:lvlText w:val=""/>
      <w:lvlJc w:val="left"/>
      <w:pPr>
        <w:ind w:left="2880" w:hanging="360"/>
      </w:pPr>
      <w:rPr>
        <w:rFonts w:ascii="Symbol" w:hAnsi="Symbol" w:hint="default"/>
      </w:rPr>
    </w:lvl>
    <w:lvl w:ilvl="4" w:tplc="0FCA2C52">
      <w:start w:val="1"/>
      <w:numFmt w:val="bullet"/>
      <w:lvlText w:val="o"/>
      <w:lvlJc w:val="left"/>
      <w:pPr>
        <w:ind w:left="3600" w:hanging="360"/>
      </w:pPr>
      <w:rPr>
        <w:rFonts w:ascii="Courier New" w:hAnsi="Courier New" w:hint="default"/>
      </w:rPr>
    </w:lvl>
    <w:lvl w:ilvl="5" w:tplc="C0146E44">
      <w:start w:val="1"/>
      <w:numFmt w:val="bullet"/>
      <w:lvlText w:val=""/>
      <w:lvlJc w:val="left"/>
      <w:pPr>
        <w:ind w:left="4320" w:hanging="360"/>
      </w:pPr>
      <w:rPr>
        <w:rFonts w:ascii="Wingdings" w:hAnsi="Wingdings" w:hint="default"/>
      </w:rPr>
    </w:lvl>
    <w:lvl w:ilvl="6" w:tplc="98B84CB4">
      <w:start w:val="1"/>
      <w:numFmt w:val="bullet"/>
      <w:lvlText w:val=""/>
      <w:lvlJc w:val="left"/>
      <w:pPr>
        <w:ind w:left="5040" w:hanging="360"/>
      </w:pPr>
      <w:rPr>
        <w:rFonts w:ascii="Symbol" w:hAnsi="Symbol" w:hint="default"/>
      </w:rPr>
    </w:lvl>
    <w:lvl w:ilvl="7" w:tplc="E84C40B4">
      <w:start w:val="1"/>
      <w:numFmt w:val="bullet"/>
      <w:lvlText w:val="o"/>
      <w:lvlJc w:val="left"/>
      <w:pPr>
        <w:ind w:left="5760" w:hanging="360"/>
      </w:pPr>
      <w:rPr>
        <w:rFonts w:ascii="Courier New" w:hAnsi="Courier New" w:hint="default"/>
      </w:rPr>
    </w:lvl>
    <w:lvl w:ilvl="8" w:tplc="9DFEAAAA">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CC78BE1A"/>
    <w:lvl w:ilvl="0" w:tplc="5D0C1A62">
      <w:start w:val="1"/>
      <w:numFmt w:val="bullet"/>
      <w:lvlText w:val=""/>
      <w:lvlJc w:val="left"/>
      <w:pPr>
        <w:ind w:left="720" w:hanging="360"/>
      </w:pPr>
      <w:rPr>
        <w:rFonts w:ascii="Symbol" w:hAnsi="Symbol" w:hint="default"/>
      </w:rPr>
    </w:lvl>
    <w:lvl w:ilvl="1" w:tplc="63C26304">
      <w:start w:val="1"/>
      <w:numFmt w:val="bullet"/>
      <w:lvlText w:val="o"/>
      <w:lvlJc w:val="left"/>
      <w:pPr>
        <w:ind w:left="1440" w:hanging="360"/>
      </w:pPr>
      <w:rPr>
        <w:rFonts w:ascii="Courier New" w:hAnsi="Courier New" w:hint="default"/>
      </w:rPr>
    </w:lvl>
    <w:lvl w:ilvl="2" w:tplc="08227B54">
      <w:start w:val="1"/>
      <w:numFmt w:val="bullet"/>
      <w:lvlText w:val=""/>
      <w:lvlJc w:val="left"/>
      <w:pPr>
        <w:ind w:left="2160" w:hanging="360"/>
      </w:pPr>
      <w:rPr>
        <w:rFonts w:ascii="Wingdings" w:hAnsi="Wingdings" w:hint="default"/>
      </w:rPr>
    </w:lvl>
    <w:lvl w:ilvl="3" w:tplc="CCD6B352">
      <w:start w:val="1"/>
      <w:numFmt w:val="bullet"/>
      <w:lvlText w:val=""/>
      <w:lvlJc w:val="left"/>
      <w:pPr>
        <w:ind w:left="2880" w:hanging="360"/>
      </w:pPr>
      <w:rPr>
        <w:rFonts w:ascii="Symbol" w:hAnsi="Symbol" w:hint="default"/>
      </w:rPr>
    </w:lvl>
    <w:lvl w:ilvl="4" w:tplc="DD64EDDA">
      <w:start w:val="1"/>
      <w:numFmt w:val="bullet"/>
      <w:lvlText w:val="o"/>
      <w:lvlJc w:val="left"/>
      <w:pPr>
        <w:ind w:left="3600" w:hanging="360"/>
      </w:pPr>
      <w:rPr>
        <w:rFonts w:ascii="Courier New" w:hAnsi="Courier New" w:hint="default"/>
      </w:rPr>
    </w:lvl>
    <w:lvl w:ilvl="5" w:tplc="5F769108">
      <w:start w:val="1"/>
      <w:numFmt w:val="bullet"/>
      <w:lvlText w:val=""/>
      <w:lvlJc w:val="left"/>
      <w:pPr>
        <w:ind w:left="4320" w:hanging="360"/>
      </w:pPr>
      <w:rPr>
        <w:rFonts w:ascii="Wingdings" w:hAnsi="Wingdings" w:hint="default"/>
      </w:rPr>
    </w:lvl>
    <w:lvl w:ilvl="6" w:tplc="518A9984">
      <w:start w:val="1"/>
      <w:numFmt w:val="bullet"/>
      <w:lvlText w:val=""/>
      <w:lvlJc w:val="left"/>
      <w:pPr>
        <w:ind w:left="5040" w:hanging="360"/>
      </w:pPr>
      <w:rPr>
        <w:rFonts w:ascii="Symbol" w:hAnsi="Symbol" w:hint="default"/>
      </w:rPr>
    </w:lvl>
    <w:lvl w:ilvl="7" w:tplc="E1E0DF14">
      <w:start w:val="1"/>
      <w:numFmt w:val="bullet"/>
      <w:lvlText w:val="o"/>
      <w:lvlJc w:val="left"/>
      <w:pPr>
        <w:ind w:left="5760" w:hanging="360"/>
      </w:pPr>
      <w:rPr>
        <w:rFonts w:ascii="Courier New" w:hAnsi="Courier New" w:hint="default"/>
      </w:rPr>
    </w:lvl>
    <w:lvl w:ilvl="8" w:tplc="7C1A5EEA">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37A2CBE8"/>
    <w:lvl w:ilvl="0" w:tplc="1AA6AC62">
      <w:start w:val="1"/>
      <w:numFmt w:val="bullet"/>
      <w:lvlText w:val=""/>
      <w:lvlJc w:val="left"/>
      <w:pPr>
        <w:ind w:left="720" w:hanging="360"/>
      </w:pPr>
      <w:rPr>
        <w:rFonts w:ascii="Symbol" w:hAnsi="Symbol" w:hint="default"/>
      </w:rPr>
    </w:lvl>
    <w:lvl w:ilvl="1" w:tplc="A7A61DEC">
      <w:start w:val="1"/>
      <w:numFmt w:val="bullet"/>
      <w:lvlText w:val="o"/>
      <w:lvlJc w:val="left"/>
      <w:pPr>
        <w:ind w:left="1440" w:hanging="360"/>
      </w:pPr>
      <w:rPr>
        <w:rFonts w:ascii="Courier New" w:hAnsi="Courier New" w:hint="default"/>
      </w:rPr>
    </w:lvl>
    <w:lvl w:ilvl="2" w:tplc="2BD64020">
      <w:start w:val="1"/>
      <w:numFmt w:val="bullet"/>
      <w:lvlText w:val=""/>
      <w:lvlJc w:val="left"/>
      <w:pPr>
        <w:ind w:left="2160" w:hanging="360"/>
      </w:pPr>
      <w:rPr>
        <w:rFonts w:ascii="Wingdings" w:hAnsi="Wingdings" w:hint="default"/>
      </w:rPr>
    </w:lvl>
    <w:lvl w:ilvl="3" w:tplc="8A184BC2">
      <w:start w:val="1"/>
      <w:numFmt w:val="bullet"/>
      <w:lvlText w:val=""/>
      <w:lvlJc w:val="left"/>
      <w:pPr>
        <w:ind w:left="2880" w:hanging="360"/>
      </w:pPr>
      <w:rPr>
        <w:rFonts w:ascii="Symbol" w:hAnsi="Symbol" w:hint="default"/>
      </w:rPr>
    </w:lvl>
    <w:lvl w:ilvl="4" w:tplc="BB2AE2CE">
      <w:start w:val="1"/>
      <w:numFmt w:val="bullet"/>
      <w:lvlText w:val="o"/>
      <w:lvlJc w:val="left"/>
      <w:pPr>
        <w:ind w:left="3600" w:hanging="360"/>
      </w:pPr>
      <w:rPr>
        <w:rFonts w:ascii="Courier New" w:hAnsi="Courier New" w:hint="default"/>
      </w:rPr>
    </w:lvl>
    <w:lvl w:ilvl="5" w:tplc="7ED07AF2">
      <w:start w:val="1"/>
      <w:numFmt w:val="bullet"/>
      <w:lvlText w:val=""/>
      <w:lvlJc w:val="left"/>
      <w:pPr>
        <w:ind w:left="4320" w:hanging="360"/>
      </w:pPr>
      <w:rPr>
        <w:rFonts w:ascii="Wingdings" w:hAnsi="Wingdings" w:hint="default"/>
      </w:rPr>
    </w:lvl>
    <w:lvl w:ilvl="6" w:tplc="FEEAF544">
      <w:start w:val="1"/>
      <w:numFmt w:val="bullet"/>
      <w:lvlText w:val=""/>
      <w:lvlJc w:val="left"/>
      <w:pPr>
        <w:ind w:left="5040" w:hanging="360"/>
      </w:pPr>
      <w:rPr>
        <w:rFonts w:ascii="Symbol" w:hAnsi="Symbol" w:hint="default"/>
      </w:rPr>
    </w:lvl>
    <w:lvl w:ilvl="7" w:tplc="B73890BA">
      <w:start w:val="1"/>
      <w:numFmt w:val="bullet"/>
      <w:lvlText w:val="o"/>
      <w:lvlJc w:val="left"/>
      <w:pPr>
        <w:ind w:left="5760" w:hanging="360"/>
      </w:pPr>
      <w:rPr>
        <w:rFonts w:ascii="Courier New" w:hAnsi="Courier New" w:hint="default"/>
      </w:rPr>
    </w:lvl>
    <w:lvl w:ilvl="8" w:tplc="CD0A6E84">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E5F6D046"/>
    <w:lvl w:ilvl="0" w:tplc="AC0CDA98">
      <w:start w:val="1"/>
      <w:numFmt w:val="bullet"/>
      <w:lvlText w:val=""/>
      <w:lvlJc w:val="left"/>
      <w:pPr>
        <w:ind w:left="720" w:hanging="360"/>
      </w:pPr>
      <w:rPr>
        <w:rFonts w:ascii="Symbol" w:hAnsi="Symbol" w:hint="default"/>
      </w:rPr>
    </w:lvl>
    <w:lvl w:ilvl="1" w:tplc="AFCE02D4">
      <w:start w:val="1"/>
      <w:numFmt w:val="bullet"/>
      <w:lvlText w:val="o"/>
      <w:lvlJc w:val="left"/>
      <w:pPr>
        <w:ind w:left="1440" w:hanging="360"/>
      </w:pPr>
      <w:rPr>
        <w:rFonts w:ascii="Courier New" w:hAnsi="Courier New" w:hint="default"/>
      </w:rPr>
    </w:lvl>
    <w:lvl w:ilvl="2" w:tplc="BCC0919E">
      <w:start w:val="1"/>
      <w:numFmt w:val="bullet"/>
      <w:lvlText w:val=""/>
      <w:lvlJc w:val="left"/>
      <w:pPr>
        <w:ind w:left="2160" w:hanging="360"/>
      </w:pPr>
      <w:rPr>
        <w:rFonts w:ascii="Wingdings" w:hAnsi="Wingdings" w:hint="default"/>
      </w:rPr>
    </w:lvl>
    <w:lvl w:ilvl="3" w:tplc="DF962906">
      <w:start w:val="1"/>
      <w:numFmt w:val="bullet"/>
      <w:lvlText w:val=""/>
      <w:lvlJc w:val="left"/>
      <w:pPr>
        <w:ind w:left="2880" w:hanging="360"/>
      </w:pPr>
      <w:rPr>
        <w:rFonts w:ascii="Symbol" w:hAnsi="Symbol" w:hint="default"/>
      </w:rPr>
    </w:lvl>
    <w:lvl w:ilvl="4" w:tplc="38904D50">
      <w:start w:val="1"/>
      <w:numFmt w:val="bullet"/>
      <w:lvlText w:val="o"/>
      <w:lvlJc w:val="left"/>
      <w:pPr>
        <w:ind w:left="3600" w:hanging="360"/>
      </w:pPr>
      <w:rPr>
        <w:rFonts w:ascii="Courier New" w:hAnsi="Courier New" w:hint="default"/>
      </w:rPr>
    </w:lvl>
    <w:lvl w:ilvl="5" w:tplc="79423A4A">
      <w:start w:val="1"/>
      <w:numFmt w:val="bullet"/>
      <w:lvlText w:val=""/>
      <w:lvlJc w:val="left"/>
      <w:pPr>
        <w:ind w:left="4320" w:hanging="360"/>
      </w:pPr>
      <w:rPr>
        <w:rFonts w:ascii="Wingdings" w:hAnsi="Wingdings" w:hint="default"/>
      </w:rPr>
    </w:lvl>
    <w:lvl w:ilvl="6" w:tplc="99FA7622">
      <w:start w:val="1"/>
      <w:numFmt w:val="bullet"/>
      <w:lvlText w:val=""/>
      <w:lvlJc w:val="left"/>
      <w:pPr>
        <w:ind w:left="5040" w:hanging="360"/>
      </w:pPr>
      <w:rPr>
        <w:rFonts w:ascii="Symbol" w:hAnsi="Symbol" w:hint="default"/>
      </w:rPr>
    </w:lvl>
    <w:lvl w:ilvl="7" w:tplc="9B82465C">
      <w:start w:val="1"/>
      <w:numFmt w:val="bullet"/>
      <w:lvlText w:val="o"/>
      <w:lvlJc w:val="left"/>
      <w:pPr>
        <w:ind w:left="5760" w:hanging="360"/>
      </w:pPr>
      <w:rPr>
        <w:rFonts w:ascii="Courier New" w:hAnsi="Courier New" w:hint="default"/>
      </w:rPr>
    </w:lvl>
    <w:lvl w:ilvl="8" w:tplc="A8229774">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4936F6BC"/>
    <w:lvl w:ilvl="0" w:tplc="0D9A35E2">
      <w:start w:val="1"/>
      <w:numFmt w:val="bullet"/>
      <w:lvlText w:val=""/>
      <w:lvlJc w:val="left"/>
      <w:pPr>
        <w:ind w:left="720" w:hanging="360"/>
      </w:pPr>
      <w:rPr>
        <w:rFonts w:ascii="Symbol" w:hAnsi="Symbol" w:hint="default"/>
      </w:rPr>
    </w:lvl>
    <w:lvl w:ilvl="1" w:tplc="9CD64FE4">
      <w:start w:val="1"/>
      <w:numFmt w:val="bullet"/>
      <w:lvlText w:val="o"/>
      <w:lvlJc w:val="left"/>
      <w:pPr>
        <w:ind w:left="1440" w:hanging="360"/>
      </w:pPr>
      <w:rPr>
        <w:rFonts w:ascii="Courier New" w:hAnsi="Courier New" w:hint="default"/>
      </w:rPr>
    </w:lvl>
    <w:lvl w:ilvl="2" w:tplc="4EB4B494">
      <w:start w:val="1"/>
      <w:numFmt w:val="bullet"/>
      <w:lvlText w:val=""/>
      <w:lvlJc w:val="left"/>
      <w:pPr>
        <w:ind w:left="2160" w:hanging="360"/>
      </w:pPr>
      <w:rPr>
        <w:rFonts w:ascii="Wingdings" w:hAnsi="Wingdings" w:hint="default"/>
      </w:rPr>
    </w:lvl>
    <w:lvl w:ilvl="3" w:tplc="3C260DEA">
      <w:start w:val="1"/>
      <w:numFmt w:val="bullet"/>
      <w:lvlText w:val=""/>
      <w:lvlJc w:val="left"/>
      <w:pPr>
        <w:ind w:left="2880" w:hanging="360"/>
      </w:pPr>
      <w:rPr>
        <w:rFonts w:ascii="Symbol" w:hAnsi="Symbol" w:hint="default"/>
      </w:rPr>
    </w:lvl>
    <w:lvl w:ilvl="4" w:tplc="1332C0F6">
      <w:start w:val="1"/>
      <w:numFmt w:val="bullet"/>
      <w:lvlText w:val="o"/>
      <w:lvlJc w:val="left"/>
      <w:pPr>
        <w:ind w:left="3600" w:hanging="360"/>
      </w:pPr>
      <w:rPr>
        <w:rFonts w:ascii="Courier New" w:hAnsi="Courier New" w:hint="default"/>
      </w:rPr>
    </w:lvl>
    <w:lvl w:ilvl="5" w:tplc="35EABF68">
      <w:start w:val="1"/>
      <w:numFmt w:val="bullet"/>
      <w:lvlText w:val=""/>
      <w:lvlJc w:val="left"/>
      <w:pPr>
        <w:ind w:left="4320" w:hanging="360"/>
      </w:pPr>
      <w:rPr>
        <w:rFonts w:ascii="Wingdings" w:hAnsi="Wingdings" w:hint="default"/>
      </w:rPr>
    </w:lvl>
    <w:lvl w:ilvl="6" w:tplc="79D20998">
      <w:start w:val="1"/>
      <w:numFmt w:val="bullet"/>
      <w:lvlText w:val=""/>
      <w:lvlJc w:val="left"/>
      <w:pPr>
        <w:ind w:left="5040" w:hanging="360"/>
      </w:pPr>
      <w:rPr>
        <w:rFonts w:ascii="Symbol" w:hAnsi="Symbol" w:hint="default"/>
      </w:rPr>
    </w:lvl>
    <w:lvl w:ilvl="7" w:tplc="5106B456">
      <w:start w:val="1"/>
      <w:numFmt w:val="bullet"/>
      <w:lvlText w:val="o"/>
      <w:lvlJc w:val="left"/>
      <w:pPr>
        <w:ind w:left="5760" w:hanging="360"/>
      </w:pPr>
      <w:rPr>
        <w:rFonts w:ascii="Courier New" w:hAnsi="Courier New" w:hint="default"/>
      </w:rPr>
    </w:lvl>
    <w:lvl w:ilvl="8" w:tplc="FF749946">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5942900">
    <w:abstractNumId w:val="11"/>
  </w:num>
  <w:num w:numId="2" w16cid:durableId="1899902850">
    <w:abstractNumId w:val="12"/>
  </w:num>
  <w:num w:numId="3" w16cid:durableId="612439231">
    <w:abstractNumId w:val="1"/>
  </w:num>
  <w:num w:numId="4" w16cid:durableId="1051612865">
    <w:abstractNumId w:val="3"/>
  </w:num>
  <w:num w:numId="5" w16cid:durableId="542442311">
    <w:abstractNumId w:val="15"/>
  </w:num>
  <w:num w:numId="6" w16cid:durableId="2027365451">
    <w:abstractNumId w:val="23"/>
  </w:num>
  <w:num w:numId="7" w16cid:durableId="828135323">
    <w:abstractNumId w:val="8"/>
  </w:num>
  <w:num w:numId="8" w16cid:durableId="378554832">
    <w:abstractNumId w:val="2"/>
  </w:num>
  <w:num w:numId="9" w16cid:durableId="168326070">
    <w:abstractNumId w:val="13"/>
  </w:num>
  <w:num w:numId="10" w16cid:durableId="360669545">
    <w:abstractNumId w:val="26"/>
  </w:num>
  <w:num w:numId="11" w16cid:durableId="36510479">
    <w:abstractNumId w:val="21"/>
  </w:num>
  <w:num w:numId="12" w16cid:durableId="620653340">
    <w:abstractNumId w:val="22"/>
  </w:num>
  <w:num w:numId="13" w16cid:durableId="1020819140">
    <w:abstractNumId w:val="27"/>
  </w:num>
  <w:num w:numId="14" w16cid:durableId="2092653857">
    <w:abstractNumId w:val="18"/>
  </w:num>
  <w:num w:numId="15" w16cid:durableId="177500871">
    <w:abstractNumId w:val="5"/>
  </w:num>
  <w:num w:numId="16" w16cid:durableId="1681422444">
    <w:abstractNumId w:val="16"/>
  </w:num>
  <w:num w:numId="17" w16cid:durableId="1096486558">
    <w:abstractNumId w:val="17"/>
  </w:num>
  <w:num w:numId="18" w16cid:durableId="462426033">
    <w:abstractNumId w:val="14"/>
  </w:num>
  <w:num w:numId="19" w16cid:durableId="711610069">
    <w:abstractNumId w:val="20"/>
  </w:num>
  <w:num w:numId="20" w16cid:durableId="335694853">
    <w:abstractNumId w:val="10"/>
  </w:num>
  <w:num w:numId="21" w16cid:durableId="1987006737">
    <w:abstractNumId w:val="4"/>
  </w:num>
  <w:num w:numId="22" w16cid:durableId="1182862501">
    <w:abstractNumId w:val="7"/>
  </w:num>
  <w:num w:numId="23" w16cid:durableId="1126704993">
    <w:abstractNumId w:val="29"/>
  </w:num>
  <w:num w:numId="24" w16cid:durableId="512305773">
    <w:abstractNumId w:val="24"/>
  </w:num>
  <w:num w:numId="25" w16cid:durableId="630283038">
    <w:abstractNumId w:val="9"/>
  </w:num>
  <w:num w:numId="26" w16cid:durableId="1465929904">
    <w:abstractNumId w:val="19"/>
  </w:num>
  <w:num w:numId="27" w16cid:durableId="1653826275">
    <w:abstractNumId w:val="31"/>
  </w:num>
  <w:num w:numId="28" w16cid:durableId="921916769">
    <w:abstractNumId w:val="0"/>
  </w:num>
  <w:num w:numId="29" w16cid:durableId="1730375213">
    <w:abstractNumId w:val="25"/>
  </w:num>
  <w:num w:numId="30" w16cid:durableId="334067033">
    <w:abstractNumId w:val="28"/>
  </w:num>
  <w:num w:numId="31" w16cid:durableId="2047833057">
    <w:abstractNumId w:val="30"/>
  </w:num>
  <w:num w:numId="32" w16cid:durableId="1310937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964"/>
    <w:rsid w:val="0001715D"/>
    <w:rsid w:val="00022C42"/>
    <w:rsid w:val="00027B15"/>
    <w:rsid w:val="00030A05"/>
    <w:rsid w:val="00032504"/>
    <w:rsid w:val="00057A30"/>
    <w:rsid w:val="00070818"/>
    <w:rsid w:val="0008238F"/>
    <w:rsid w:val="00082EC6"/>
    <w:rsid w:val="00085388"/>
    <w:rsid w:val="000D41DC"/>
    <w:rsid w:val="00125D37"/>
    <w:rsid w:val="001271E1"/>
    <w:rsid w:val="00127B74"/>
    <w:rsid w:val="00127C1A"/>
    <w:rsid w:val="00150D81"/>
    <w:rsid w:val="00166CEB"/>
    <w:rsid w:val="00183CB9"/>
    <w:rsid w:val="00184A9A"/>
    <w:rsid w:val="001947DF"/>
    <w:rsid w:val="001B22BB"/>
    <w:rsid w:val="001B619C"/>
    <w:rsid w:val="001C4CCE"/>
    <w:rsid w:val="001D1D3C"/>
    <w:rsid w:val="002205D4"/>
    <w:rsid w:val="00222C3A"/>
    <w:rsid w:val="00226D31"/>
    <w:rsid w:val="00236401"/>
    <w:rsid w:val="002370CE"/>
    <w:rsid w:val="00237762"/>
    <w:rsid w:val="00242974"/>
    <w:rsid w:val="002976D4"/>
    <w:rsid w:val="002A5577"/>
    <w:rsid w:val="002B4AA4"/>
    <w:rsid w:val="002E71BA"/>
    <w:rsid w:val="002F5066"/>
    <w:rsid w:val="003003FD"/>
    <w:rsid w:val="00310245"/>
    <w:rsid w:val="00316C95"/>
    <w:rsid w:val="003458DB"/>
    <w:rsid w:val="003523D3"/>
    <w:rsid w:val="00364C35"/>
    <w:rsid w:val="00396F60"/>
    <w:rsid w:val="003A51D6"/>
    <w:rsid w:val="003B06A4"/>
    <w:rsid w:val="003B125E"/>
    <w:rsid w:val="003B2A5E"/>
    <w:rsid w:val="003C7C97"/>
    <w:rsid w:val="00406B8D"/>
    <w:rsid w:val="00410068"/>
    <w:rsid w:val="0041618E"/>
    <w:rsid w:val="0042295C"/>
    <w:rsid w:val="00426EEC"/>
    <w:rsid w:val="004466C3"/>
    <w:rsid w:val="004552CE"/>
    <w:rsid w:val="00481FF7"/>
    <w:rsid w:val="00500295"/>
    <w:rsid w:val="00501AAF"/>
    <w:rsid w:val="00527AFA"/>
    <w:rsid w:val="00535CD1"/>
    <w:rsid w:val="005419DA"/>
    <w:rsid w:val="00547ACF"/>
    <w:rsid w:val="005678AC"/>
    <w:rsid w:val="005679BD"/>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47432"/>
    <w:rsid w:val="00652BB7"/>
    <w:rsid w:val="00661758"/>
    <w:rsid w:val="0067612C"/>
    <w:rsid w:val="00676FEB"/>
    <w:rsid w:val="006912C4"/>
    <w:rsid w:val="006A088C"/>
    <w:rsid w:val="006A5CFC"/>
    <w:rsid w:val="006C5138"/>
    <w:rsid w:val="006C689B"/>
    <w:rsid w:val="006E005C"/>
    <w:rsid w:val="006E6EE5"/>
    <w:rsid w:val="006F0029"/>
    <w:rsid w:val="007138EF"/>
    <w:rsid w:val="00726C61"/>
    <w:rsid w:val="007632A9"/>
    <w:rsid w:val="00774092"/>
    <w:rsid w:val="00782830"/>
    <w:rsid w:val="0078664A"/>
    <w:rsid w:val="007B0F6D"/>
    <w:rsid w:val="007C62C3"/>
    <w:rsid w:val="007D25AA"/>
    <w:rsid w:val="007F0873"/>
    <w:rsid w:val="00805726"/>
    <w:rsid w:val="00815117"/>
    <w:rsid w:val="00824CB1"/>
    <w:rsid w:val="008520F8"/>
    <w:rsid w:val="00855F34"/>
    <w:rsid w:val="008826B6"/>
    <w:rsid w:val="008B0B22"/>
    <w:rsid w:val="008C58B0"/>
    <w:rsid w:val="008C591B"/>
    <w:rsid w:val="008C6182"/>
    <w:rsid w:val="0090779E"/>
    <w:rsid w:val="0091427A"/>
    <w:rsid w:val="00926458"/>
    <w:rsid w:val="00933720"/>
    <w:rsid w:val="0097325F"/>
    <w:rsid w:val="009A5329"/>
    <w:rsid w:val="009C7E52"/>
    <w:rsid w:val="009E4934"/>
    <w:rsid w:val="009F40A7"/>
    <w:rsid w:val="009F5CE6"/>
    <w:rsid w:val="00A035CD"/>
    <w:rsid w:val="00A50E80"/>
    <w:rsid w:val="00A513B0"/>
    <w:rsid w:val="00A63F7F"/>
    <w:rsid w:val="00A667CE"/>
    <w:rsid w:val="00A75042"/>
    <w:rsid w:val="00A774BC"/>
    <w:rsid w:val="00A805BC"/>
    <w:rsid w:val="00A82678"/>
    <w:rsid w:val="00A946CB"/>
    <w:rsid w:val="00AA77C8"/>
    <w:rsid w:val="00AC7BE2"/>
    <w:rsid w:val="00AE35BF"/>
    <w:rsid w:val="00B1067E"/>
    <w:rsid w:val="00B81790"/>
    <w:rsid w:val="00B81BBC"/>
    <w:rsid w:val="00BD03D5"/>
    <w:rsid w:val="00C02ED9"/>
    <w:rsid w:val="00C3215E"/>
    <w:rsid w:val="00C3693E"/>
    <w:rsid w:val="00C45272"/>
    <w:rsid w:val="00C47770"/>
    <w:rsid w:val="00C75856"/>
    <w:rsid w:val="00C85A7C"/>
    <w:rsid w:val="00C95214"/>
    <w:rsid w:val="00CC120D"/>
    <w:rsid w:val="00CC3F59"/>
    <w:rsid w:val="00CD4774"/>
    <w:rsid w:val="00CE1732"/>
    <w:rsid w:val="00D10AAF"/>
    <w:rsid w:val="00D27540"/>
    <w:rsid w:val="00D4006B"/>
    <w:rsid w:val="00D40D7A"/>
    <w:rsid w:val="00D64A0D"/>
    <w:rsid w:val="00D676C3"/>
    <w:rsid w:val="00D750B4"/>
    <w:rsid w:val="00D81C18"/>
    <w:rsid w:val="00D8461A"/>
    <w:rsid w:val="00D95CAF"/>
    <w:rsid w:val="00DB60B6"/>
    <w:rsid w:val="00DC1CC6"/>
    <w:rsid w:val="00DD5135"/>
    <w:rsid w:val="00E067A8"/>
    <w:rsid w:val="00E13924"/>
    <w:rsid w:val="00E15FD5"/>
    <w:rsid w:val="00E1725A"/>
    <w:rsid w:val="00E33758"/>
    <w:rsid w:val="00E53E5E"/>
    <w:rsid w:val="00E64325"/>
    <w:rsid w:val="00E673C5"/>
    <w:rsid w:val="00E67967"/>
    <w:rsid w:val="00E82723"/>
    <w:rsid w:val="00EA29A5"/>
    <w:rsid w:val="00EB1411"/>
    <w:rsid w:val="00EC107C"/>
    <w:rsid w:val="00EC5C89"/>
    <w:rsid w:val="00EC7EBE"/>
    <w:rsid w:val="00EC7FD2"/>
    <w:rsid w:val="00ED5964"/>
    <w:rsid w:val="00F1720B"/>
    <w:rsid w:val="00F36ADC"/>
    <w:rsid w:val="00F605C6"/>
    <w:rsid w:val="00F6785B"/>
    <w:rsid w:val="00F9012D"/>
    <w:rsid w:val="00F915D6"/>
    <w:rsid w:val="00F94629"/>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309211402">
      <w:bodyDiv w:val="1"/>
      <w:marLeft w:val="0"/>
      <w:marRight w:val="0"/>
      <w:marTop w:val="0"/>
      <w:marBottom w:val="0"/>
      <w:divBdr>
        <w:top w:val="none" w:sz="0" w:space="0" w:color="auto"/>
        <w:left w:val="none" w:sz="0" w:space="0" w:color="auto"/>
        <w:bottom w:val="none" w:sz="0" w:space="0" w:color="auto"/>
        <w:right w:val="none" w:sz="0" w:space="0" w:color="auto"/>
      </w:divBdr>
    </w:div>
    <w:div w:id="343821042">
      <w:bodyDiv w:val="1"/>
      <w:marLeft w:val="0"/>
      <w:marRight w:val="0"/>
      <w:marTop w:val="0"/>
      <w:marBottom w:val="0"/>
      <w:divBdr>
        <w:top w:val="none" w:sz="0" w:space="0" w:color="auto"/>
        <w:left w:val="none" w:sz="0" w:space="0" w:color="auto"/>
        <w:bottom w:val="none" w:sz="0" w:space="0" w:color="auto"/>
        <w:right w:val="none" w:sz="0" w:space="0" w:color="auto"/>
      </w:divBdr>
    </w:div>
    <w:div w:id="415782330">
      <w:bodyDiv w:val="1"/>
      <w:marLeft w:val="0"/>
      <w:marRight w:val="0"/>
      <w:marTop w:val="0"/>
      <w:marBottom w:val="0"/>
      <w:divBdr>
        <w:top w:val="none" w:sz="0" w:space="0" w:color="auto"/>
        <w:left w:val="none" w:sz="0" w:space="0" w:color="auto"/>
        <w:bottom w:val="none" w:sz="0" w:space="0" w:color="auto"/>
        <w:right w:val="none" w:sz="0" w:space="0" w:color="auto"/>
      </w:divBdr>
      <w:divsChild>
        <w:div w:id="816846026">
          <w:marLeft w:val="0"/>
          <w:marRight w:val="0"/>
          <w:marTop w:val="0"/>
          <w:marBottom w:val="0"/>
          <w:divBdr>
            <w:top w:val="none" w:sz="0" w:space="0" w:color="auto"/>
            <w:left w:val="none" w:sz="0" w:space="0" w:color="auto"/>
            <w:bottom w:val="none" w:sz="0" w:space="0" w:color="auto"/>
            <w:right w:val="none" w:sz="0" w:space="0" w:color="auto"/>
          </w:divBdr>
          <w:divsChild>
            <w:div w:id="1712654041">
              <w:marLeft w:val="0"/>
              <w:marRight w:val="0"/>
              <w:marTop w:val="0"/>
              <w:marBottom w:val="0"/>
              <w:divBdr>
                <w:top w:val="none" w:sz="0" w:space="0" w:color="auto"/>
                <w:left w:val="none" w:sz="0" w:space="0" w:color="auto"/>
                <w:bottom w:val="none" w:sz="0" w:space="0" w:color="auto"/>
                <w:right w:val="none" w:sz="0" w:space="0" w:color="auto"/>
              </w:divBdr>
              <w:divsChild>
                <w:div w:id="579631839">
                  <w:marLeft w:val="0"/>
                  <w:marRight w:val="0"/>
                  <w:marTop w:val="0"/>
                  <w:marBottom w:val="0"/>
                  <w:divBdr>
                    <w:top w:val="none" w:sz="0" w:space="0" w:color="auto"/>
                    <w:left w:val="none" w:sz="0" w:space="0" w:color="auto"/>
                    <w:bottom w:val="none" w:sz="0" w:space="0" w:color="auto"/>
                    <w:right w:val="none" w:sz="0" w:space="0" w:color="auto"/>
                  </w:divBdr>
                  <w:divsChild>
                    <w:div w:id="1227565977">
                      <w:marLeft w:val="0"/>
                      <w:marRight w:val="0"/>
                      <w:marTop w:val="0"/>
                      <w:marBottom w:val="0"/>
                      <w:divBdr>
                        <w:top w:val="none" w:sz="0" w:space="0" w:color="auto"/>
                        <w:left w:val="none" w:sz="0" w:space="0" w:color="auto"/>
                        <w:bottom w:val="none" w:sz="0" w:space="0" w:color="auto"/>
                        <w:right w:val="none" w:sz="0" w:space="0" w:color="auto"/>
                      </w:divBdr>
                      <w:divsChild>
                        <w:div w:id="900946999">
                          <w:marLeft w:val="0"/>
                          <w:marRight w:val="0"/>
                          <w:marTop w:val="0"/>
                          <w:marBottom w:val="0"/>
                          <w:divBdr>
                            <w:top w:val="none" w:sz="0" w:space="0" w:color="auto"/>
                            <w:left w:val="none" w:sz="0" w:space="0" w:color="auto"/>
                            <w:bottom w:val="none" w:sz="0" w:space="0" w:color="auto"/>
                            <w:right w:val="none" w:sz="0" w:space="0" w:color="auto"/>
                          </w:divBdr>
                          <w:divsChild>
                            <w:div w:id="1417095185">
                              <w:marLeft w:val="0"/>
                              <w:marRight w:val="0"/>
                              <w:marTop w:val="0"/>
                              <w:marBottom w:val="0"/>
                              <w:divBdr>
                                <w:top w:val="none" w:sz="0" w:space="0" w:color="auto"/>
                                <w:left w:val="none" w:sz="0" w:space="0" w:color="auto"/>
                                <w:bottom w:val="none" w:sz="0" w:space="0" w:color="auto"/>
                                <w:right w:val="none" w:sz="0" w:space="0" w:color="auto"/>
                              </w:divBdr>
                              <w:divsChild>
                                <w:div w:id="241910057">
                                  <w:marLeft w:val="0"/>
                                  <w:marRight w:val="0"/>
                                  <w:marTop w:val="0"/>
                                  <w:marBottom w:val="0"/>
                                  <w:divBdr>
                                    <w:top w:val="none" w:sz="0" w:space="0" w:color="auto"/>
                                    <w:left w:val="none" w:sz="0" w:space="0" w:color="auto"/>
                                    <w:bottom w:val="none" w:sz="0" w:space="0" w:color="auto"/>
                                    <w:right w:val="none" w:sz="0" w:space="0" w:color="auto"/>
                                  </w:divBdr>
                                  <w:divsChild>
                                    <w:div w:id="211454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3538537">
      <w:bodyDiv w:val="1"/>
      <w:marLeft w:val="0"/>
      <w:marRight w:val="0"/>
      <w:marTop w:val="0"/>
      <w:marBottom w:val="0"/>
      <w:divBdr>
        <w:top w:val="none" w:sz="0" w:space="0" w:color="auto"/>
        <w:left w:val="none" w:sz="0" w:space="0" w:color="auto"/>
        <w:bottom w:val="none" w:sz="0" w:space="0" w:color="auto"/>
        <w:right w:val="none" w:sz="0" w:space="0" w:color="auto"/>
      </w:divBdr>
    </w:div>
    <w:div w:id="844053043">
      <w:bodyDiv w:val="1"/>
      <w:marLeft w:val="0"/>
      <w:marRight w:val="0"/>
      <w:marTop w:val="0"/>
      <w:marBottom w:val="0"/>
      <w:divBdr>
        <w:top w:val="none" w:sz="0" w:space="0" w:color="auto"/>
        <w:left w:val="none" w:sz="0" w:space="0" w:color="auto"/>
        <w:bottom w:val="none" w:sz="0" w:space="0" w:color="auto"/>
        <w:right w:val="none" w:sz="0" w:space="0" w:color="auto"/>
      </w:divBdr>
    </w:div>
    <w:div w:id="977606513">
      <w:bodyDiv w:val="1"/>
      <w:marLeft w:val="0"/>
      <w:marRight w:val="0"/>
      <w:marTop w:val="0"/>
      <w:marBottom w:val="0"/>
      <w:divBdr>
        <w:top w:val="none" w:sz="0" w:space="0" w:color="auto"/>
        <w:left w:val="none" w:sz="0" w:space="0" w:color="auto"/>
        <w:bottom w:val="none" w:sz="0" w:space="0" w:color="auto"/>
        <w:right w:val="none" w:sz="0" w:space="0" w:color="auto"/>
      </w:divBdr>
    </w:div>
    <w:div w:id="1064059260">
      <w:bodyDiv w:val="1"/>
      <w:marLeft w:val="0"/>
      <w:marRight w:val="0"/>
      <w:marTop w:val="0"/>
      <w:marBottom w:val="0"/>
      <w:divBdr>
        <w:top w:val="none" w:sz="0" w:space="0" w:color="auto"/>
        <w:left w:val="none" w:sz="0" w:space="0" w:color="auto"/>
        <w:bottom w:val="none" w:sz="0" w:space="0" w:color="auto"/>
        <w:right w:val="none" w:sz="0" w:space="0" w:color="auto"/>
      </w:divBdr>
    </w:div>
    <w:div w:id="1354920482">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450049856">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 w:id="2014990882">
      <w:bodyDiv w:val="1"/>
      <w:marLeft w:val="0"/>
      <w:marRight w:val="0"/>
      <w:marTop w:val="0"/>
      <w:marBottom w:val="0"/>
      <w:divBdr>
        <w:top w:val="none" w:sz="0" w:space="0" w:color="auto"/>
        <w:left w:val="none" w:sz="0" w:space="0" w:color="auto"/>
        <w:bottom w:val="none" w:sz="0" w:space="0" w:color="auto"/>
        <w:right w:val="none" w:sz="0" w:space="0" w:color="auto"/>
      </w:divBdr>
    </w:div>
    <w:div w:id="2036731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ocialworkengland.org.uk/standards/professional-standards/?utm_source=chatgp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school-food-standards-resources-for-schools?utm_source=chatgp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improving-practice-with-children-young-people-and-families?utm_source=chatgpt.co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gov.uk/government/publications/working-together-to-safeguard-children--2?utm_source=chatgpt.com" TargetMode="External"/><Relationship Id="rId4" Type="http://schemas.openxmlformats.org/officeDocument/2006/relationships/settings" Target="settings.xml"/><Relationship Id="rId9" Type="http://schemas.openxmlformats.org/officeDocument/2006/relationships/hyperlink" Target="https://basw.co.uk/training-cpd/professional-capabilities-framework-pcf?utm_source=chatgpt.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DA1B2F-2BCC-489F-A6D1-54A989C52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8</Pages>
  <Words>2020</Words>
  <Characters>11518</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user</cp:lastModifiedBy>
  <cp:revision>18</cp:revision>
  <dcterms:created xsi:type="dcterms:W3CDTF">2026-08-20T11:55:00Z</dcterms:created>
  <dcterms:modified xsi:type="dcterms:W3CDTF">2026-08-21T10:32:00Z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