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A9D5F" w14:textId="77707328" w:rsidR="004137A6" w:rsidRDefault="00E01513">
      <w:pPr>
        <w:spacing w:line="360" w:lineRule="auto"/>
        <w:jc w:val="center"/>
        <w:rPr>
          <w:rFonts w:ascii="Times New Roman" w:eastAsia="Times New Roman" w:hAnsi="Times New Roman" w:cs="Times New Roman"/>
          <w:b/>
          <w:sz w:val="32"/>
          <w:szCs w:val="32"/>
        </w:rPr>
      </w:pPr>
      <w:r>
        <w:rPr>
          <w:noProof/>
        </w:rPr>
        <w:drawing>
          <wp:inline distT="0" distB="0" distL="0" distR="0" wp14:anchorId="2FFECA15" wp14:editId="5C9B478B">
            <wp:extent cx="3638550" cy="1819275"/>
            <wp:effectExtent l="0" t="0" r="0" b="9525"/>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2D3BB05A" w14:textId="77777777" w:rsidR="004137A6" w:rsidRDefault="004137A6">
      <w:pPr>
        <w:spacing w:line="360" w:lineRule="auto"/>
        <w:jc w:val="center"/>
        <w:rPr>
          <w:rFonts w:ascii="Times New Roman" w:eastAsia="Times New Roman" w:hAnsi="Times New Roman" w:cs="Times New Roman"/>
          <w:b/>
          <w:sz w:val="32"/>
          <w:szCs w:val="32"/>
        </w:rPr>
      </w:pPr>
    </w:p>
    <w:p w14:paraId="3D41959C" w14:textId="77777777" w:rsidR="004137A6" w:rsidRDefault="004137A6">
      <w:pPr>
        <w:spacing w:line="360" w:lineRule="auto"/>
        <w:jc w:val="center"/>
        <w:rPr>
          <w:rFonts w:ascii="Times New Roman" w:eastAsia="Times New Roman" w:hAnsi="Times New Roman" w:cs="Times New Roman"/>
          <w:b/>
          <w:sz w:val="32"/>
          <w:szCs w:val="32"/>
        </w:rPr>
      </w:pPr>
    </w:p>
    <w:p w14:paraId="0855CBE4" w14:textId="77777777" w:rsidR="004137A6" w:rsidRDefault="004137A6">
      <w:pPr>
        <w:spacing w:line="360" w:lineRule="auto"/>
        <w:jc w:val="center"/>
        <w:rPr>
          <w:rFonts w:ascii="Times New Roman" w:eastAsia="Times New Roman" w:hAnsi="Times New Roman" w:cs="Times New Roman"/>
          <w:b/>
          <w:sz w:val="32"/>
          <w:szCs w:val="32"/>
        </w:rPr>
      </w:pPr>
    </w:p>
    <w:p w14:paraId="49A1903D" w14:textId="77777777" w:rsidR="004137A6" w:rsidRDefault="004137A6">
      <w:pPr>
        <w:spacing w:line="360" w:lineRule="auto"/>
        <w:jc w:val="center"/>
        <w:rPr>
          <w:rFonts w:ascii="Times New Roman" w:eastAsia="Times New Roman" w:hAnsi="Times New Roman" w:cs="Times New Roman"/>
          <w:b/>
          <w:sz w:val="32"/>
          <w:szCs w:val="32"/>
        </w:rPr>
      </w:pPr>
    </w:p>
    <w:p w14:paraId="3B7B1819" w14:textId="77777777" w:rsidR="004137A6" w:rsidRDefault="004137A6">
      <w:pPr>
        <w:spacing w:line="360" w:lineRule="auto"/>
        <w:jc w:val="center"/>
        <w:rPr>
          <w:rFonts w:ascii="Times New Roman" w:eastAsia="Times New Roman" w:hAnsi="Times New Roman" w:cs="Times New Roman"/>
          <w:b/>
          <w:sz w:val="32"/>
          <w:szCs w:val="32"/>
        </w:rPr>
      </w:pPr>
    </w:p>
    <w:p w14:paraId="6105F7D9" w14:textId="77777777" w:rsidR="004137A6" w:rsidRDefault="004137A6">
      <w:pPr>
        <w:spacing w:line="360" w:lineRule="auto"/>
        <w:jc w:val="center"/>
        <w:rPr>
          <w:rFonts w:ascii="Times New Roman" w:eastAsia="Times New Roman" w:hAnsi="Times New Roman" w:cs="Times New Roman"/>
          <w:b/>
          <w:sz w:val="32"/>
          <w:szCs w:val="32"/>
        </w:rPr>
      </w:pPr>
    </w:p>
    <w:p w14:paraId="164ED9C3" w14:textId="77777777" w:rsidR="004137A6" w:rsidRDefault="004137A6">
      <w:pPr>
        <w:spacing w:line="360" w:lineRule="auto"/>
        <w:jc w:val="center"/>
        <w:rPr>
          <w:rFonts w:ascii="Times New Roman" w:eastAsia="Times New Roman" w:hAnsi="Times New Roman" w:cs="Times New Roman"/>
          <w:b/>
          <w:sz w:val="32"/>
          <w:szCs w:val="32"/>
        </w:rPr>
      </w:pPr>
    </w:p>
    <w:p w14:paraId="6DFB3D34" w14:textId="4F6AA059" w:rsidR="009344A3" w:rsidRDefault="00000000">
      <w:pPr>
        <w:spacing w:line="360" w:lineRule="auto"/>
        <w:jc w:val="center"/>
        <w:rPr>
          <w:rFonts w:ascii="Times New Roman" w:eastAsia="Times New Roman" w:hAnsi="Times New Roman" w:cs="Times New Roman"/>
          <w:b/>
          <w:sz w:val="28"/>
          <w:szCs w:val="28"/>
        </w:rPr>
      </w:pPr>
      <w:r w:rsidRPr="004137A6">
        <w:rPr>
          <w:rFonts w:ascii="Times New Roman" w:eastAsia="Times New Roman" w:hAnsi="Times New Roman" w:cs="Times New Roman"/>
          <w:b/>
          <w:sz w:val="32"/>
          <w:szCs w:val="32"/>
        </w:rPr>
        <w:t>ASSESSMENT 1: ESSAY ON COMMUNITY ENGAGEMENT</w:t>
      </w:r>
      <w:r>
        <w:rPr>
          <w:rFonts w:ascii="Times New Roman" w:eastAsia="Times New Roman" w:hAnsi="Times New Roman" w:cs="Times New Roman"/>
          <w:b/>
          <w:sz w:val="28"/>
          <w:szCs w:val="28"/>
        </w:rPr>
        <w:t xml:space="preserve"> </w:t>
      </w:r>
    </w:p>
    <w:p w14:paraId="6E31D5E1" w14:textId="77777777" w:rsidR="00E44CC3" w:rsidRDefault="00E44CC3">
      <w:pPr>
        <w:spacing w:line="360" w:lineRule="auto"/>
        <w:jc w:val="center"/>
        <w:rPr>
          <w:rFonts w:ascii="Times New Roman" w:eastAsia="Times New Roman" w:hAnsi="Times New Roman" w:cs="Times New Roman"/>
          <w:b/>
          <w:sz w:val="28"/>
          <w:szCs w:val="28"/>
        </w:rPr>
      </w:pPr>
    </w:p>
    <w:p w14:paraId="1C130D16" w14:textId="77777777" w:rsidR="00E44CC3" w:rsidRDefault="00E44CC3">
      <w:pPr>
        <w:spacing w:line="360" w:lineRule="auto"/>
        <w:jc w:val="center"/>
        <w:rPr>
          <w:rFonts w:ascii="Times New Roman" w:eastAsia="Times New Roman" w:hAnsi="Times New Roman" w:cs="Times New Roman"/>
          <w:b/>
          <w:sz w:val="28"/>
          <w:szCs w:val="28"/>
        </w:rPr>
      </w:pPr>
    </w:p>
    <w:p w14:paraId="1F453A89" w14:textId="77777777" w:rsidR="00E44CC3" w:rsidRDefault="00E44CC3">
      <w:pPr>
        <w:spacing w:line="360" w:lineRule="auto"/>
        <w:jc w:val="center"/>
        <w:rPr>
          <w:rFonts w:ascii="Times New Roman" w:eastAsia="Times New Roman" w:hAnsi="Times New Roman" w:cs="Times New Roman"/>
          <w:b/>
          <w:sz w:val="28"/>
          <w:szCs w:val="28"/>
        </w:rPr>
      </w:pPr>
    </w:p>
    <w:p w14:paraId="548196C6" w14:textId="77777777" w:rsidR="00E44CC3" w:rsidRDefault="00E44CC3">
      <w:pPr>
        <w:spacing w:line="360" w:lineRule="auto"/>
        <w:jc w:val="center"/>
        <w:rPr>
          <w:rFonts w:ascii="Times New Roman" w:eastAsia="Times New Roman" w:hAnsi="Times New Roman" w:cs="Times New Roman"/>
          <w:b/>
          <w:sz w:val="28"/>
          <w:szCs w:val="28"/>
        </w:rPr>
      </w:pPr>
    </w:p>
    <w:p w14:paraId="38EB8D55" w14:textId="77777777" w:rsidR="00E44CC3" w:rsidRDefault="00E44CC3">
      <w:pPr>
        <w:spacing w:line="360" w:lineRule="auto"/>
        <w:jc w:val="center"/>
        <w:rPr>
          <w:rFonts w:ascii="Times New Roman" w:eastAsia="Times New Roman" w:hAnsi="Times New Roman" w:cs="Times New Roman"/>
          <w:b/>
          <w:sz w:val="28"/>
          <w:szCs w:val="28"/>
        </w:rPr>
      </w:pPr>
    </w:p>
    <w:p w14:paraId="5710BB32" w14:textId="77777777" w:rsidR="00E44CC3" w:rsidRDefault="00E44CC3" w:rsidP="00E01513">
      <w:pPr>
        <w:spacing w:line="360" w:lineRule="auto"/>
        <w:rPr>
          <w:rFonts w:ascii="Times New Roman" w:eastAsia="Times New Roman" w:hAnsi="Times New Roman" w:cs="Times New Roman"/>
          <w:b/>
          <w:sz w:val="28"/>
          <w:szCs w:val="28"/>
        </w:rPr>
      </w:pPr>
    </w:p>
    <w:p w14:paraId="3159A70C" w14:textId="77777777" w:rsidR="00E44CC3" w:rsidRDefault="00E44CC3">
      <w:pPr>
        <w:spacing w:line="360" w:lineRule="auto"/>
        <w:jc w:val="center"/>
        <w:rPr>
          <w:rFonts w:ascii="Times New Roman" w:eastAsia="Times New Roman" w:hAnsi="Times New Roman" w:cs="Times New Roman"/>
          <w:b/>
          <w:sz w:val="28"/>
          <w:szCs w:val="28"/>
        </w:rPr>
      </w:pPr>
    </w:p>
    <w:p w14:paraId="20CEB056" w14:textId="77777777" w:rsidR="00E44CC3" w:rsidRDefault="00E44CC3">
      <w:pPr>
        <w:spacing w:line="360" w:lineRule="auto"/>
        <w:jc w:val="center"/>
        <w:rPr>
          <w:rFonts w:ascii="Times New Roman" w:eastAsia="Times New Roman" w:hAnsi="Times New Roman" w:cs="Times New Roman"/>
          <w:b/>
          <w:sz w:val="28"/>
          <w:szCs w:val="28"/>
        </w:rPr>
      </w:pPr>
    </w:p>
    <w:p w14:paraId="6CB052D4" w14:textId="77777777" w:rsidR="00E44CC3" w:rsidRDefault="00E44CC3">
      <w:pPr>
        <w:spacing w:line="360" w:lineRule="auto"/>
        <w:jc w:val="center"/>
        <w:rPr>
          <w:rFonts w:ascii="Times New Roman" w:eastAsia="Times New Roman" w:hAnsi="Times New Roman" w:cs="Times New Roman"/>
          <w:b/>
          <w:sz w:val="28"/>
          <w:szCs w:val="28"/>
        </w:rPr>
      </w:pPr>
    </w:p>
    <w:p w14:paraId="70F7E3CF" w14:textId="77777777" w:rsidR="00E44CC3" w:rsidRPr="00E44CC3" w:rsidRDefault="00E44CC3" w:rsidP="00E44CC3">
      <w:pPr>
        <w:shd w:val="clear" w:color="auto" w:fill="FFFFFF"/>
        <w:spacing w:line="240" w:lineRule="auto"/>
        <w:rPr>
          <w:rFonts w:eastAsia="Times New Roman"/>
          <w:color w:val="222222"/>
          <w:sz w:val="24"/>
          <w:szCs w:val="24"/>
          <w:lang w:eastAsia="en-GB"/>
        </w:rPr>
      </w:pPr>
      <w:r w:rsidRPr="00E44CC3">
        <w:rPr>
          <w:rFonts w:eastAsia="Times New Roman"/>
          <w:color w:val="222222"/>
          <w:sz w:val="24"/>
          <w:szCs w:val="24"/>
          <w:lang w:eastAsia="en-GB"/>
        </w:rPr>
        <w:t>Name: Alina Don </w:t>
      </w:r>
    </w:p>
    <w:p w14:paraId="70EB74C2" w14:textId="4EAB5F05" w:rsidR="00E44CC3" w:rsidRPr="00E44CC3" w:rsidRDefault="00E44CC3" w:rsidP="00E44CC3">
      <w:pPr>
        <w:shd w:val="clear" w:color="auto" w:fill="FFFFFF"/>
        <w:spacing w:line="240" w:lineRule="auto"/>
        <w:rPr>
          <w:rFonts w:eastAsia="Times New Roman"/>
          <w:color w:val="222222"/>
          <w:sz w:val="24"/>
          <w:szCs w:val="24"/>
          <w:lang w:eastAsia="en-GB"/>
        </w:rPr>
      </w:pPr>
      <w:r w:rsidRPr="00E44CC3">
        <w:rPr>
          <w:rFonts w:eastAsia="Times New Roman"/>
          <w:color w:val="222222"/>
          <w:sz w:val="24"/>
          <w:szCs w:val="24"/>
          <w:lang w:eastAsia="en-GB"/>
        </w:rPr>
        <w:t>Student ID: 2209818</w:t>
      </w:r>
    </w:p>
    <w:p w14:paraId="13EB1A5C" w14:textId="77777777" w:rsidR="00E44CC3" w:rsidRPr="00E44CC3" w:rsidRDefault="00E44CC3" w:rsidP="00E44CC3">
      <w:pPr>
        <w:shd w:val="clear" w:color="auto" w:fill="FFFFFF"/>
        <w:spacing w:line="240" w:lineRule="auto"/>
        <w:rPr>
          <w:rFonts w:eastAsia="Times New Roman"/>
          <w:color w:val="222222"/>
          <w:sz w:val="24"/>
          <w:szCs w:val="24"/>
          <w:lang w:eastAsia="en-GB"/>
        </w:rPr>
      </w:pPr>
      <w:r w:rsidRPr="00E44CC3">
        <w:rPr>
          <w:rFonts w:eastAsia="Times New Roman"/>
          <w:color w:val="222222"/>
          <w:sz w:val="24"/>
          <w:szCs w:val="24"/>
          <w:lang w:eastAsia="en-GB"/>
        </w:rPr>
        <w:t>Module name: Community Engagement (LCBB4002)</w:t>
      </w:r>
    </w:p>
    <w:p w14:paraId="3D5EF3D8" w14:textId="77777777" w:rsidR="00E44CC3" w:rsidRPr="00E44CC3" w:rsidRDefault="00E44CC3" w:rsidP="00E44CC3">
      <w:pPr>
        <w:shd w:val="clear" w:color="auto" w:fill="FFFFFF"/>
        <w:spacing w:line="240" w:lineRule="auto"/>
        <w:rPr>
          <w:rFonts w:eastAsia="Times New Roman"/>
          <w:color w:val="222222"/>
          <w:sz w:val="24"/>
          <w:szCs w:val="24"/>
          <w:lang w:eastAsia="en-GB"/>
        </w:rPr>
      </w:pPr>
      <w:r w:rsidRPr="00E44CC3">
        <w:rPr>
          <w:rFonts w:eastAsia="Times New Roman"/>
          <w:color w:val="222222"/>
          <w:sz w:val="24"/>
          <w:szCs w:val="24"/>
          <w:lang w:eastAsia="en-GB"/>
        </w:rPr>
        <w:t>Lecturer: Nadeem Mirza</w:t>
      </w:r>
    </w:p>
    <w:p w14:paraId="2441AC79" w14:textId="77777777" w:rsidR="00E44CC3" w:rsidRDefault="00E44CC3">
      <w:pPr>
        <w:spacing w:line="360" w:lineRule="auto"/>
        <w:jc w:val="center"/>
        <w:rPr>
          <w:rFonts w:ascii="Times New Roman" w:eastAsia="Times New Roman" w:hAnsi="Times New Roman" w:cs="Times New Roman"/>
          <w:b/>
          <w:sz w:val="28"/>
          <w:szCs w:val="28"/>
        </w:rPr>
      </w:pPr>
    </w:p>
    <w:p w14:paraId="3D06F826" w14:textId="4860A73C" w:rsidR="004137A6" w:rsidRDefault="00000000" w:rsidP="009344A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02" w14:textId="77777777" w:rsidR="000674C7" w:rsidRDefault="00000000">
      <w:pPr>
        <w:pStyle w:val="Heading1"/>
      </w:pPr>
      <w:bookmarkStart w:id="0" w:name="_5hzzvgjipnpo" w:colFirst="0" w:colLast="0"/>
      <w:bookmarkStart w:id="1" w:name="_Toc129627135"/>
      <w:bookmarkEnd w:id="0"/>
      <w:r>
        <w:lastRenderedPageBreak/>
        <w:t>Introduction</w:t>
      </w:r>
      <w:bookmarkEnd w:id="1"/>
    </w:p>
    <w:p w14:paraId="00000005" w14:textId="75976403" w:rsidR="000674C7" w:rsidRPr="00B31453" w:rsidRDefault="00000000" w:rsidP="00B314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can be identified to play a divergent role that seeks to engage the members of the community to act as the "public decision-makers". It is the process that enables the entire community in achieving a sustainable outcome or attain equitable decisions simply by deepening trust and relationship between the "government organisation and community as a whole". This "community-centric orientation" envisions working collaboratively and unitedly with "groups of people" who are affiliated by geographical proximity or same interests or situational and engaging in addressing the said issues that have been affecting them at large. Community engagement helps in involving partnerships or coalitions that help influence systems by working with partners or stakeholders and that act as "catalysts for changing practices, programs and policies" (</w:t>
      </w:r>
      <w:r>
        <w:rPr>
          <w:rFonts w:ascii="Times New Roman" w:eastAsia="Times New Roman" w:hAnsi="Times New Roman" w:cs="Times New Roman"/>
          <w:sz w:val="24"/>
          <w:szCs w:val="24"/>
          <w:highlight w:val="white"/>
        </w:rPr>
        <w:t>Kumar and Kumar, 2020.</w:t>
      </w:r>
      <w:r>
        <w:rPr>
          <w:rFonts w:ascii="Times New Roman" w:eastAsia="Times New Roman" w:hAnsi="Times New Roman" w:cs="Times New Roman"/>
          <w:sz w:val="24"/>
          <w:szCs w:val="24"/>
        </w:rPr>
        <w:t>). Thus, this strategic process can be identified as a platform where varied people get connected by geographical location or affiliated with similar identities and proceed in addressing issues so that they aspire towards the well-being of the holistic community. This can be linked with more focus on collectivist work rather than individual work and associated with the sheer implications of inclusiveness that helps in ensuring consideration towards diversity and inclusivity. Drawn upon this, this essay will highlight the various tenets of the Sutton Council's community engagement standards and principles.</w:t>
      </w:r>
      <w:bookmarkStart w:id="2" w:name="_wv9638uvu1ek" w:colFirst="0" w:colLast="0"/>
      <w:bookmarkEnd w:id="2"/>
    </w:p>
    <w:p w14:paraId="00000006"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Sutton Council is considered the local government authoritative body within the area of London Borough, UK. According to the article published by Sutton, (2023a), they are responsible for providing a wide range of services for their residents which includes </w:t>
      </w:r>
      <w:r>
        <w:rPr>
          <w:rFonts w:ascii="Times New Roman" w:eastAsia="Times New Roman" w:hAnsi="Times New Roman" w:cs="Times New Roman"/>
          <w:b/>
          <w:i/>
          <w:sz w:val="24"/>
          <w:szCs w:val="24"/>
        </w:rPr>
        <w:t>housing, social services, education, and planning for waste management</w:t>
      </w:r>
      <w:r>
        <w:rPr>
          <w:rFonts w:ascii="Times New Roman" w:eastAsia="Times New Roman" w:hAnsi="Times New Roman" w:cs="Times New Roman"/>
          <w:sz w:val="24"/>
          <w:szCs w:val="24"/>
        </w:rPr>
        <w:t>. The council body consists of 54 elected groups of councils, responsible for actively participating in the decision-making process for the residents of Borough.</w:t>
      </w:r>
    </w:p>
    <w:p w14:paraId="00000007"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Sutton Council faces a wide range of issues and challenges in relation to its collaboration, participation, inclusion and diversity. According to the article published by Sutton (2023b), one of the major issues faced by the Council is their requirement of engagement with a range of diverse stakeholders for ensuring they are heard with their needs taken into account. This can be particularly important within a borough of a diverse region such as Sutton, considered to have a significant population of individuals from various religious, cultural, and ethnic backgrounds. For addressing this challenge, the Council has measured a proactive approach to stakeholder engagement by utilising a range of techniques for reaching out to their diverse range of communities and groups. This could include community meetings, public consultants, </w:t>
      </w:r>
      <w:r>
        <w:rPr>
          <w:rFonts w:ascii="Times New Roman" w:eastAsia="Times New Roman" w:hAnsi="Times New Roman" w:cs="Times New Roman"/>
          <w:sz w:val="24"/>
          <w:szCs w:val="24"/>
        </w:rPr>
        <w:lastRenderedPageBreak/>
        <w:t>tolls for online engagement, and other forms for outreaching them. The Council also works for effective partnerships with their community groups, stakeholders, and businesses, for ensuring their perspectives are taken into consideration while developing their decision-making processes and policies. According to the article published by Sutton (2023b), another challenge faced by Sutton Council is their requirement for promoting active collaboration across varied agencies and departments within the Council.</w:t>
      </w:r>
    </w:p>
    <w:p w14:paraId="00000009"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core principles of community engagement is to ensure that the convening or design of the overall process serves in fulfilling the needs or defined purpose "of the participants". Besides this, it must equitably incorporate diverse people with their distinct opinions or information so that it lays the groundwork for democratic legitimacy or quality outcomes. According to Hemmerling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it must also ensure a long-lasting impact by fostering trust and transparency by providing clear information on the varied details of the process. Participation culture and sustained engagement are the core focus of this process. In correspondence to this, Sutton Council's community engagement principles are envisioned with the main objective to build one such community where people can take pride in and must include every person and under this premise, they seek innovative approaches to deliver better services to the people. According to the publication by Sutton (2023c), it also has been promoting diversity by ensuring that they recognise or celebrate differences about equality and fairness. This council seeks to listen to the communities by ensuring relevant feedback regarding the proper outcomes for engagement. Their engagement with that of the residents can be informed by their understanding of the "ever increasingly diverse nature of the borough". Sutton has seen to have been an ethnically diverse borough within ten years of the 1991 and 2001 censuses. In 2001, the "borough's black and minority ethnic population increased to 10.8%". This has been taken care of by the Sutton Council which has come up with its "Translation and Interpretation Policy" where they provide information in diverse formats, language and channels enabling communication with groups and individuals, who cannot speak or write in English. Thus, its principle is to seek coordination among all communities and ensure that their needs are met. Inclusivity and diversity sit at the heart of its principles. </w:t>
      </w:r>
    </w:p>
    <w:p w14:paraId="0000000B"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standards explicitly implement harmonisation at the deeper levels of their community engagement activities. According to Holmes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every organisation needs to have their missions or mandates while collaborating with the community and stakeholders so that the outcome can be programmed with humanitarian response and development. Thus, it has to be mentioned that the Sutton Council has various foundational standards for its community </w:t>
      </w:r>
      <w:r>
        <w:rPr>
          <w:rFonts w:ascii="Times New Roman" w:eastAsia="Times New Roman" w:hAnsi="Times New Roman" w:cs="Times New Roman"/>
          <w:sz w:val="24"/>
          <w:szCs w:val="24"/>
        </w:rPr>
        <w:lastRenderedPageBreak/>
        <w:t>engagement practices. It is highly critical in achieving the quality of work, including objectives and approaches. Furthermore, the Sutton Council has maintained all standards for coherent implementation by aiming towards aligning the elements of their respective project cycle to that of the description of the standards so that they engage the community in facilitating "towards the achievement of the minimum common standards". Additionally, it also has minimum standards for its operations as well as integration or coordination of protocols. According to the publication in Sutton Council (2022), the Sutton Council helps maximise all of its effectiveness, ranging from the community to the voluntary sector. Community development is one of the core and foremost standards they have been dealing with so that a diverse and strong society can be made that effectively has hands Iverson al programmes or public services.</w:t>
      </w:r>
    </w:p>
    <w:p w14:paraId="0000000D"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Sutton Council applies a varied range of methods as a mode of consultation for engaging with their local residents and stakeholders to discuss the issues faced which include changes within the local services, proposals of policies, and project development proposals. The key method of consultation used by the Council is to hold public meetings. According to the publication by Sutton (2023d), the council holds meetings on a regular basis where the residents could ask questions regarding their voice of concerns for the council members. These meetings further are held virtually or in person in accordance with the situation and circumstances. Moreover, the Council utilises their online platforms such as their official websites and social media handles, to gather feedback from the local residents about issues and policies. Moreover, the Council upholds surveys for gathering feedback on a range of issues such as local service satisfaction and policy proposal opinions. These surveys are conducted mainly by phone, online, and in person. Moreover, the community works with various organisations and local community groups and organisations for facilitating consultation and engagement. Furthermore, according to the publication by Sutton (2023d), the council also works to ensure that consultations are accessible to all residents, regardless of their age, background or ability. This includes providing translations and interpreter services for residents with limited English proficiency, as well as providing accessible venues and materials for residents with disabilities.</w:t>
      </w:r>
    </w:p>
    <w:p w14:paraId="0000000F"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facilitating stakeholder participation, Sutton Council uses a varied range of methods of consultation, which are outlined in the previous responses. These methods are designed for engaging with the stakeholders within different stages of decision-making and provide effective input and feedback. Additionally, according to the publication by Sutton (2023c), the consultation methods within the council also improve and empowers the stakeholders by catering to the opportunities of stakeholders through active involvement in the decision-making </w:t>
      </w:r>
      <w:r>
        <w:rPr>
          <w:rFonts w:ascii="Times New Roman" w:eastAsia="Times New Roman" w:hAnsi="Times New Roman" w:cs="Times New Roman"/>
          <w:sz w:val="24"/>
          <w:szCs w:val="24"/>
        </w:rPr>
        <w:lastRenderedPageBreak/>
        <w:t xml:space="preserve">processes. This includes inviting stakeholders to participate in working groups or advisory panels, where they can provide more detailed input on specific issues. The council also provides training and support to stakeholders who wish to become more involved in decision-making, helping them to develop the skills and knowledge they need to participate effectively. The council also provides feedback to stakeholders on the outcomes of consultations and the decisions that have been made. This helps to promote transparency and accountability in the decision-making process and ensures that stakeholders are kept informed about the impact of their input. </w:t>
      </w:r>
    </w:p>
    <w:p w14:paraId="00000011"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Sutton Council has a varied range of stakeholders which includes local residents, business organisations, and community residents. Every stakeholder of the Council presents their own perspective within a set of priorities that helps them to engage effectively to create policies that meet every individual's requirement. One of the key stakeholders for the council is their local residents. Engaging with the residents is essential for understanding their priorities and needs, which ensures that services and policies reflect their priorities. Some of the suitable ways to engage with the stakeholders are by holding public meetings. According to the publication by Sutton (2023d), the Sutton Council holds public meetings at regular intervals, where the residents ask questions and provide respective feedback for the council members and officials. These meetings can be held in-person or virtually, and provide an opportunity for residents to engage directly with the council. Moreover, the council polls locals to get their views on a variety of topics, such as their satisfaction with neighbourhood services or their thoughts on potential policy changes. These polls offer a methodical way to collect opinions from a significant number of residents and can be carried out online, over the phone, or in person. The council hosts open houses to display designs for significant projects or developments and solicit input from locals. These exhibitions might have exhibits, hands-on activities, and chances for locals to comment and ask enquiries. </w:t>
      </w:r>
    </w:p>
    <w:p w14:paraId="00000013"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effectively gather feedback and input from various categories of stakeholders, different engagement strategies may be needed. Considering the local residents as the stakeholders, a diverse group of locals interact with the council to different degrees. As per opined by Pererva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effective methods to interact with locals include holding public meetings, carrying out surveys, and running online forums because they give people a chance to voice their opinions and ask questions. Additionally, these techniques give residents the freedom to participate in ways that fit their schedules and tastes. Public exhibitions are another effective way to interact with the community because they give people the chance to see actual plans and talk about them with council members and officials. Groups from the community </w:t>
      </w:r>
      <w:r>
        <w:rPr>
          <w:rFonts w:ascii="Times New Roman" w:eastAsia="Times New Roman" w:hAnsi="Times New Roman" w:cs="Times New Roman"/>
          <w:sz w:val="24"/>
          <w:szCs w:val="24"/>
        </w:rPr>
        <w:lastRenderedPageBreak/>
        <w:t>may have particular requirements and goals that aren't always taken into account during more extensive consultations with locals. To enable involvement and consultation, collaborating with local organisations can offer a more focused method of getting feedback from particular groups. Community groups can operate their own discussions and interact with their supporters on particular problems with the council's assistance and funding. Moreover, Council decisions may be affected by the worries or priorities of other organisations, like schools or healthcare facilities. The council can better understand these organisations' needs and goals by interacting with them through focused consultations or working groups, which can then be used to create policies and services that address these issues.</w:t>
      </w:r>
    </w:p>
    <w:p w14:paraId="00000014" w14:textId="77777777" w:rsidR="000674C7" w:rsidRDefault="00000000">
      <w:pPr>
        <w:pStyle w:val="Heading1"/>
      </w:pPr>
      <w:bookmarkStart w:id="3" w:name="_whgkwoaa88r5" w:colFirst="0" w:colLast="0"/>
      <w:bookmarkStart w:id="4" w:name="_Toc129627144"/>
      <w:bookmarkEnd w:id="3"/>
      <w:r>
        <w:t>Conclusion and recommendations</w:t>
      </w:r>
      <w:bookmarkEnd w:id="4"/>
    </w:p>
    <w:p w14:paraId="00000015" w14:textId="77777777" w:rsidR="000674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 it can be concluded that community engagement is underpinned by the principles of bringing extensive advantages to the progressive development of the community by encouraging the participation of varied stakeholders, likely residents, businesses, groups, agencies or developers. It helps in not just removing all the barriers but striving more towards iterating towards any complex issues and voicing the needs of this help solve such issues. Community engagement can be defined as one such "dynamic relational process" that not just facilitates involvement, communication or interaction but also nurtures exchange between the holistic community and the organisation for an extensive range of organisational and social outcomes. It, thus, delivers an ethical or "socially responsive approach" that is elicited in achieving the outcomes, be it at the social, organisation or individual levels.</w:t>
      </w:r>
    </w:p>
    <w:p w14:paraId="00000016" w14:textId="77777777" w:rsidR="000674C7" w:rsidRDefault="00000000">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One of the best consultation methods that can be implemented by this council is that they can focus more on organising public exhibitions or roadshows. Using exclusive and colourful pictures can be highly used for conveying relevant information regarding their purpose to the audiences as that would help them gather a huge pool of people's attention and concentration. These can also be combined with the other events that already have gathered people's focus, likely summer fayres. With the help of this, they can appeal to the youths and gather their immediate reactions. On the other hand, local workshops can be designed in such a manner that it enables the community to work together and actively, be it any task or issue. The workshops can be organised for a day or so so that it encourages the people towards "joint working" and helps in building “a sense of ownership" to their results. Even organising community fairs by focusing on the focus groups can help bring positive results. It is so as this qualitative process can help them in obtaining different opinions and also recruiting different members who are fit for specific roles. </w:t>
      </w:r>
    </w:p>
    <w:p w14:paraId="00000018" w14:textId="4BE4B9E1" w:rsidR="000674C7" w:rsidRPr="00B31453" w:rsidRDefault="00000000" w:rsidP="00B31453">
      <w:pPr>
        <w:spacing w:line="360" w:lineRule="auto"/>
        <w:jc w:val="both"/>
        <w:rPr>
          <w:rFonts w:ascii="Times New Roman" w:eastAsia="Times New Roman" w:hAnsi="Times New Roman" w:cs="Times New Roman"/>
          <w:b/>
          <w:bCs/>
          <w:sz w:val="24"/>
          <w:szCs w:val="24"/>
        </w:rPr>
      </w:pPr>
      <w:r>
        <w:br w:type="page"/>
      </w:r>
      <w:bookmarkStart w:id="5" w:name="_sgf5zgpd9qkb" w:colFirst="0" w:colLast="0"/>
      <w:bookmarkStart w:id="6" w:name="_Toc129627145"/>
      <w:bookmarkEnd w:id="5"/>
      <w:r w:rsidRPr="00B31453">
        <w:rPr>
          <w:rFonts w:ascii="Times New Roman" w:hAnsi="Times New Roman" w:cs="Times New Roman"/>
          <w:b/>
          <w:bCs/>
          <w:sz w:val="24"/>
          <w:szCs w:val="24"/>
        </w:rPr>
        <w:lastRenderedPageBreak/>
        <w:t>References</w:t>
      </w:r>
      <w:bookmarkEnd w:id="6"/>
    </w:p>
    <w:p w14:paraId="5599E973" w14:textId="77777777" w:rsidR="008800A8" w:rsidRDefault="00000000" w:rsidP="008800A8">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Hemmerling, S.A., Barra, M., Bienn, H.C., Baustian, M.M., Jung, H., Meselhe, E., Wang, Y. and White, E., 2020. Elevating local knowledge through participatory modeling: active community engagement in restoration planning in coastal Louisiana. </w:t>
      </w:r>
      <w:r>
        <w:rPr>
          <w:rFonts w:ascii="Times New Roman" w:eastAsia="Times New Roman" w:hAnsi="Times New Roman" w:cs="Times New Roman"/>
          <w:i/>
          <w:sz w:val="24"/>
          <w:szCs w:val="24"/>
          <w:highlight w:val="white"/>
        </w:rPr>
        <w:t>Journal of Geographical 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 pp.241-266.</w:t>
      </w:r>
    </w:p>
    <w:p w14:paraId="0C9DB5D3" w14:textId="77777777" w:rsidR="008800A8" w:rsidRDefault="00000000" w:rsidP="008800A8">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Holmes, L., Cresswell, K., Williams, S., Parsons, S., Keane, A., Wilson, C., Islam, S., Joseph, O., Miah, J., Robinson, E. and Starling, B., 2019. Innovating public engagement and patient involvement through strategic collaboration and practice. </w:t>
      </w:r>
      <w:r>
        <w:rPr>
          <w:rFonts w:ascii="Times New Roman" w:eastAsia="Times New Roman" w:hAnsi="Times New Roman" w:cs="Times New Roman"/>
          <w:i/>
          <w:sz w:val="24"/>
          <w:szCs w:val="24"/>
          <w:highlight w:val="white"/>
        </w:rPr>
        <w:t>Research involvement and engagement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 pp.1-12.</w:t>
      </w:r>
    </w:p>
    <w:p w14:paraId="1955195A" w14:textId="77777777" w:rsidR="008800A8" w:rsidRDefault="00000000" w:rsidP="008800A8">
      <w:p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Kumar, J. and Kumar, V., 2020. Drivers of brand community engagement. </w:t>
      </w:r>
      <w:r>
        <w:rPr>
          <w:rFonts w:ascii="Times New Roman" w:eastAsia="Times New Roman" w:hAnsi="Times New Roman" w:cs="Times New Roman"/>
          <w:i/>
          <w:sz w:val="24"/>
          <w:szCs w:val="24"/>
          <w:highlight w:val="white"/>
        </w:rPr>
        <w:t>Journal of Retailing and Consumer Services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54</w:t>
      </w:r>
      <w:r>
        <w:rPr>
          <w:rFonts w:ascii="Times New Roman" w:eastAsia="Times New Roman" w:hAnsi="Times New Roman" w:cs="Times New Roman"/>
          <w:sz w:val="24"/>
          <w:szCs w:val="24"/>
          <w:highlight w:val="white"/>
        </w:rPr>
        <w:t>, p.101949.</w:t>
      </w:r>
    </w:p>
    <w:p w14:paraId="70BA3FEC" w14:textId="77777777" w:rsidR="008800A8" w:rsidRDefault="00000000" w:rsidP="008800A8">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Pererva, P.G., Kobielieva, T.O., Tkachov, M.M. and Diachenko, T.A., 2021. Management of relations with enterprise stakeholders based on value approach.</w:t>
      </w:r>
    </w:p>
    <w:p w14:paraId="343343B6" w14:textId="77777777" w:rsidR="008800A8" w:rsidRDefault="00000000" w:rsidP="008800A8">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Sutton Council, 2022. </w:t>
      </w:r>
      <w:r>
        <w:rPr>
          <w:rFonts w:ascii="Times New Roman" w:eastAsia="Times New Roman" w:hAnsi="Times New Roman" w:cs="Times New Roman"/>
          <w:i/>
          <w:sz w:val="24"/>
          <w:szCs w:val="24"/>
        </w:rPr>
        <w:t>Standards of community engagement</w:t>
      </w:r>
      <w:r>
        <w:rPr>
          <w:rFonts w:ascii="Times New Roman" w:eastAsia="Times New Roman" w:hAnsi="Times New Roman" w:cs="Times New Roman"/>
          <w:sz w:val="24"/>
          <w:szCs w:val="24"/>
        </w:rPr>
        <w:t>. Available at: https://www.sutton.gov.uk/documents/20124/212502/Sutton_Compact.pdf/066713ed-0967-9851-8b84-559f1dd2a9b1. (Accessed: March 10, 2023).</w:t>
      </w:r>
    </w:p>
    <w:p w14:paraId="2DB96413" w14:textId="77777777" w:rsidR="008800A8" w:rsidRDefault="00000000" w:rsidP="008800A8">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Sutton, 2023a. </w:t>
      </w:r>
      <w:r>
        <w:rPr>
          <w:rFonts w:ascii="Times New Roman" w:eastAsia="Times New Roman" w:hAnsi="Times New Roman" w:cs="Times New Roman"/>
          <w:i/>
          <w:sz w:val="24"/>
          <w:szCs w:val="24"/>
        </w:rPr>
        <w:t>Sutton Council-Home.</w:t>
      </w:r>
      <w:r>
        <w:rPr>
          <w:rFonts w:ascii="Times New Roman" w:eastAsia="Times New Roman" w:hAnsi="Times New Roman" w:cs="Times New Roman"/>
          <w:sz w:val="24"/>
          <w:szCs w:val="24"/>
        </w:rPr>
        <w:t xml:space="preserve"> Available at: https://www.sutton.gov.uk/ (Assessed: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2023)</w:t>
      </w:r>
    </w:p>
    <w:p w14:paraId="3C410744" w14:textId="77777777" w:rsidR="008800A8" w:rsidRDefault="00000000" w:rsidP="008800A8">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Sutton, 2023b. </w:t>
      </w:r>
      <w:r>
        <w:rPr>
          <w:rFonts w:ascii="Times New Roman" w:eastAsia="Times New Roman" w:hAnsi="Times New Roman" w:cs="Times New Roman"/>
          <w:i/>
          <w:sz w:val="24"/>
          <w:szCs w:val="24"/>
        </w:rPr>
        <w:t>Latest News-Sutton Council</w:t>
      </w:r>
      <w:r>
        <w:rPr>
          <w:rFonts w:ascii="Times New Roman" w:eastAsia="Times New Roman" w:hAnsi="Times New Roman" w:cs="Times New Roman"/>
          <w:sz w:val="24"/>
          <w:szCs w:val="24"/>
        </w:rPr>
        <w:t>. Available at: https://www.sutton.gov.uk/latest-news (Assessed: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2023)</w:t>
      </w:r>
    </w:p>
    <w:p w14:paraId="25C097CB" w14:textId="77777777" w:rsidR="008800A8" w:rsidRDefault="00000000" w:rsidP="008800A8">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Sutton, 2023c. </w:t>
      </w:r>
      <w:r>
        <w:rPr>
          <w:rFonts w:ascii="Times New Roman" w:eastAsia="Times New Roman" w:hAnsi="Times New Roman" w:cs="Times New Roman"/>
          <w:i/>
          <w:sz w:val="24"/>
          <w:szCs w:val="24"/>
        </w:rPr>
        <w:t>Community Engagement Strategy and Principles</w:t>
      </w:r>
      <w:r>
        <w:rPr>
          <w:rFonts w:ascii="Times New Roman" w:eastAsia="Times New Roman" w:hAnsi="Times New Roman" w:cs="Times New Roman"/>
          <w:sz w:val="24"/>
          <w:szCs w:val="24"/>
        </w:rPr>
        <w:t>. Available at: https://moderngov.sutton.gov.uk/documents/s6307/engagement%20strategy%20consultation%20final%20draft.pdf. (Accessed: March 10, 2023).</w:t>
      </w:r>
    </w:p>
    <w:p w14:paraId="688C0349" w14:textId="77777777" w:rsidR="008800A8" w:rsidRDefault="00000000" w:rsidP="008800A8">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Sutton, 2023d. Sutton Council-Live Consultations. Available at: https://www.sutton.gov.uk/w/live-consultations/ (Assessed: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2023)</w:t>
      </w:r>
    </w:p>
    <w:p w14:paraId="00000059" w14:textId="2AC53957" w:rsidR="000674C7" w:rsidRDefault="00000000" w:rsidP="00C4507A">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Sutton, 2023e. Out Outcome of Preferred Consultation Options. Available at: https://www.sutton.gov.uk/-/outcome-of-preferred-options-consultation (Assessed: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March, 2023)</w:t>
      </w:r>
    </w:p>
    <w:sectPr w:rsidR="000674C7" w:rsidSect="004137A6">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DC322" w14:textId="77777777" w:rsidR="00924329" w:rsidRDefault="00924329">
      <w:pPr>
        <w:spacing w:line="240" w:lineRule="auto"/>
      </w:pPr>
      <w:r>
        <w:separator/>
      </w:r>
    </w:p>
  </w:endnote>
  <w:endnote w:type="continuationSeparator" w:id="0">
    <w:p w14:paraId="0036C1AC" w14:textId="77777777" w:rsidR="00924329" w:rsidRDefault="009243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815092"/>
      <w:docPartObj>
        <w:docPartGallery w:val="Page Numbers (Bottom of Page)"/>
        <w:docPartUnique/>
      </w:docPartObj>
    </w:sdtPr>
    <w:sdtEndPr>
      <w:rPr>
        <w:noProof/>
      </w:rPr>
    </w:sdtEndPr>
    <w:sdtContent>
      <w:p w14:paraId="459ACFD8" w14:textId="115B3CB7" w:rsidR="00C4507A" w:rsidRDefault="00000000">
        <w:pPr>
          <w:pStyle w:val="Footer"/>
          <w:jc w:val="right"/>
        </w:pPr>
        <w:r w:rsidRPr="00C4507A">
          <w:rPr>
            <w:rFonts w:ascii="Times New Roman" w:hAnsi="Times New Roman" w:cs="Times New Roman"/>
            <w:sz w:val="20"/>
            <w:szCs w:val="20"/>
          </w:rPr>
          <w:fldChar w:fldCharType="begin"/>
        </w:r>
        <w:r w:rsidRPr="00C4507A">
          <w:rPr>
            <w:rFonts w:ascii="Times New Roman" w:hAnsi="Times New Roman" w:cs="Times New Roman"/>
            <w:sz w:val="20"/>
            <w:szCs w:val="20"/>
          </w:rPr>
          <w:instrText xml:space="preserve"> PAGE   \* MERGEFORMAT </w:instrText>
        </w:r>
        <w:r w:rsidRPr="00C4507A">
          <w:rPr>
            <w:rFonts w:ascii="Times New Roman" w:hAnsi="Times New Roman" w:cs="Times New Roman"/>
            <w:sz w:val="20"/>
            <w:szCs w:val="20"/>
          </w:rPr>
          <w:fldChar w:fldCharType="separate"/>
        </w:r>
        <w:r w:rsidRPr="00C4507A">
          <w:rPr>
            <w:rFonts w:ascii="Times New Roman" w:hAnsi="Times New Roman" w:cs="Times New Roman"/>
            <w:noProof/>
            <w:sz w:val="20"/>
            <w:szCs w:val="20"/>
          </w:rPr>
          <w:t>2</w:t>
        </w:r>
        <w:r w:rsidRPr="00C4507A">
          <w:rPr>
            <w:rFonts w:ascii="Times New Roman" w:hAnsi="Times New Roman" w:cs="Times New Roman"/>
            <w:noProof/>
            <w:sz w:val="20"/>
            <w:szCs w:val="20"/>
          </w:rPr>
          <w:fldChar w:fldCharType="end"/>
        </w:r>
      </w:p>
    </w:sdtContent>
  </w:sdt>
  <w:p w14:paraId="497034E9" w14:textId="77777777" w:rsidR="00C4507A" w:rsidRDefault="00C45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1CFC7" w14:textId="77777777" w:rsidR="00924329" w:rsidRDefault="00924329">
      <w:pPr>
        <w:spacing w:line="240" w:lineRule="auto"/>
      </w:pPr>
      <w:r>
        <w:separator/>
      </w:r>
    </w:p>
  </w:footnote>
  <w:footnote w:type="continuationSeparator" w:id="0">
    <w:p w14:paraId="460DE9EB" w14:textId="77777777" w:rsidR="00924329" w:rsidRDefault="009243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4C7"/>
    <w:rsid w:val="000674C7"/>
    <w:rsid w:val="002401C8"/>
    <w:rsid w:val="002439F3"/>
    <w:rsid w:val="003B268F"/>
    <w:rsid w:val="004137A6"/>
    <w:rsid w:val="0065045C"/>
    <w:rsid w:val="007834C7"/>
    <w:rsid w:val="007E01C2"/>
    <w:rsid w:val="008800A8"/>
    <w:rsid w:val="00924329"/>
    <w:rsid w:val="009344A3"/>
    <w:rsid w:val="00B31453"/>
    <w:rsid w:val="00C4507A"/>
    <w:rsid w:val="00D350C4"/>
    <w:rsid w:val="00DF5111"/>
    <w:rsid w:val="00E01513"/>
    <w:rsid w:val="00E44CC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ACAA"/>
  <w15:docId w15:val="{1CC5E17E-AD4F-4AF0-9B02-89288553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D350C4"/>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4507A"/>
    <w:pPr>
      <w:tabs>
        <w:tab w:val="center" w:pos="4513"/>
        <w:tab w:val="right" w:pos="9026"/>
      </w:tabs>
      <w:spacing w:line="240" w:lineRule="auto"/>
    </w:pPr>
  </w:style>
  <w:style w:type="character" w:customStyle="1" w:styleId="HeaderChar">
    <w:name w:val="Header Char"/>
    <w:basedOn w:val="DefaultParagraphFont"/>
    <w:link w:val="Header"/>
    <w:uiPriority w:val="99"/>
    <w:rsid w:val="00C4507A"/>
  </w:style>
  <w:style w:type="paragraph" w:styleId="Footer">
    <w:name w:val="footer"/>
    <w:basedOn w:val="Normal"/>
    <w:link w:val="FooterChar"/>
    <w:uiPriority w:val="99"/>
    <w:unhideWhenUsed/>
    <w:rsid w:val="00C4507A"/>
    <w:pPr>
      <w:tabs>
        <w:tab w:val="center" w:pos="4513"/>
        <w:tab w:val="right" w:pos="9026"/>
      </w:tabs>
      <w:spacing w:line="240" w:lineRule="auto"/>
    </w:pPr>
  </w:style>
  <w:style w:type="character" w:customStyle="1" w:styleId="FooterChar">
    <w:name w:val="Footer Char"/>
    <w:basedOn w:val="DefaultParagraphFont"/>
    <w:link w:val="Footer"/>
    <w:uiPriority w:val="99"/>
    <w:rsid w:val="00C4507A"/>
  </w:style>
  <w:style w:type="paragraph" w:styleId="TOCHeading">
    <w:name w:val="TOC Heading"/>
    <w:basedOn w:val="Heading1"/>
    <w:next w:val="Normal"/>
    <w:uiPriority w:val="39"/>
    <w:unhideWhenUsed/>
    <w:qFormat/>
    <w:rsid w:val="009344A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344A3"/>
    <w:pPr>
      <w:spacing w:after="100"/>
    </w:pPr>
  </w:style>
  <w:style w:type="character" w:styleId="Hyperlink">
    <w:name w:val="Hyperlink"/>
    <w:basedOn w:val="DefaultParagraphFont"/>
    <w:uiPriority w:val="99"/>
    <w:unhideWhenUsed/>
    <w:rsid w:val="009344A3"/>
    <w:rPr>
      <w:color w:val="0000FF" w:themeColor="hyperlink"/>
      <w:u w:val="single"/>
    </w:rPr>
  </w:style>
  <w:style w:type="paragraph" w:styleId="TOC2">
    <w:name w:val="toc 2"/>
    <w:basedOn w:val="Normal"/>
    <w:next w:val="Normal"/>
    <w:autoRedefine/>
    <w:uiPriority w:val="39"/>
    <w:unhideWhenUsed/>
    <w:rsid w:val="007834C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335471">
      <w:bodyDiv w:val="1"/>
      <w:marLeft w:val="0"/>
      <w:marRight w:val="0"/>
      <w:marTop w:val="0"/>
      <w:marBottom w:val="0"/>
      <w:divBdr>
        <w:top w:val="none" w:sz="0" w:space="0" w:color="auto"/>
        <w:left w:val="none" w:sz="0" w:space="0" w:color="auto"/>
        <w:bottom w:val="none" w:sz="0" w:space="0" w:color="auto"/>
        <w:right w:val="none" w:sz="0" w:space="0" w:color="auto"/>
      </w:divBdr>
      <w:divsChild>
        <w:div w:id="1539320805">
          <w:marLeft w:val="0"/>
          <w:marRight w:val="0"/>
          <w:marTop w:val="0"/>
          <w:marBottom w:val="0"/>
          <w:divBdr>
            <w:top w:val="none" w:sz="0" w:space="0" w:color="auto"/>
            <w:left w:val="none" w:sz="0" w:space="0" w:color="auto"/>
            <w:bottom w:val="none" w:sz="0" w:space="0" w:color="auto"/>
            <w:right w:val="none" w:sz="0" w:space="0" w:color="auto"/>
          </w:divBdr>
        </w:div>
        <w:div w:id="2047213651">
          <w:marLeft w:val="0"/>
          <w:marRight w:val="0"/>
          <w:marTop w:val="0"/>
          <w:marBottom w:val="0"/>
          <w:divBdr>
            <w:top w:val="none" w:sz="0" w:space="0" w:color="auto"/>
            <w:left w:val="none" w:sz="0" w:space="0" w:color="auto"/>
            <w:bottom w:val="none" w:sz="0" w:space="0" w:color="auto"/>
            <w:right w:val="none" w:sz="0" w:space="0" w:color="auto"/>
          </w:divBdr>
        </w:div>
        <w:div w:id="121307985">
          <w:marLeft w:val="0"/>
          <w:marRight w:val="0"/>
          <w:marTop w:val="0"/>
          <w:marBottom w:val="0"/>
          <w:divBdr>
            <w:top w:val="none" w:sz="0" w:space="0" w:color="auto"/>
            <w:left w:val="none" w:sz="0" w:space="0" w:color="auto"/>
            <w:bottom w:val="none" w:sz="0" w:space="0" w:color="auto"/>
            <w:right w:val="none" w:sz="0" w:space="0" w:color="auto"/>
          </w:divBdr>
        </w:div>
        <w:div w:id="10721967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067A0-A0E3-43FF-9605-9021D8B3D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2507</Words>
  <Characters>14294</Characters>
  <Application>Microsoft Office Word</Application>
  <DocSecurity>0</DocSecurity>
  <Lines>119</Lines>
  <Paragraphs>33</Paragraphs>
  <ScaleCrop>false</ScaleCrop>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Compliance1</cp:lastModifiedBy>
  <cp:revision>21</cp:revision>
  <dcterms:created xsi:type="dcterms:W3CDTF">2023-03-13T13:20:00Z</dcterms:created>
  <dcterms:modified xsi:type="dcterms:W3CDTF">2023-03-28T13:11:00Z</dcterms:modified>
</cp:coreProperties>
</file>