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A1EC50" w14:textId="77777777" w:rsidR="00A71B52" w:rsidRPr="008F0296" w:rsidRDefault="00A71B52" w:rsidP="00FA3CB7">
      <w:pPr>
        <w:spacing w:line="360" w:lineRule="auto"/>
        <w:jc w:val="center"/>
        <w:rPr>
          <w:rFonts w:asciiTheme="majorHAnsi" w:hAnsiTheme="majorHAnsi" w:cstheme="majorHAnsi"/>
          <w:color w:val="000000" w:themeColor="text1"/>
          <w:sz w:val="64"/>
          <w:szCs w:val="64"/>
        </w:rPr>
      </w:pPr>
      <w:bookmarkStart w:id="0" w:name="_Hlk224491117"/>
      <w:bookmarkEnd w:id="0"/>
      <w:r w:rsidRPr="008F0296">
        <w:rPr>
          <w:rFonts w:asciiTheme="majorHAnsi" w:hAnsiTheme="majorHAnsi" w:cstheme="majorHAnsi"/>
          <w:color w:val="000000" w:themeColor="text1"/>
          <w:sz w:val="64"/>
          <w:szCs w:val="64"/>
        </w:rPr>
        <w:t>Student Name:  Corneliu-Bogdan Dan</w:t>
      </w:r>
    </w:p>
    <w:p w14:paraId="34F394A0" w14:textId="77777777" w:rsidR="00A71B52" w:rsidRPr="008F0296" w:rsidRDefault="00A71B52" w:rsidP="00FA3CB7">
      <w:pPr>
        <w:spacing w:line="360" w:lineRule="auto"/>
        <w:jc w:val="center"/>
        <w:rPr>
          <w:rFonts w:asciiTheme="majorHAnsi" w:hAnsiTheme="majorHAnsi" w:cstheme="majorHAnsi"/>
          <w:color w:val="000000" w:themeColor="text1"/>
          <w:sz w:val="64"/>
          <w:szCs w:val="64"/>
        </w:rPr>
      </w:pPr>
      <w:r w:rsidRPr="008F0296">
        <w:rPr>
          <w:rFonts w:asciiTheme="majorHAnsi" w:hAnsiTheme="majorHAnsi" w:cstheme="majorHAnsi"/>
          <w:color w:val="000000" w:themeColor="text1"/>
          <w:sz w:val="64"/>
          <w:szCs w:val="64"/>
        </w:rPr>
        <w:t>Student ID:  2310378</w:t>
      </w:r>
    </w:p>
    <w:p w14:paraId="7F99969D" w14:textId="77777777" w:rsidR="00A71B52" w:rsidRPr="008F0296" w:rsidRDefault="00A71B52" w:rsidP="00FA3CB7">
      <w:pPr>
        <w:spacing w:line="360" w:lineRule="auto"/>
        <w:jc w:val="center"/>
        <w:rPr>
          <w:rFonts w:asciiTheme="majorHAnsi" w:hAnsiTheme="majorHAnsi" w:cstheme="majorHAnsi"/>
          <w:color w:val="000000" w:themeColor="text1"/>
          <w:sz w:val="64"/>
          <w:szCs w:val="64"/>
        </w:rPr>
      </w:pPr>
      <w:r w:rsidRPr="008F0296">
        <w:rPr>
          <w:rFonts w:asciiTheme="majorHAnsi" w:hAnsiTheme="majorHAnsi" w:cstheme="majorHAnsi"/>
          <w:color w:val="000000" w:themeColor="text1"/>
          <w:sz w:val="64"/>
          <w:szCs w:val="64"/>
        </w:rPr>
        <w:t>Module: Principles of Human Resource Management</w:t>
      </w:r>
    </w:p>
    <w:p w14:paraId="4233F2BB" w14:textId="77777777" w:rsidR="00A71B52" w:rsidRPr="008F0296" w:rsidRDefault="00A71B52" w:rsidP="00FA3CB7">
      <w:pPr>
        <w:spacing w:line="360" w:lineRule="auto"/>
        <w:jc w:val="center"/>
        <w:rPr>
          <w:rFonts w:asciiTheme="majorHAnsi" w:hAnsiTheme="majorHAnsi" w:cstheme="majorHAnsi"/>
          <w:color w:val="000000" w:themeColor="text1"/>
          <w:sz w:val="64"/>
          <w:szCs w:val="64"/>
          <w:lang w:val="nl-NL"/>
        </w:rPr>
      </w:pPr>
      <w:r w:rsidRPr="008F0296">
        <w:rPr>
          <w:rFonts w:asciiTheme="majorHAnsi" w:hAnsiTheme="majorHAnsi" w:cstheme="majorHAnsi"/>
          <w:color w:val="000000" w:themeColor="text1"/>
          <w:sz w:val="64"/>
          <w:szCs w:val="64"/>
          <w:lang w:val="nl-NL"/>
        </w:rPr>
        <w:t>Module code:  LCBB5012</w:t>
      </w:r>
    </w:p>
    <w:p w14:paraId="5DF3C6C6" w14:textId="19528C5B" w:rsidR="00A71B52" w:rsidRPr="008F0296" w:rsidRDefault="00A71B52" w:rsidP="00FA3CB7">
      <w:pPr>
        <w:spacing w:line="360" w:lineRule="auto"/>
        <w:jc w:val="center"/>
        <w:rPr>
          <w:rFonts w:asciiTheme="majorHAnsi" w:hAnsiTheme="majorHAnsi" w:cstheme="majorHAnsi"/>
          <w:sz w:val="64"/>
          <w:szCs w:val="64"/>
        </w:rPr>
      </w:pPr>
      <w:r w:rsidRPr="008F0296">
        <w:rPr>
          <w:rFonts w:asciiTheme="majorHAnsi" w:hAnsiTheme="majorHAnsi" w:cstheme="majorHAnsi"/>
          <w:color w:val="000000" w:themeColor="text1"/>
          <w:sz w:val="64"/>
          <w:szCs w:val="64"/>
        </w:rPr>
        <w:t xml:space="preserve">Assignment title: Component </w:t>
      </w:r>
      <w:r w:rsidRPr="008F0296">
        <w:rPr>
          <w:rFonts w:asciiTheme="majorHAnsi" w:hAnsiTheme="majorHAnsi" w:cstheme="majorHAnsi"/>
          <w:sz w:val="64"/>
          <w:szCs w:val="64"/>
        </w:rPr>
        <w:t>2: Coursework: Individual Report</w:t>
      </w:r>
    </w:p>
    <w:p w14:paraId="6C1D87C6" w14:textId="77777777" w:rsidR="00A71B52" w:rsidRPr="008F0296" w:rsidRDefault="00A71B52" w:rsidP="00FA3CB7">
      <w:pPr>
        <w:spacing w:line="360" w:lineRule="auto"/>
        <w:jc w:val="center"/>
        <w:rPr>
          <w:rFonts w:asciiTheme="majorHAnsi" w:hAnsiTheme="majorHAnsi" w:cstheme="majorHAnsi"/>
          <w:sz w:val="64"/>
          <w:szCs w:val="64"/>
          <w:shd w:val="clear" w:color="auto" w:fill="FFFFFF"/>
        </w:rPr>
      </w:pPr>
      <w:r w:rsidRPr="008F0296">
        <w:rPr>
          <w:rFonts w:asciiTheme="majorHAnsi" w:hAnsiTheme="majorHAnsi" w:cstheme="majorHAnsi"/>
          <w:sz w:val="64"/>
          <w:szCs w:val="64"/>
        </w:rPr>
        <w:t xml:space="preserve">Lecturer’s name: </w:t>
      </w:r>
      <w:r w:rsidRPr="008F0296">
        <w:rPr>
          <w:rFonts w:asciiTheme="majorHAnsi" w:hAnsiTheme="majorHAnsi" w:cstheme="majorHAnsi"/>
          <w:sz w:val="64"/>
          <w:szCs w:val="64"/>
          <w:shd w:val="clear" w:color="auto" w:fill="FFFFFF"/>
        </w:rPr>
        <w:t>Nassir Ibrahim</w:t>
      </w:r>
    </w:p>
    <w:p w14:paraId="350549B7" w14:textId="76B3A9FF" w:rsidR="005252E8" w:rsidRPr="008F0296" w:rsidRDefault="00A71B52" w:rsidP="00FA3CB7">
      <w:pPr>
        <w:spacing w:line="360" w:lineRule="auto"/>
        <w:jc w:val="center"/>
        <w:rPr>
          <w:rFonts w:asciiTheme="majorHAnsi" w:hAnsiTheme="majorHAnsi" w:cstheme="majorHAnsi"/>
          <w:sz w:val="64"/>
          <w:szCs w:val="64"/>
        </w:rPr>
      </w:pPr>
      <w:r w:rsidRPr="008F0296">
        <w:rPr>
          <w:rStyle w:val="Strong"/>
          <w:rFonts w:asciiTheme="majorHAnsi" w:hAnsiTheme="majorHAnsi" w:cstheme="majorHAnsi"/>
          <w:noProof/>
          <w:color w:val="000000" w:themeColor="text1"/>
          <w:sz w:val="64"/>
          <w:szCs w:val="64"/>
        </w:rPr>
        <w:drawing>
          <wp:inline distT="0" distB="0" distL="0" distR="0" wp14:anchorId="33D8546F" wp14:editId="3295184C">
            <wp:extent cx="1095375" cy="1082998"/>
            <wp:effectExtent l="0" t="0" r="0" b="3175"/>
            <wp:docPr id="869555583"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555583" name="Picture 1" descr="A black and yellow shield with blue flower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5284" cy="1092795"/>
                    </a:xfrm>
                    <a:prstGeom prst="rect">
                      <a:avLst/>
                    </a:prstGeom>
                    <a:noFill/>
                    <a:ln>
                      <a:noFill/>
                    </a:ln>
                  </pic:spPr>
                </pic:pic>
              </a:graphicData>
            </a:graphic>
          </wp:inline>
        </w:drawing>
      </w:r>
    </w:p>
    <w:sdt>
      <w:sdtPr>
        <w:rPr>
          <w:rFonts w:asciiTheme="minorHAnsi" w:eastAsiaTheme="minorHAnsi" w:hAnsiTheme="minorHAnsi" w:cstheme="majorHAnsi"/>
          <w:color w:val="auto"/>
          <w:kern w:val="2"/>
          <w:sz w:val="22"/>
          <w:szCs w:val="22"/>
          <w:lang w:val="en-GB"/>
          <w14:ligatures w14:val="standardContextual"/>
        </w:rPr>
        <w:id w:val="28619091"/>
        <w:docPartObj>
          <w:docPartGallery w:val="Table of Contents"/>
          <w:docPartUnique/>
        </w:docPartObj>
      </w:sdtPr>
      <w:sdtEndPr>
        <w:rPr>
          <w:b/>
          <w:bCs/>
          <w:noProof/>
        </w:rPr>
      </w:sdtEndPr>
      <w:sdtContent>
        <w:p w14:paraId="3DED562F" w14:textId="518025D4" w:rsidR="00CE7AC0" w:rsidRPr="00FA3CB7" w:rsidRDefault="00CE7AC0" w:rsidP="00FA3CB7">
          <w:pPr>
            <w:pStyle w:val="TOCHeading"/>
            <w:spacing w:line="360" w:lineRule="auto"/>
            <w:rPr>
              <w:rFonts w:cstheme="majorHAnsi"/>
              <w:color w:val="auto"/>
              <w:sz w:val="36"/>
              <w:szCs w:val="36"/>
            </w:rPr>
          </w:pPr>
          <w:r w:rsidRPr="00FA3CB7">
            <w:rPr>
              <w:rFonts w:cstheme="majorHAnsi"/>
              <w:color w:val="auto"/>
              <w:sz w:val="36"/>
              <w:szCs w:val="36"/>
            </w:rPr>
            <w:t>Table of Contents</w:t>
          </w:r>
        </w:p>
        <w:p w14:paraId="6CCCAF48" w14:textId="7D97D55D" w:rsidR="00FA3CB7" w:rsidRPr="00FA3CB7" w:rsidRDefault="00CE7AC0">
          <w:pPr>
            <w:pStyle w:val="TOC1"/>
            <w:tabs>
              <w:tab w:val="right" w:leader="dot" w:pos="9016"/>
            </w:tabs>
            <w:rPr>
              <w:rFonts w:cstheme="minorBidi"/>
              <w:noProof/>
              <w:kern w:val="2"/>
              <w:sz w:val="24"/>
              <w:szCs w:val="24"/>
              <w:lang w:val="en-GB" w:eastAsia="en-GB"/>
              <w14:ligatures w14:val="standardContextual"/>
            </w:rPr>
          </w:pPr>
          <w:r w:rsidRPr="00FA3CB7">
            <w:rPr>
              <w:rFonts w:asciiTheme="majorHAnsi" w:hAnsiTheme="majorHAnsi" w:cstheme="majorHAnsi"/>
              <w:sz w:val="24"/>
              <w:szCs w:val="24"/>
            </w:rPr>
            <w:fldChar w:fldCharType="begin"/>
          </w:r>
          <w:r w:rsidRPr="00FA3CB7">
            <w:rPr>
              <w:rFonts w:asciiTheme="majorHAnsi" w:hAnsiTheme="majorHAnsi" w:cstheme="majorHAnsi"/>
              <w:sz w:val="24"/>
              <w:szCs w:val="24"/>
            </w:rPr>
            <w:instrText xml:space="preserve"> TOC \o "1-3" \h \z \u </w:instrText>
          </w:r>
          <w:r w:rsidRPr="00FA3CB7">
            <w:rPr>
              <w:rFonts w:asciiTheme="majorHAnsi" w:hAnsiTheme="majorHAnsi" w:cstheme="majorHAnsi"/>
              <w:sz w:val="24"/>
              <w:szCs w:val="24"/>
            </w:rPr>
            <w:fldChar w:fldCharType="separate"/>
          </w:r>
          <w:hyperlink w:anchor="_Toc235202362" w:history="1">
            <w:r w:rsidR="00FA3CB7" w:rsidRPr="00FA3CB7">
              <w:rPr>
                <w:rStyle w:val="Hyperlink"/>
                <w:rFonts w:asciiTheme="majorHAnsi" w:eastAsia="Times New Roman" w:hAnsiTheme="majorHAnsi" w:cstheme="majorHAnsi"/>
                <w:b/>
                <w:bCs/>
                <w:noProof/>
                <w:kern w:val="36"/>
                <w:sz w:val="24"/>
                <w:szCs w:val="24"/>
                <w:lang w:eastAsia="en-GB"/>
              </w:rPr>
              <w:t>1. Introduction</w:t>
            </w:r>
            <w:r w:rsidR="00FA3CB7" w:rsidRPr="00FA3CB7">
              <w:rPr>
                <w:noProof/>
                <w:webHidden/>
                <w:sz w:val="24"/>
                <w:szCs w:val="24"/>
              </w:rPr>
              <w:tab/>
            </w:r>
            <w:r w:rsidR="00FA3CB7" w:rsidRPr="00FA3CB7">
              <w:rPr>
                <w:noProof/>
                <w:webHidden/>
                <w:sz w:val="24"/>
                <w:szCs w:val="24"/>
              </w:rPr>
              <w:fldChar w:fldCharType="begin"/>
            </w:r>
            <w:r w:rsidR="00FA3CB7" w:rsidRPr="00FA3CB7">
              <w:rPr>
                <w:noProof/>
                <w:webHidden/>
                <w:sz w:val="24"/>
                <w:szCs w:val="24"/>
              </w:rPr>
              <w:instrText xml:space="preserve"> PAGEREF _Toc235202362 \h </w:instrText>
            </w:r>
            <w:r w:rsidR="00FA3CB7" w:rsidRPr="00FA3CB7">
              <w:rPr>
                <w:noProof/>
                <w:webHidden/>
                <w:sz w:val="24"/>
                <w:szCs w:val="24"/>
              </w:rPr>
            </w:r>
            <w:r w:rsidR="00FA3CB7" w:rsidRPr="00FA3CB7">
              <w:rPr>
                <w:noProof/>
                <w:webHidden/>
                <w:sz w:val="24"/>
                <w:szCs w:val="24"/>
              </w:rPr>
              <w:fldChar w:fldCharType="separate"/>
            </w:r>
            <w:r w:rsidR="00FA3CB7" w:rsidRPr="00FA3CB7">
              <w:rPr>
                <w:noProof/>
                <w:webHidden/>
                <w:sz w:val="24"/>
                <w:szCs w:val="24"/>
              </w:rPr>
              <w:t>3</w:t>
            </w:r>
            <w:r w:rsidR="00FA3CB7" w:rsidRPr="00FA3CB7">
              <w:rPr>
                <w:noProof/>
                <w:webHidden/>
                <w:sz w:val="24"/>
                <w:szCs w:val="24"/>
              </w:rPr>
              <w:fldChar w:fldCharType="end"/>
            </w:r>
          </w:hyperlink>
        </w:p>
        <w:p w14:paraId="036D4D7A" w14:textId="11ECF73F" w:rsidR="00FA3CB7" w:rsidRPr="00FA3CB7" w:rsidRDefault="00000000">
          <w:pPr>
            <w:pStyle w:val="TOC1"/>
            <w:tabs>
              <w:tab w:val="right" w:leader="dot" w:pos="9016"/>
            </w:tabs>
            <w:rPr>
              <w:rFonts w:cstheme="minorBidi"/>
              <w:noProof/>
              <w:kern w:val="2"/>
              <w:sz w:val="24"/>
              <w:szCs w:val="24"/>
              <w:lang w:val="en-GB" w:eastAsia="en-GB"/>
              <w14:ligatures w14:val="standardContextual"/>
            </w:rPr>
          </w:pPr>
          <w:hyperlink w:anchor="_Toc235202363" w:history="1">
            <w:r w:rsidR="00FA3CB7" w:rsidRPr="00FA3CB7">
              <w:rPr>
                <w:rStyle w:val="Hyperlink"/>
                <w:rFonts w:asciiTheme="majorHAnsi" w:eastAsia="Times New Roman" w:hAnsiTheme="majorHAnsi" w:cstheme="majorHAnsi"/>
                <w:b/>
                <w:bCs/>
                <w:noProof/>
                <w:kern w:val="36"/>
                <w:sz w:val="24"/>
                <w:szCs w:val="24"/>
                <w:lang w:eastAsia="en-GB"/>
              </w:rPr>
              <w:t>2. Internal and External Environment</w:t>
            </w:r>
            <w:r w:rsidR="00FA3CB7" w:rsidRPr="00FA3CB7">
              <w:rPr>
                <w:noProof/>
                <w:webHidden/>
                <w:sz w:val="24"/>
                <w:szCs w:val="24"/>
              </w:rPr>
              <w:tab/>
            </w:r>
            <w:r w:rsidR="00FA3CB7" w:rsidRPr="00FA3CB7">
              <w:rPr>
                <w:noProof/>
                <w:webHidden/>
                <w:sz w:val="24"/>
                <w:szCs w:val="24"/>
              </w:rPr>
              <w:fldChar w:fldCharType="begin"/>
            </w:r>
            <w:r w:rsidR="00FA3CB7" w:rsidRPr="00FA3CB7">
              <w:rPr>
                <w:noProof/>
                <w:webHidden/>
                <w:sz w:val="24"/>
                <w:szCs w:val="24"/>
              </w:rPr>
              <w:instrText xml:space="preserve"> PAGEREF _Toc235202363 \h </w:instrText>
            </w:r>
            <w:r w:rsidR="00FA3CB7" w:rsidRPr="00FA3CB7">
              <w:rPr>
                <w:noProof/>
                <w:webHidden/>
                <w:sz w:val="24"/>
                <w:szCs w:val="24"/>
              </w:rPr>
            </w:r>
            <w:r w:rsidR="00FA3CB7" w:rsidRPr="00FA3CB7">
              <w:rPr>
                <w:noProof/>
                <w:webHidden/>
                <w:sz w:val="24"/>
                <w:szCs w:val="24"/>
              </w:rPr>
              <w:fldChar w:fldCharType="separate"/>
            </w:r>
            <w:r w:rsidR="00FA3CB7" w:rsidRPr="00FA3CB7">
              <w:rPr>
                <w:noProof/>
                <w:webHidden/>
                <w:sz w:val="24"/>
                <w:szCs w:val="24"/>
              </w:rPr>
              <w:t>3</w:t>
            </w:r>
            <w:r w:rsidR="00FA3CB7" w:rsidRPr="00FA3CB7">
              <w:rPr>
                <w:noProof/>
                <w:webHidden/>
                <w:sz w:val="24"/>
                <w:szCs w:val="24"/>
              </w:rPr>
              <w:fldChar w:fldCharType="end"/>
            </w:r>
          </w:hyperlink>
        </w:p>
        <w:p w14:paraId="1341FF97" w14:textId="09656A48" w:rsidR="00FA3CB7" w:rsidRPr="00FA3CB7" w:rsidRDefault="00000000">
          <w:pPr>
            <w:pStyle w:val="TOC1"/>
            <w:tabs>
              <w:tab w:val="right" w:leader="dot" w:pos="9016"/>
            </w:tabs>
            <w:rPr>
              <w:rFonts w:cstheme="minorBidi"/>
              <w:noProof/>
              <w:kern w:val="2"/>
              <w:sz w:val="24"/>
              <w:szCs w:val="24"/>
              <w:lang w:val="en-GB" w:eastAsia="en-GB"/>
              <w14:ligatures w14:val="standardContextual"/>
            </w:rPr>
          </w:pPr>
          <w:hyperlink w:anchor="_Toc235202364" w:history="1">
            <w:r w:rsidR="00FA3CB7" w:rsidRPr="00FA3CB7">
              <w:rPr>
                <w:rStyle w:val="Hyperlink"/>
                <w:rFonts w:asciiTheme="majorHAnsi" w:eastAsia="Times New Roman" w:hAnsiTheme="majorHAnsi" w:cstheme="majorHAnsi"/>
                <w:b/>
                <w:bCs/>
                <w:noProof/>
                <w:kern w:val="36"/>
                <w:sz w:val="24"/>
                <w:szCs w:val="24"/>
                <w:lang w:eastAsia="en-GB"/>
              </w:rPr>
              <w:t>3. Organisation Application</w:t>
            </w:r>
            <w:r w:rsidR="00FA3CB7" w:rsidRPr="00FA3CB7">
              <w:rPr>
                <w:noProof/>
                <w:webHidden/>
                <w:sz w:val="24"/>
                <w:szCs w:val="24"/>
              </w:rPr>
              <w:tab/>
            </w:r>
            <w:r w:rsidR="00FA3CB7" w:rsidRPr="00FA3CB7">
              <w:rPr>
                <w:noProof/>
                <w:webHidden/>
                <w:sz w:val="24"/>
                <w:szCs w:val="24"/>
              </w:rPr>
              <w:fldChar w:fldCharType="begin"/>
            </w:r>
            <w:r w:rsidR="00FA3CB7" w:rsidRPr="00FA3CB7">
              <w:rPr>
                <w:noProof/>
                <w:webHidden/>
                <w:sz w:val="24"/>
                <w:szCs w:val="24"/>
              </w:rPr>
              <w:instrText xml:space="preserve"> PAGEREF _Toc235202364 \h </w:instrText>
            </w:r>
            <w:r w:rsidR="00FA3CB7" w:rsidRPr="00FA3CB7">
              <w:rPr>
                <w:noProof/>
                <w:webHidden/>
                <w:sz w:val="24"/>
                <w:szCs w:val="24"/>
              </w:rPr>
            </w:r>
            <w:r w:rsidR="00FA3CB7" w:rsidRPr="00FA3CB7">
              <w:rPr>
                <w:noProof/>
                <w:webHidden/>
                <w:sz w:val="24"/>
                <w:szCs w:val="24"/>
              </w:rPr>
              <w:fldChar w:fldCharType="separate"/>
            </w:r>
            <w:r w:rsidR="00FA3CB7" w:rsidRPr="00FA3CB7">
              <w:rPr>
                <w:noProof/>
                <w:webHidden/>
                <w:sz w:val="24"/>
                <w:szCs w:val="24"/>
              </w:rPr>
              <w:t>5</w:t>
            </w:r>
            <w:r w:rsidR="00FA3CB7" w:rsidRPr="00FA3CB7">
              <w:rPr>
                <w:noProof/>
                <w:webHidden/>
                <w:sz w:val="24"/>
                <w:szCs w:val="24"/>
              </w:rPr>
              <w:fldChar w:fldCharType="end"/>
            </w:r>
          </w:hyperlink>
        </w:p>
        <w:p w14:paraId="65F6F528" w14:textId="4418274B" w:rsidR="00FA3CB7" w:rsidRPr="00FA3CB7" w:rsidRDefault="00000000">
          <w:pPr>
            <w:pStyle w:val="TOC1"/>
            <w:tabs>
              <w:tab w:val="right" w:leader="dot" w:pos="9016"/>
            </w:tabs>
            <w:rPr>
              <w:rFonts w:cstheme="minorBidi"/>
              <w:noProof/>
              <w:kern w:val="2"/>
              <w:sz w:val="24"/>
              <w:szCs w:val="24"/>
              <w:lang w:val="en-GB" w:eastAsia="en-GB"/>
              <w14:ligatures w14:val="standardContextual"/>
            </w:rPr>
          </w:pPr>
          <w:hyperlink w:anchor="_Toc235202365" w:history="1">
            <w:r w:rsidR="00FA3CB7" w:rsidRPr="00FA3CB7">
              <w:rPr>
                <w:rStyle w:val="Hyperlink"/>
                <w:rFonts w:asciiTheme="majorHAnsi" w:eastAsia="Times New Roman" w:hAnsiTheme="majorHAnsi" w:cstheme="majorHAnsi"/>
                <w:b/>
                <w:bCs/>
                <w:noProof/>
                <w:kern w:val="36"/>
                <w:sz w:val="24"/>
                <w:szCs w:val="24"/>
                <w:lang w:eastAsia="en-GB"/>
              </w:rPr>
              <w:t>4. Application of PESTLE to Unilever</w:t>
            </w:r>
            <w:r w:rsidR="00FA3CB7" w:rsidRPr="00FA3CB7">
              <w:rPr>
                <w:noProof/>
                <w:webHidden/>
                <w:sz w:val="24"/>
                <w:szCs w:val="24"/>
              </w:rPr>
              <w:tab/>
            </w:r>
            <w:r w:rsidR="00FA3CB7" w:rsidRPr="00FA3CB7">
              <w:rPr>
                <w:noProof/>
                <w:webHidden/>
                <w:sz w:val="24"/>
                <w:szCs w:val="24"/>
              </w:rPr>
              <w:fldChar w:fldCharType="begin"/>
            </w:r>
            <w:r w:rsidR="00FA3CB7" w:rsidRPr="00FA3CB7">
              <w:rPr>
                <w:noProof/>
                <w:webHidden/>
                <w:sz w:val="24"/>
                <w:szCs w:val="24"/>
              </w:rPr>
              <w:instrText xml:space="preserve"> PAGEREF _Toc235202365 \h </w:instrText>
            </w:r>
            <w:r w:rsidR="00FA3CB7" w:rsidRPr="00FA3CB7">
              <w:rPr>
                <w:noProof/>
                <w:webHidden/>
                <w:sz w:val="24"/>
                <w:szCs w:val="24"/>
              </w:rPr>
            </w:r>
            <w:r w:rsidR="00FA3CB7" w:rsidRPr="00FA3CB7">
              <w:rPr>
                <w:noProof/>
                <w:webHidden/>
                <w:sz w:val="24"/>
                <w:szCs w:val="24"/>
              </w:rPr>
              <w:fldChar w:fldCharType="separate"/>
            </w:r>
            <w:r w:rsidR="00FA3CB7" w:rsidRPr="00FA3CB7">
              <w:rPr>
                <w:noProof/>
                <w:webHidden/>
                <w:sz w:val="24"/>
                <w:szCs w:val="24"/>
              </w:rPr>
              <w:t>6</w:t>
            </w:r>
            <w:r w:rsidR="00FA3CB7" w:rsidRPr="00FA3CB7">
              <w:rPr>
                <w:noProof/>
                <w:webHidden/>
                <w:sz w:val="24"/>
                <w:szCs w:val="24"/>
              </w:rPr>
              <w:fldChar w:fldCharType="end"/>
            </w:r>
          </w:hyperlink>
        </w:p>
        <w:p w14:paraId="4E27ED4D" w14:textId="69A0474F" w:rsidR="00FA3CB7" w:rsidRPr="00FA3CB7" w:rsidRDefault="00000000">
          <w:pPr>
            <w:pStyle w:val="TOC2"/>
            <w:tabs>
              <w:tab w:val="right" w:leader="dot" w:pos="9016"/>
            </w:tabs>
            <w:rPr>
              <w:rFonts w:eastAsiaTheme="minorEastAsia"/>
              <w:noProof/>
              <w:sz w:val="24"/>
              <w:szCs w:val="24"/>
              <w:lang w:eastAsia="en-GB"/>
            </w:rPr>
          </w:pPr>
          <w:hyperlink w:anchor="_Toc235202366" w:history="1">
            <w:r w:rsidR="00FA3CB7" w:rsidRPr="00FA3CB7">
              <w:rPr>
                <w:rStyle w:val="Hyperlink"/>
                <w:rFonts w:asciiTheme="majorHAnsi" w:eastAsia="Times New Roman" w:hAnsiTheme="majorHAnsi" w:cstheme="majorHAnsi"/>
                <w:b/>
                <w:bCs/>
                <w:noProof/>
                <w:kern w:val="0"/>
                <w:sz w:val="24"/>
                <w:szCs w:val="24"/>
                <w:lang w:eastAsia="en-GB"/>
                <w14:ligatures w14:val="none"/>
              </w:rPr>
              <w:t>4.1 Political Factors</w:t>
            </w:r>
            <w:r w:rsidR="00FA3CB7" w:rsidRPr="00FA3CB7">
              <w:rPr>
                <w:noProof/>
                <w:webHidden/>
                <w:sz w:val="24"/>
                <w:szCs w:val="24"/>
              </w:rPr>
              <w:tab/>
            </w:r>
            <w:r w:rsidR="00FA3CB7" w:rsidRPr="00FA3CB7">
              <w:rPr>
                <w:noProof/>
                <w:webHidden/>
                <w:sz w:val="24"/>
                <w:szCs w:val="24"/>
              </w:rPr>
              <w:fldChar w:fldCharType="begin"/>
            </w:r>
            <w:r w:rsidR="00FA3CB7" w:rsidRPr="00FA3CB7">
              <w:rPr>
                <w:noProof/>
                <w:webHidden/>
                <w:sz w:val="24"/>
                <w:szCs w:val="24"/>
              </w:rPr>
              <w:instrText xml:space="preserve"> PAGEREF _Toc235202366 \h </w:instrText>
            </w:r>
            <w:r w:rsidR="00FA3CB7" w:rsidRPr="00FA3CB7">
              <w:rPr>
                <w:noProof/>
                <w:webHidden/>
                <w:sz w:val="24"/>
                <w:szCs w:val="24"/>
              </w:rPr>
            </w:r>
            <w:r w:rsidR="00FA3CB7" w:rsidRPr="00FA3CB7">
              <w:rPr>
                <w:noProof/>
                <w:webHidden/>
                <w:sz w:val="24"/>
                <w:szCs w:val="24"/>
              </w:rPr>
              <w:fldChar w:fldCharType="separate"/>
            </w:r>
            <w:r w:rsidR="00FA3CB7" w:rsidRPr="00FA3CB7">
              <w:rPr>
                <w:noProof/>
                <w:webHidden/>
                <w:sz w:val="24"/>
                <w:szCs w:val="24"/>
              </w:rPr>
              <w:t>6</w:t>
            </w:r>
            <w:r w:rsidR="00FA3CB7" w:rsidRPr="00FA3CB7">
              <w:rPr>
                <w:noProof/>
                <w:webHidden/>
                <w:sz w:val="24"/>
                <w:szCs w:val="24"/>
              </w:rPr>
              <w:fldChar w:fldCharType="end"/>
            </w:r>
          </w:hyperlink>
        </w:p>
        <w:p w14:paraId="6CC780C8" w14:textId="5F2AAD5D" w:rsidR="00FA3CB7" w:rsidRPr="00FA3CB7" w:rsidRDefault="00000000">
          <w:pPr>
            <w:pStyle w:val="TOC2"/>
            <w:tabs>
              <w:tab w:val="right" w:leader="dot" w:pos="9016"/>
            </w:tabs>
            <w:rPr>
              <w:rFonts w:eastAsiaTheme="minorEastAsia"/>
              <w:noProof/>
              <w:sz w:val="24"/>
              <w:szCs w:val="24"/>
              <w:lang w:eastAsia="en-GB"/>
            </w:rPr>
          </w:pPr>
          <w:hyperlink w:anchor="_Toc235202367" w:history="1">
            <w:r w:rsidR="00FA3CB7" w:rsidRPr="00FA3CB7">
              <w:rPr>
                <w:rStyle w:val="Hyperlink"/>
                <w:rFonts w:asciiTheme="majorHAnsi" w:eastAsia="Times New Roman" w:hAnsiTheme="majorHAnsi" w:cstheme="majorHAnsi"/>
                <w:b/>
                <w:bCs/>
                <w:noProof/>
                <w:kern w:val="0"/>
                <w:sz w:val="24"/>
                <w:szCs w:val="24"/>
                <w:lang w:eastAsia="en-GB"/>
                <w14:ligatures w14:val="none"/>
              </w:rPr>
              <w:t>4.2 Economic Factors</w:t>
            </w:r>
            <w:r w:rsidR="00FA3CB7" w:rsidRPr="00FA3CB7">
              <w:rPr>
                <w:noProof/>
                <w:webHidden/>
                <w:sz w:val="24"/>
                <w:szCs w:val="24"/>
              </w:rPr>
              <w:tab/>
            </w:r>
            <w:r w:rsidR="00FA3CB7" w:rsidRPr="00FA3CB7">
              <w:rPr>
                <w:noProof/>
                <w:webHidden/>
                <w:sz w:val="24"/>
                <w:szCs w:val="24"/>
              </w:rPr>
              <w:fldChar w:fldCharType="begin"/>
            </w:r>
            <w:r w:rsidR="00FA3CB7" w:rsidRPr="00FA3CB7">
              <w:rPr>
                <w:noProof/>
                <w:webHidden/>
                <w:sz w:val="24"/>
                <w:szCs w:val="24"/>
              </w:rPr>
              <w:instrText xml:space="preserve"> PAGEREF _Toc235202367 \h </w:instrText>
            </w:r>
            <w:r w:rsidR="00FA3CB7" w:rsidRPr="00FA3CB7">
              <w:rPr>
                <w:noProof/>
                <w:webHidden/>
                <w:sz w:val="24"/>
                <w:szCs w:val="24"/>
              </w:rPr>
            </w:r>
            <w:r w:rsidR="00FA3CB7" w:rsidRPr="00FA3CB7">
              <w:rPr>
                <w:noProof/>
                <w:webHidden/>
                <w:sz w:val="24"/>
                <w:szCs w:val="24"/>
              </w:rPr>
              <w:fldChar w:fldCharType="separate"/>
            </w:r>
            <w:r w:rsidR="00FA3CB7" w:rsidRPr="00FA3CB7">
              <w:rPr>
                <w:noProof/>
                <w:webHidden/>
                <w:sz w:val="24"/>
                <w:szCs w:val="24"/>
              </w:rPr>
              <w:t>6</w:t>
            </w:r>
            <w:r w:rsidR="00FA3CB7" w:rsidRPr="00FA3CB7">
              <w:rPr>
                <w:noProof/>
                <w:webHidden/>
                <w:sz w:val="24"/>
                <w:szCs w:val="24"/>
              </w:rPr>
              <w:fldChar w:fldCharType="end"/>
            </w:r>
          </w:hyperlink>
        </w:p>
        <w:p w14:paraId="3CA46261" w14:textId="3E93FBE5" w:rsidR="00FA3CB7" w:rsidRPr="00FA3CB7" w:rsidRDefault="00000000">
          <w:pPr>
            <w:pStyle w:val="TOC2"/>
            <w:tabs>
              <w:tab w:val="right" w:leader="dot" w:pos="9016"/>
            </w:tabs>
            <w:rPr>
              <w:rFonts w:eastAsiaTheme="minorEastAsia"/>
              <w:noProof/>
              <w:sz w:val="24"/>
              <w:szCs w:val="24"/>
              <w:lang w:eastAsia="en-GB"/>
            </w:rPr>
          </w:pPr>
          <w:hyperlink w:anchor="_Toc235202368" w:history="1">
            <w:r w:rsidR="00FA3CB7" w:rsidRPr="00FA3CB7">
              <w:rPr>
                <w:rStyle w:val="Hyperlink"/>
                <w:rFonts w:asciiTheme="majorHAnsi" w:eastAsia="Times New Roman" w:hAnsiTheme="majorHAnsi" w:cstheme="majorHAnsi"/>
                <w:b/>
                <w:bCs/>
                <w:noProof/>
                <w:kern w:val="0"/>
                <w:sz w:val="24"/>
                <w:szCs w:val="24"/>
                <w:lang w:eastAsia="en-GB"/>
                <w14:ligatures w14:val="none"/>
              </w:rPr>
              <w:t>4.3 Social Factors</w:t>
            </w:r>
            <w:r w:rsidR="00FA3CB7" w:rsidRPr="00FA3CB7">
              <w:rPr>
                <w:noProof/>
                <w:webHidden/>
                <w:sz w:val="24"/>
                <w:szCs w:val="24"/>
              </w:rPr>
              <w:tab/>
            </w:r>
            <w:r w:rsidR="00FA3CB7" w:rsidRPr="00FA3CB7">
              <w:rPr>
                <w:noProof/>
                <w:webHidden/>
                <w:sz w:val="24"/>
                <w:szCs w:val="24"/>
              </w:rPr>
              <w:fldChar w:fldCharType="begin"/>
            </w:r>
            <w:r w:rsidR="00FA3CB7" w:rsidRPr="00FA3CB7">
              <w:rPr>
                <w:noProof/>
                <w:webHidden/>
                <w:sz w:val="24"/>
                <w:szCs w:val="24"/>
              </w:rPr>
              <w:instrText xml:space="preserve"> PAGEREF _Toc235202368 \h </w:instrText>
            </w:r>
            <w:r w:rsidR="00FA3CB7" w:rsidRPr="00FA3CB7">
              <w:rPr>
                <w:noProof/>
                <w:webHidden/>
                <w:sz w:val="24"/>
                <w:szCs w:val="24"/>
              </w:rPr>
            </w:r>
            <w:r w:rsidR="00FA3CB7" w:rsidRPr="00FA3CB7">
              <w:rPr>
                <w:noProof/>
                <w:webHidden/>
                <w:sz w:val="24"/>
                <w:szCs w:val="24"/>
              </w:rPr>
              <w:fldChar w:fldCharType="separate"/>
            </w:r>
            <w:r w:rsidR="00FA3CB7" w:rsidRPr="00FA3CB7">
              <w:rPr>
                <w:noProof/>
                <w:webHidden/>
                <w:sz w:val="24"/>
                <w:szCs w:val="24"/>
              </w:rPr>
              <w:t>7</w:t>
            </w:r>
            <w:r w:rsidR="00FA3CB7" w:rsidRPr="00FA3CB7">
              <w:rPr>
                <w:noProof/>
                <w:webHidden/>
                <w:sz w:val="24"/>
                <w:szCs w:val="24"/>
              </w:rPr>
              <w:fldChar w:fldCharType="end"/>
            </w:r>
          </w:hyperlink>
        </w:p>
        <w:p w14:paraId="095F0878" w14:textId="2420016D" w:rsidR="00FA3CB7" w:rsidRPr="00FA3CB7" w:rsidRDefault="00000000">
          <w:pPr>
            <w:pStyle w:val="TOC2"/>
            <w:tabs>
              <w:tab w:val="right" w:leader="dot" w:pos="9016"/>
            </w:tabs>
            <w:rPr>
              <w:rFonts w:eastAsiaTheme="minorEastAsia"/>
              <w:noProof/>
              <w:sz w:val="24"/>
              <w:szCs w:val="24"/>
              <w:lang w:eastAsia="en-GB"/>
            </w:rPr>
          </w:pPr>
          <w:hyperlink w:anchor="_Toc235202369" w:history="1">
            <w:r w:rsidR="00FA3CB7" w:rsidRPr="00FA3CB7">
              <w:rPr>
                <w:rStyle w:val="Hyperlink"/>
                <w:rFonts w:asciiTheme="majorHAnsi" w:eastAsia="Times New Roman" w:hAnsiTheme="majorHAnsi" w:cstheme="majorHAnsi"/>
                <w:b/>
                <w:bCs/>
                <w:noProof/>
                <w:kern w:val="0"/>
                <w:sz w:val="24"/>
                <w:szCs w:val="24"/>
                <w:lang w:eastAsia="en-GB"/>
                <w14:ligatures w14:val="none"/>
              </w:rPr>
              <w:t>4.4 Technological Factors</w:t>
            </w:r>
            <w:r w:rsidR="00FA3CB7" w:rsidRPr="00FA3CB7">
              <w:rPr>
                <w:noProof/>
                <w:webHidden/>
                <w:sz w:val="24"/>
                <w:szCs w:val="24"/>
              </w:rPr>
              <w:tab/>
            </w:r>
            <w:r w:rsidR="00FA3CB7" w:rsidRPr="00FA3CB7">
              <w:rPr>
                <w:noProof/>
                <w:webHidden/>
                <w:sz w:val="24"/>
                <w:szCs w:val="24"/>
              </w:rPr>
              <w:fldChar w:fldCharType="begin"/>
            </w:r>
            <w:r w:rsidR="00FA3CB7" w:rsidRPr="00FA3CB7">
              <w:rPr>
                <w:noProof/>
                <w:webHidden/>
                <w:sz w:val="24"/>
                <w:szCs w:val="24"/>
              </w:rPr>
              <w:instrText xml:space="preserve"> PAGEREF _Toc235202369 \h </w:instrText>
            </w:r>
            <w:r w:rsidR="00FA3CB7" w:rsidRPr="00FA3CB7">
              <w:rPr>
                <w:noProof/>
                <w:webHidden/>
                <w:sz w:val="24"/>
                <w:szCs w:val="24"/>
              </w:rPr>
            </w:r>
            <w:r w:rsidR="00FA3CB7" w:rsidRPr="00FA3CB7">
              <w:rPr>
                <w:noProof/>
                <w:webHidden/>
                <w:sz w:val="24"/>
                <w:szCs w:val="24"/>
              </w:rPr>
              <w:fldChar w:fldCharType="separate"/>
            </w:r>
            <w:r w:rsidR="00FA3CB7" w:rsidRPr="00FA3CB7">
              <w:rPr>
                <w:noProof/>
                <w:webHidden/>
                <w:sz w:val="24"/>
                <w:szCs w:val="24"/>
              </w:rPr>
              <w:t>7</w:t>
            </w:r>
            <w:r w:rsidR="00FA3CB7" w:rsidRPr="00FA3CB7">
              <w:rPr>
                <w:noProof/>
                <w:webHidden/>
                <w:sz w:val="24"/>
                <w:szCs w:val="24"/>
              </w:rPr>
              <w:fldChar w:fldCharType="end"/>
            </w:r>
          </w:hyperlink>
        </w:p>
        <w:p w14:paraId="1DD4A648" w14:textId="0492AD41" w:rsidR="00FA3CB7" w:rsidRPr="00FA3CB7" w:rsidRDefault="00000000">
          <w:pPr>
            <w:pStyle w:val="TOC2"/>
            <w:tabs>
              <w:tab w:val="right" w:leader="dot" w:pos="9016"/>
            </w:tabs>
            <w:rPr>
              <w:rFonts w:eastAsiaTheme="minorEastAsia"/>
              <w:noProof/>
              <w:sz w:val="24"/>
              <w:szCs w:val="24"/>
              <w:lang w:eastAsia="en-GB"/>
            </w:rPr>
          </w:pPr>
          <w:hyperlink w:anchor="_Toc235202370" w:history="1">
            <w:r w:rsidR="00FA3CB7" w:rsidRPr="00FA3CB7">
              <w:rPr>
                <w:rStyle w:val="Hyperlink"/>
                <w:rFonts w:asciiTheme="majorHAnsi" w:eastAsia="Times New Roman" w:hAnsiTheme="majorHAnsi" w:cstheme="majorHAnsi"/>
                <w:b/>
                <w:bCs/>
                <w:noProof/>
                <w:kern w:val="0"/>
                <w:sz w:val="24"/>
                <w:szCs w:val="24"/>
                <w:lang w:eastAsia="en-GB"/>
                <w14:ligatures w14:val="none"/>
              </w:rPr>
              <w:t>4.5 Legal Factors</w:t>
            </w:r>
            <w:r w:rsidR="00FA3CB7" w:rsidRPr="00FA3CB7">
              <w:rPr>
                <w:noProof/>
                <w:webHidden/>
                <w:sz w:val="24"/>
                <w:szCs w:val="24"/>
              </w:rPr>
              <w:tab/>
            </w:r>
            <w:r w:rsidR="00FA3CB7" w:rsidRPr="00FA3CB7">
              <w:rPr>
                <w:noProof/>
                <w:webHidden/>
                <w:sz w:val="24"/>
                <w:szCs w:val="24"/>
              </w:rPr>
              <w:fldChar w:fldCharType="begin"/>
            </w:r>
            <w:r w:rsidR="00FA3CB7" w:rsidRPr="00FA3CB7">
              <w:rPr>
                <w:noProof/>
                <w:webHidden/>
                <w:sz w:val="24"/>
                <w:szCs w:val="24"/>
              </w:rPr>
              <w:instrText xml:space="preserve"> PAGEREF _Toc235202370 \h </w:instrText>
            </w:r>
            <w:r w:rsidR="00FA3CB7" w:rsidRPr="00FA3CB7">
              <w:rPr>
                <w:noProof/>
                <w:webHidden/>
                <w:sz w:val="24"/>
                <w:szCs w:val="24"/>
              </w:rPr>
            </w:r>
            <w:r w:rsidR="00FA3CB7" w:rsidRPr="00FA3CB7">
              <w:rPr>
                <w:noProof/>
                <w:webHidden/>
                <w:sz w:val="24"/>
                <w:szCs w:val="24"/>
              </w:rPr>
              <w:fldChar w:fldCharType="separate"/>
            </w:r>
            <w:r w:rsidR="00FA3CB7" w:rsidRPr="00FA3CB7">
              <w:rPr>
                <w:noProof/>
                <w:webHidden/>
                <w:sz w:val="24"/>
                <w:szCs w:val="24"/>
              </w:rPr>
              <w:t>7</w:t>
            </w:r>
            <w:r w:rsidR="00FA3CB7" w:rsidRPr="00FA3CB7">
              <w:rPr>
                <w:noProof/>
                <w:webHidden/>
                <w:sz w:val="24"/>
                <w:szCs w:val="24"/>
              </w:rPr>
              <w:fldChar w:fldCharType="end"/>
            </w:r>
          </w:hyperlink>
        </w:p>
        <w:p w14:paraId="01FBE4F6" w14:textId="3AE5E5C5" w:rsidR="00FA3CB7" w:rsidRPr="00FA3CB7" w:rsidRDefault="00000000">
          <w:pPr>
            <w:pStyle w:val="TOC2"/>
            <w:tabs>
              <w:tab w:val="right" w:leader="dot" w:pos="9016"/>
            </w:tabs>
            <w:rPr>
              <w:rFonts w:eastAsiaTheme="minorEastAsia"/>
              <w:noProof/>
              <w:sz w:val="24"/>
              <w:szCs w:val="24"/>
              <w:lang w:eastAsia="en-GB"/>
            </w:rPr>
          </w:pPr>
          <w:hyperlink w:anchor="_Toc235202371" w:history="1">
            <w:r w:rsidR="00FA3CB7" w:rsidRPr="00FA3CB7">
              <w:rPr>
                <w:rStyle w:val="Hyperlink"/>
                <w:rFonts w:asciiTheme="majorHAnsi" w:eastAsia="Times New Roman" w:hAnsiTheme="majorHAnsi" w:cstheme="majorHAnsi"/>
                <w:b/>
                <w:bCs/>
                <w:noProof/>
                <w:kern w:val="0"/>
                <w:sz w:val="24"/>
                <w:szCs w:val="24"/>
                <w:lang w:eastAsia="en-GB"/>
                <w14:ligatures w14:val="none"/>
              </w:rPr>
              <w:t>4.6 Environmental Factors</w:t>
            </w:r>
            <w:r w:rsidR="00FA3CB7" w:rsidRPr="00FA3CB7">
              <w:rPr>
                <w:noProof/>
                <w:webHidden/>
                <w:sz w:val="24"/>
                <w:szCs w:val="24"/>
              </w:rPr>
              <w:tab/>
            </w:r>
            <w:r w:rsidR="00FA3CB7" w:rsidRPr="00FA3CB7">
              <w:rPr>
                <w:noProof/>
                <w:webHidden/>
                <w:sz w:val="24"/>
                <w:szCs w:val="24"/>
              </w:rPr>
              <w:fldChar w:fldCharType="begin"/>
            </w:r>
            <w:r w:rsidR="00FA3CB7" w:rsidRPr="00FA3CB7">
              <w:rPr>
                <w:noProof/>
                <w:webHidden/>
                <w:sz w:val="24"/>
                <w:szCs w:val="24"/>
              </w:rPr>
              <w:instrText xml:space="preserve"> PAGEREF _Toc235202371 \h </w:instrText>
            </w:r>
            <w:r w:rsidR="00FA3CB7" w:rsidRPr="00FA3CB7">
              <w:rPr>
                <w:noProof/>
                <w:webHidden/>
                <w:sz w:val="24"/>
                <w:szCs w:val="24"/>
              </w:rPr>
            </w:r>
            <w:r w:rsidR="00FA3CB7" w:rsidRPr="00FA3CB7">
              <w:rPr>
                <w:noProof/>
                <w:webHidden/>
                <w:sz w:val="24"/>
                <w:szCs w:val="24"/>
              </w:rPr>
              <w:fldChar w:fldCharType="separate"/>
            </w:r>
            <w:r w:rsidR="00FA3CB7" w:rsidRPr="00FA3CB7">
              <w:rPr>
                <w:noProof/>
                <w:webHidden/>
                <w:sz w:val="24"/>
                <w:szCs w:val="24"/>
              </w:rPr>
              <w:t>8</w:t>
            </w:r>
            <w:r w:rsidR="00FA3CB7" w:rsidRPr="00FA3CB7">
              <w:rPr>
                <w:noProof/>
                <w:webHidden/>
                <w:sz w:val="24"/>
                <w:szCs w:val="24"/>
              </w:rPr>
              <w:fldChar w:fldCharType="end"/>
            </w:r>
          </w:hyperlink>
        </w:p>
        <w:p w14:paraId="378B6BD0" w14:textId="15DF4675" w:rsidR="00FA3CB7" w:rsidRPr="00FA3CB7" w:rsidRDefault="00000000">
          <w:pPr>
            <w:pStyle w:val="TOC1"/>
            <w:tabs>
              <w:tab w:val="right" w:leader="dot" w:pos="9016"/>
            </w:tabs>
            <w:rPr>
              <w:rFonts w:cstheme="minorBidi"/>
              <w:noProof/>
              <w:kern w:val="2"/>
              <w:sz w:val="24"/>
              <w:szCs w:val="24"/>
              <w:lang w:val="en-GB" w:eastAsia="en-GB"/>
              <w14:ligatures w14:val="standardContextual"/>
            </w:rPr>
          </w:pPr>
          <w:hyperlink w:anchor="_Toc235202372" w:history="1">
            <w:r w:rsidR="00FA3CB7" w:rsidRPr="00FA3CB7">
              <w:rPr>
                <w:rStyle w:val="Hyperlink"/>
                <w:rFonts w:asciiTheme="majorHAnsi" w:eastAsia="Times New Roman" w:hAnsiTheme="majorHAnsi" w:cstheme="majorHAnsi"/>
                <w:b/>
                <w:bCs/>
                <w:noProof/>
                <w:kern w:val="36"/>
                <w:sz w:val="24"/>
                <w:szCs w:val="24"/>
                <w:lang w:eastAsia="en-GB"/>
              </w:rPr>
              <w:t>5. Conclusion</w:t>
            </w:r>
            <w:r w:rsidR="00FA3CB7" w:rsidRPr="00FA3CB7">
              <w:rPr>
                <w:noProof/>
                <w:webHidden/>
                <w:sz w:val="24"/>
                <w:szCs w:val="24"/>
              </w:rPr>
              <w:tab/>
            </w:r>
            <w:r w:rsidR="00FA3CB7" w:rsidRPr="00FA3CB7">
              <w:rPr>
                <w:noProof/>
                <w:webHidden/>
                <w:sz w:val="24"/>
                <w:szCs w:val="24"/>
              </w:rPr>
              <w:fldChar w:fldCharType="begin"/>
            </w:r>
            <w:r w:rsidR="00FA3CB7" w:rsidRPr="00FA3CB7">
              <w:rPr>
                <w:noProof/>
                <w:webHidden/>
                <w:sz w:val="24"/>
                <w:szCs w:val="24"/>
              </w:rPr>
              <w:instrText xml:space="preserve"> PAGEREF _Toc235202372 \h </w:instrText>
            </w:r>
            <w:r w:rsidR="00FA3CB7" w:rsidRPr="00FA3CB7">
              <w:rPr>
                <w:noProof/>
                <w:webHidden/>
                <w:sz w:val="24"/>
                <w:szCs w:val="24"/>
              </w:rPr>
            </w:r>
            <w:r w:rsidR="00FA3CB7" w:rsidRPr="00FA3CB7">
              <w:rPr>
                <w:noProof/>
                <w:webHidden/>
                <w:sz w:val="24"/>
                <w:szCs w:val="24"/>
              </w:rPr>
              <w:fldChar w:fldCharType="separate"/>
            </w:r>
            <w:r w:rsidR="00FA3CB7" w:rsidRPr="00FA3CB7">
              <w:rPr>
                <w:noProof/>
                <w:webHidden/>
                <w:sz w:val="24"/>
                <w:szCs w:val="24"/>
              </w:rPr>
              <w:t>9</w:t>
            </w:r>
            <w:r w:rsidR="00FA3CB7" w:rsidRPr="00FA3CB7">
              <w:rPr>
                <w:noProof/>
                <w:webHidden/>
                <w:sz w:val="24"/>
                <w:szCs w:val="24"/>
              </w:rPr>
              <w:fldChar w:fldCharType="end"/>
            </w:r>
          </w:hyperlink>
        </w:p>
        <w:p w14:paraId="7AB3D81D" w14:textId="3180F61D" w:rsidR="00FA3CB7" w:rsidRPr="00FA3CB7" w:rsidRDefault="00000000">
          <w:pPr>
            <w:pStyle w:val="TOC2"/>
            <w:tabs>
              <w:tab w:val="right" w:leader="dot" w:pos="9016"/>
            </w:tabs>
            <w:rPr>
              <w:rFonts w:eastAsiaTheme="minorEastAsia"/>
              <w:noProof/>
              <w:sz w:val="24"/>
              <w:szCs w:val="24"/>
              <w:lang w:eastAsia="en-GB"/>
            </w:rPr>
          </w:pPr>
          <w:hyperlink w:anchor="_Toc235202373" w:history="1">
            <w:r w:rsidR="00FA3CB7" w:rsidRPr="00FA3CB7">
              <w:rPr>
                <w:rStyle w:val="Hyperlink"/>
                <w:rFonts w:asciiTheme="majorHAnsi" w:eastAsia="Times New Roman" w:hAnsiTheme="majorHAnsi" w:cstheme="majorHAnsi"/>
                <w:b/>
                <w:bCs/>
                <w:noProof/>
                <w:kern w:val="0"/>
                <w:sz w:val="24"/>
                <w:szCs w:val="24"/>
                <w:lang w:eastAsia="en-GB"/>
                <w14:ligatures w14:val="none"/>
              </w:rPr>
              <w:t>6. Reference List</w:t>
            </w:r>
            <w:r w:rsidR="00FA3CB7" w:rsidRPr="00FA3CB7">
              <w:rPr>
                <w:noProof/>
                <w:webHidden/>
                <w:sz w:val="24"/>
                <w:szCs w:val="24"/>
              </w:rPr>
              <w:tab/>
            </w:r>
            <w:r w:rsidR="00FA3CB7" w:rsidRPr="00FA3CB7">
              <w:rPr>
                <w:noProof/>
                <w:webHidden/>
                <w:sz w:val="24"/>
                <w:szCs w:val="24"/>
              </w:rPr>
              <w:fldChar w:fldCharType="begin"/>
            </w:r>
            <w:r w:rsidR="00FA3CB7" w:rsidRPr="00FA3CB7">
              <w:rPr>
                <w:noProof/>
                <w:webHidden/>
                <w:sz w:val="24"/>
                <w:szCs w:val="24"/>
              </w:rPr>
              <w:instrText xml:space="preserve"> PAGEREF _Toc235202373 \h </w:instrText>
            </w:r>
            <w:r w:rsidR="00FA3CB7" w:rsidRPr="00FA3CB7">
              <w:rPr>
                <w:noProof/>
                <w:webHidden/>
                <w:sz w:val="24"/>
                <w:szCs w:val="24"/>
              </w:rPr>
            </w:r>
            <w:r w:rsidR="00FA3CB7" w:rsidRPr="00FA3CB7">
              <w:rPr>
                <w:noProof/>
                <w:webHidden/>
                <w:sz w:val="24"/>
                <w:szCs w:val="24"/>
              </w:rPr>
              <w:fldChar w:fldCharType="separate"/>
            </w:r>
            <w:r w:rsidR="00FA3CB7" w:rsidRPr="00FA3CB7">
              <w:rPr>
                <w:noProof/>
                <w:webHidden/>
                <w:sz w:val="24"/>
                <w:szCs w:val="24"/>
              </w:rPr>
              <w:t>10</w:t>
            </w:r>
            <w:r w:rsidR="00FA3CB7" w:rsidRPr="00FA3CB7">
              <w:rPr>
                <w:noProof/>
                <w:webHidden/>
                <w:sz w:val="24"/>
                <w:szCs w:val="24"/>
              </w:rPr>
              <w:fldChar w:fldCharType="end"/>
            </w:r>
          </w:hyperlink>
        </w:p>
        <w:p w14:paraId="551019FF" w14:textId="6076C14D" w:rsidR="00CE7AC0" w:rsidRPr="008F0296" w:rsidRDefault="00CE7AC0" w:rsidP="00FA3CB7">
          <w:pPr>
            <w:spacing w:line="360" w:lineRule="auto"/>
            <w:rPr>
              <w:rFonts w:asciiTheme="majorHAnsi" w:hAnsiTheme="majorHAnsi" w:cstheme="majorHAnsi"/>
            </w:rPr>
          </w:pPr>
          <w:r w:rsidRPr="00FA3CB7">
            <w:rPr>
              <w:rFonts w:asciiTheme="majorHAnsi" w:hAnsiTheme="majorHAnsi" w:cstheme="majorHAnsi"/>
              <w:b/>
              <w:bCs/>
              <w:noProof/>
              <w:sz w:val="24"/>
              <w:szCs w:val="24"/>
            </w:rPr>
            <w:fldChar w:fldCharType="end"/>
          </w:r>
        </w:p>
      </w:sdtContent>
    </w:sdt>
    <w:p w14:paraId="03362927" w14:textId="77777777" w:rsidR="00A93A77" w:rsidRPr="008F0296" w:rsidRDefault="00A93A77" w:rsidP="00FA3CB7">
      <w:pPr>
        <w:spacing w:line="360" w:lineRule="auto"/>
        <w:jc w:val="center"/>
        <w:rPr>
          <w:rFonts w:asciiTheme="majorHAnsi" w:hAnsiTheme="majorHAnsi" w:cstheme="majorHAnsi"/>
          <w:sz w:val="64"/>
          <w:szCs w:val="64"/>
        </w:rPr>
      </w:pPr>
    </w:p>
    <w:p w14:paraId="0AD95DC3" w14:textId="77777777" w:rsidR="005252E8" w:rsidRPr="008F0296" w:rsidRDefault="005252E8" w:rsidP="00FA3CB7">
      <w:pPr>
        <w:pStyle w:val="NormalWeb"/>
        <w:spacing w:line="360" w:lineRule="auto"/>
        <w:ind w:left="720"/>
        <w:rPr>
          <w:rFonts w:asciiTheme="majorHAnsi" w:hAnsiTheme="majorHAnsi" w:cstheme="majorHAnsi"/>
        </w:rPr>
      </w:pPr>
    </w:p>
    <w:p w14:paraId="2549388D" w14:textId="77777777" w:rsidR="00A71B52" w:rsidRPr="008F0296" w:rsidRDefault="00A71B52" w:rsidP="00FA3CB7">
      <w:pPr>
        <w:pStyle w:val="NormalWeb"/>
        <w:spacing w:line="360" w:lineRule="auto"/>
        <w:rPr>
          <w:rFonts w:asciiTheme="majorHAnsi" w:hAnsiTheme="majorHAnsi" w:cstheme="majorHAnsi"/>
        </w:rPr>
      </w:pPr>
    </w:p>
    <w:p w14:paraId="1C7BD5A3" w14:textId="77777777" w:rsidR="00A71B52" w:rsidRPr="008F0296" w:rsidRDefault="00A71B52" w:rsidP="00FA3CB7">
      <w:pPr>
        <w:pStyle w:val="NormalWeb"/>
        <w:spacing w:line="360" w:lineRule="auto"/>
        <w:rPr>
          <w:rFonts w:asciiTheme="majorHAnsi" w:hAnsiTheme="majorHAnsi" w:cstheme="majorHAnsi"/>
        </w:rPr>
      </w:pPr>
    </w:p>
    <w:p w14:paraId="301E469E" w14:textId="77777777" w:rsidR="00A71B52" w:rsidRPr="008F0296" w:rsidRDefault="00A71B52" w:rsidP="00FA3CB7">
      <w:pPr>
        <w:pStyle w:val="NormalWeb"/>
        <w:spacing w:line="360" w:lineRule="auto"/>
        <w:rPr>
          <w:rFonts w:asciiTheme="majorHAnsi" w:hAnsiTheme="majorHAnsi" w:cstheme="majorHAnsi"/>
        </w:rPr>
      </w:pPr>
    </w:p>
    <w:p w14:paraId="3F36D291" w14:textId="77777777" w:rsidR="00A71B52" w:rsidRPr="008F0296" w:rsidRDefault="00A71B52" w:rsidP="00FA3CB7">
      <w:pPr>
        <w:pStyle w:val="NormalWeb"/>
        <w:spacing w:line="360" w:lineRule="auto"/>
        <w:rPr>
          <w:rFonts w:asciiTheme="majorHAnsi" w:hAnsiTheme="majorHAnsi" w:cstheme="majorHAnsi"/>
        </w:rPr>
      </w:pPr>
    </w:p>
    <w:p w14:paraId="5E8A047B" w14:textId="77777777" w:rsidR="00A71B52" w:rsidRPr="008F0296" w:rsidRDefault="00A71B52" w:rsidP="00FA3CB7">
      <w:pPr>
        <w:pStyle w:val="NormalWeb"/>
        <w:spacing w:line="360" w:lineRule="auto"/>
        <w:rPr>
          <w:rFonts w:asciiTheme="majorHAnsi" w:hAnsiTheme="majorHAnsi" w:cstheme="majorHAnsi"/>
        </w:rPr>
      </w:pPr>
    </w:p>
    <w:p w14:paraId="38F76A64" w14:textId="77777777" w:rsidR="00A71B52" w:rsidRPr="008F0296" w:rsidRDefault="00A71B52" w:rsidP="00FA3CB7">
      <w:pPr>
        <w:pStyle w:val="NormalWeb"/>
        <w:spacing w:line="360" w:lineRule="auto"/>
        <w:rPr>
          <w:rFonts w:asciiTheme="majorHAnsi" w:hAnsiTheme="majorHAnsi" w:cstheme="majorHAnsi"/>
        </w:rPr>
      </w:pPr>
    </w:p>
    <w:p w14:paraId="0E4D48BF" w14:textId="77777777" w:rsidR="00A71B52" w:rsidRPr="008F0296" w:rsidRDefault="00A71B52" w:rsidP="00FA3CB7">
      <w:pPr>
        <w:pStyle w:val="NormalWeb"/>
        <w:spacing w:line="360" w:lineRule="auto"/>
        <w:rPr>
          <w:rFonts w:asciiTheme="majorHAnsi" w:hAnsiTheme="majorHAnsi" w:cstheme="majorHAnsi"/>
        </w:rPr>
      </w:pPr>
    </w:p>
    <w:p w14:paraId="1D1DF75B" w14:textId="77777777" w:rsidR="00A71B52" w:rsidRPr="008F0296" w:rsidRDefault="00A71B52" w:rsidP="00FA3CB7">
      <w:pPr>
        <w:pStyle w:val="NormalWeb"/>
        <w:spacing w:line="360" w:lineRule="auto"/>
        <w:rPr>
          <w:rFonts w:asciiTheme="majorHAnsi" w:hAnsiTheme="majorHAnsi" w:cstheme="majorHAnsi"/>
        </w:rPr>
      </w:pPr>
    </w:p>
    <w:p w14:paraId="6859BC81" w14:textId="77777777" w:rsidR="005252E8" w:rsidRPr="008F0296" w:rsidRDefault="005252E8" w:rsidP="00FA3CB7">
      <w:pPr>
        <w:pStyle w:val="NormalWeb"/>
        <w:spacing w:line="360" w:lineRule="auto"/>
        <w:rPr>
          <w:rFonts w:asciiTheme="majorHAnsi" w:hAnsiTheme="majorHAnsi" w:cstheme="majorHAnsi"/>
        </w:rPr>
      </w:pPr>
    </w:p>
    <w:p w14:paraId="42D3AD86" w14:textId="77777777" w:rsidR="008F0296" w:rsidRPr="008F0296" w:rsidRDefault="008F0296" w:rsidP="00FA3CB7">
      <w:pPr>
        <w:spacing w:before="100" w:beforeAutospacing="1" w:after="100" w:afterAutospacing="1" w:line="360" w:lineRule="auto"/>
        <w:outlineLvl w:val="0"/>
        <w:rPr>
          <w:rFonts w:asciiTheme="majorHAnsi" w:eastAsia="Times New Roman" w:hAnsiTheme="majorHAnsi" w:cstheme="majorHAnsi"/>
          <w:b/>
          <w:bCs/>
          <w:kern w:val="36"/>
          <w:sz w:val="28"/>
          <w:szCs w:val="28"/>
          <w:lang w:eastAsia="en-GB"/>
          <w14:ligatures w14:val="none"/>
        </w:rPr>
      </w:pPr>
      <w:bookmarkStart w:id="1" w:name="_Toc235202362"/>
      <w:bookmarkStart w:id="2" w:name="_Toc234662130"/>
      <w:r w:rsidRPr="008F0296">
        <w:rPr>
          <w:rFonts w:asciiTheme="majorHAnsi" w:eastAsia="Times New Roman" w:hAnsiTheme="majorHAnsi" w:cstheme="majorHAnsi"/>
          <w:b/>
          <w:bCs/>
          <w:kern w:val="36"/>
          <w:sz w:val="28"/>
          <w:szCs w:val="28"/>
          <w:lang w:eastAsia="en-GB"/>
          <w14:ligatures w14:val="none"/>
        </w:rPr>
        <w:t>1. Introduction</w:t>
      </w:r>
      <w:bookmarkEnd w:id="1"/>
    </w:p>
    <w:p w14:paraId="4DB4B755" w14:textId="3D6AEF62"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Human Resource Management (HRM) has an important strategic contribution in supporting organisations to meet their objectives through effective people management. Rather than being limited to administration, HRM is now widely recognised as a business-focused function that can improve organisational performance, employee commitment and long-term competitiveness (Armstrong and Taylor, 2023; Boxall and Purcell, 2022). HR managers are responsible for making sure that organisations can attract, develop, </w:t>
      </w:r>
      <w:r w:rsidR="00FA3CB7" w:rsidRPr="008F0296">
        <w:rPr>
          <w:rFonts w:asciiTheme="majorHAnsi" w:eastAsia="Times New Roman" w:hAnsiTheme="majorHAnsi" w:cstheme="majorHAnsi"/>
          <w:kern w:val="0"/>
          <w:sz w:val="24"/>
          <w:szCs w:val="24"/>
          <w:lang w:eastAsia="en-GB"/>
          <w14:ligatures w14:val="none"/>
        </w:rPr>
        <w:t>manage,</w:t>
      </w:r>
      <w:r w:rsidRPr="008F0296">
        <w:rPr>
          <w:rFonts w:asciiTheme="majorHAnsi" w:eastAsia="Times New Roman" w:hAnsiTheme="majorHAnsi" w:cstheme="majorHAnsi"/>
          <w:kern w:val="0"/>
          <w:sz w:val="24"/>
          <w:szCs w:val="24"/>
          <w:lang w:eastAsia="en-GB"/>
          <w14:ligatures w14:val="none"/>
        </w:rPr>
        <w:t xml:space="preserve"> and retain employees who</w:t>
      </w:r>
      <w:r w:rsidR="00D91F14">
        <w:rPr>
          <w:rFonts w:asciiTheme="majorHAnsi" w:eastAsia="Times New Roman" w:hAnsiTheme="majorHAnsi" w:cstheme="majorHAnsi"/>
          <w:kern w:val="0"/>
          <w:sz w:val="24"/>
          <w:szCs w:val="24"/>
          <w:lang w:eastAsia="en-GB"/>
          <w14:ligatures w14:val="none"/>
        </w:rPr>
        <w:t>se</w:t>
      </w:r>
      <w:r w:rsidRPr="008F0296">
        <w:rPr>
          <w:rFonts w:asciiTheme="majorHAnsi" w:eastAsia="Times New Roman" w:hAnsiTheme="majorHAnsi" w:cstheme="majorHAnsi"/>
          <w:kern w:val="0"/>
          <w:sz w:val="24"/>
          <w:szCs w:val="24"/>
          <w:lang w:eastAsia="en-GB"/>
          <w14:ligatures w14:val="none"/>
        </w:rPr>
        <w:t xml:space="preserve"> </w:t>
      </w:r>
      <w:r w:rsidR="00D91F14">
        <w:rPr>
          <w:rFonts w:asciiTheme="majorHAnsi" w:eastAsia="Times New Roman" w:hAnsiTheme="majorHAnsi" w:cstheme="majorHAnsi"/>
          <w:kern w:val="0"/>
          <w:sz w:val="24"/>
          <w:szCs w:val="24"/>
          <w:lang w:eastAsia="en-GB"/>
          <w14:ligatures w14:val="none"/>
        </w:rPr>
        <w:t xml:space="preserve">skills and performance align with organisational objectives. </w:t>
      </w:r>
    </w:p>
    <w:p w14:paraId="28EA26ED" w14:textId="739F7728"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The </w:t>
      </w:r>
      <w:r w:rsidR="00D91F14">
        <w:rPr>
          <w:rFonts w:asciiTheme="majorHAnsi" w:eastAsia="Times New Roman" w:hAnsiTheme="majorHAnsi" w:cstheme="majorHAnsi"/>
          <w:kern w:val="0"/>
          <w:sz w:val="24"/>
          <w:szCs w:val="24"/>
          <w:lang w:eastAsia="en-GB"/>
          <w14:ligatures w14:val="none"/>
        </w:rPr>
        <w:t>central</w:t>
      </w:r>
      <w:r w:rsidRPr="008F0296">
        <w:rPr>
          <w:rFonts w:asciiTheme="majorHAnsi" w:eastAsia="Times New Roman" w:hAnsiTheme="majorHAnsi" w:cstheme="majorHAnsi"/>
          <w:kern w:val="0"/>
          <w:sz w:val="24"/>
          <w:szCs w:val="24"/>
          <w:lang w:eastAsia="en-GB"/>
          <w14:ligatures w14:val="none"/>
        </w:rPr>
        <w:t xml:space="preserve"> functions </w:t>
      </w:r>
      <w:r w:rsidR="00D91F14">
        <w:rPr>
          <w:rFonts w:asciiTheme="majorHAnsi" w:eastAsia="Times New Roman" w:hAnsiTheme="majorHAnsi" w:cstheme="majorHAnsi"/>
          <w:kern w:val="0"/>
          <w:sz w:val="24"/>
          <w:szCs w:val="24"/>
          <w:lang w:eastAsia="en-GB"/>
          <w14:ligatures w14:val="none"/>
        </w:rPr>
        <w:t>of HRM involve employee resourcing</w:t>
      </w:r>
      <w:r w:rsidRPr="008F0296">
        <w:rPr>
          <w:rFonts w:asciiTheme="majorHAnsi" w:eastAsia="Times New Roman" w:hAnsiTheme="majorHAnsi" w:cstheme="majorHAnsi"/>
          <w:kern w:val="0"/>
          <w:sz w:val="24"/>
          <w:szCs w:val="24"/>
          <w:lang w:eastAsia="en-GB"/>
          <w14:ligatures w14:val="none"/>
        </w:rPr>
        <w:t xml:space="preserve">, training and development, performance management and </w:t>
      </w:r>
      <w:r w:rsidR="00D91F14">
        <w:rPr>
          <w:rFonts w:asciiTheme="majorHAnsi" w:eastAsia="Times New Roman" w:hAnsiTheme="majorHAnsi" w:cstheme="majorHAnsi"/>
          <w:kern w:val="0"/>
          <w:sz w:val="24"/>
          <w:szCs w:val="24"/>
          <w:lang w:eastAsia="en-GB"/>
          <w14:ligatures w14:val="none"/>
        </w:rPr>
        <w:t>employment</w:t>
      </w:r>
      <w:r w:rsidRPr="008F0296">
        <w:rPr>
          <w:rFonts w:asciiTheme="majorHAnsi" w:eastAsia="Times New Roman" w:hAnsiTheme="majorHAnsi" w:cstheme="majorHAnsi"/>
          <w:kern w:val="0"/>
          <w:sz w:val="24"/>
          <w:szCs w:val="24"/>
          <w:lang w:eastAsia="en-GB"/>
          <w14:ligatures w14:val="none"/>
        </w:rPr>
        <w:t xml:space="preserve"> relations. Recruitment allows organisations to find and appoint employees who have suitable skills, </w:t>
      </w:r>
      <w:r w:rsidR="00FA3CB7" w:rsidRPr="008F0296">
        <w:rPr>
          <w:rFonts w:asciiTheme="majorHAnsi" w:eastAsia="Times New Roman" w:hAnsiTheme="majorHAnsi" w:cstheme="majorHAnsi"/>
          <w:kern w:val="0"/>
          <w:sz w:val="24"/>
          <w:szCs w:val="24"/>
          <w:lang w:eastAsia="en-GB"/>
          <w14:ligatures w14:val="none"/>
        </w:rPr>
        <w:t>knowledge,</w:t>
      </w:r>
      <w:r w:rsidRPr="008F0296">
        <w:rPr>
          <w:rFonts w:asciiTheme="majorHAnsi" w:eastAsia="Times New Roman" w:hAnsiTheme="majorHAnsi" w:cstheme="majorHAnsi"/>
          <w:kern w:val="0"/>
          <w:sz w:val="24"/>
          <w:szCs w:val="24"/>
          <w:lang w:eastAsia="en-GB"/>
          <w14:ligatures w14:val="none"/>
        </w:rPr>
        <w:t xml:space="preserve"> and values (Torrington et al., 2020). Training and development support employees in improving their capabilities and preparing for future organisational requirements (Noe et al., 2022). Performance management helps ensure that employee objectives support organisational </w:t>
      </w:r>
      <w:r w:rsidR="00FA3CB7" w:rsidRPr="008F0296">
        <w:rPr>
          <w:rFonts w:asciiTheme="majorHAnsi" w:eastAsia="Times New Roman" w:hAnsiTheme="majorHAnsi" w:cstheme="majorHAnsi"/>
          <w:kern w:val="0"/>
          <w:sz w:val="24"/>
          <w:szCs w:val="24"/>
          <w:lang w:eastAsia="en-GB"/>
          <w14:ligatures w14:val="none"/>
        </w:rPr>
        <w:t>strategy,</w:t>
      </w:r>
      <w:r w:rsidRPr="008F0296">
        <w:rPr>
          <w:rFonts w:asciiTheme="majorHAnsi" w:eastAsia="Times New Roman" w:hAnsiTheme="majorHAnsi" w:cstheme="majorHAnsi"/>
          <w:kern w:val="0"/>
          <w:sz w:val="24"/>
          <w:szCs w:val="24"/>
          <w:lang w:eastAsia="en-GB"/>
          <w14:ligatures w14:val="none"/>
        </w:rPr>
        <w:t xml:space="preserve"> and that individual performance is monitored and improved (Aguinis, 2019). Employee relations are also important because they shape trust, engagement, workplace cooperation and the management of conflict between employees and managers (Marchington et al., 2020).</w:t>
      </w:r>
    </w:p>
    <w:p w14:paraId="39E40CEB" w14:textId="36F83DFB" w:rsid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This report examines how environmental forces affect the effectiveness of HR managers at Unilever, a multinational consumer goods company. PESTLE is applied because it offers a structured framework for examining political, economic, social, technological, </w:t>
      </w:r>
      <w:r w:rsidR="00FA3CB7" w:rsidRPr="008F0296">
        <w:rPr>
          <w:rFonts w:asciiTheme="majorHAnsi" w:eastAsia="Times New Roman" w:hAnsiTheme="majorHAnsi" w:cstheme="majorHAnsi"/>
          <w:kern w:val="0"/>
          <w:sz w:val="24"/>
          <w:szCs w:val="24"/>
          <w:lang w:eastAsia="en-GB"/>
          <w14:ligatures w14:val="none"/>
        </w:rPr>
        <w:t>legal,</w:t>
      </w:r>
      <w:r w:rsidRPr="008F0296">
        <w:rPr>
          <w:rFonts w:asciiTheme="majorHAnsi" w:eastAsia="Times New Roman" w:hAnsiTheme="majorHAnsi" w:cstheme="majorHAnsi"/>
          <w:kern w:val="0"/>
          <w:sz w:val="24"/>
          <w:szCs w:val="24"/>
          <w:lang w:eastAsia="en-GB"/>
          <w14:ligatures w14:val="none"/>
        </w:rPr>
        <w:t xml:space="preserve"> and environmental influences on business decisions (Aguilar, 1967; Johnson et al., 2020). The report first discusses the internal and external business environment and evaluates the usefulness of PESTLE. It then introduces Unilever and its HR practices before applying PESTLE to assess how environmental factors influence HR effectiveness across different national contexts.</w:t>
      </w:r>
    </w:p>
    <w:p w14:paraId="3A8FFFEB" w14:textId="77777777" w:rsidR="00FA3CB7" w:rsidRPr="008F0296" w:rsidRDefault="00FA3CB7"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p>
    <w:p w14:paraId="609BFD93" w14:textId="77777777" w:rsidR="008F0296" w:rsidRPr="008F0296" w:rsidRDefault="008F0296" w:rsidP="00FA3CB7">
      <w:pPr>
        <w:spacing w:before="100" w:beforeAutospacing="1" w:after="100" w:afterAutospacing="1" w:line="360" w:lineRule="auto"/>
        <w:outlineLvl w:val="0"/>
        <w:rPr>
          <w:rFonts w:asciiTheme="majorHAnsi" w:eastAsia="Times New Roman" w:hAnsiTheme="majorHAnsi" w:cstheme="majorHAnsi"/>
          <w:b/>
          <w:bCs/>
          <w:kern w:val="36"/>
          <w:sz w:val="28"/>
          <w:szCs w:val="28"/>
          <w:lang w:eastAsia="en-GB"/>
          <w14:ligatures w14:val="none"/>
        </w:rPr>
      </w:pPr>
      <w:bookmarkStart w:id="3" w:name="_Toc235202363"/>
      <w:r w:rsidRPr="008F0296">
        <w:rPr>
          <w:rFonts w:asciiTheme="majorHAnsi" w:eastAsia="Times New Roman" w:hAnsiTheme="majorHAnsi" w:cstheme="majorHAnsi"/>
          <w:b/>
          <w:bCs/>
          <w:kern w:val="36"/>
          <w:sz w:val="28"/>
          <w:szCs w:val="28"/>
          <w:lang w:eastAsia="en-GB"/>
          <w14:ligatures w14:val="none"/>
        </w:rPr>
        <w:lastRenderedPageBreak/>
        <w:t>2. Internal and External Environment</w:t>
      </w:r>
      <w:bookmarkEnd w:id="3"/>
    </w:p>
    <w:p w14:paraId="5B5BE36A" w14:textId="609FD62F"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The business environment consists of internal and external influences that shape organisational decision-making. Internal influences include culture, leadership, organisational structure, workforce capability, financial </w:t>
      </w:r>
      <w:r w:rsidR="00FA3CB7" w:rsidRPr="008F0296">
        <w:rPr>
          <w:rFonts w:asciiTheme="majorHAnsi" w:eastAsia="Times New Roman" w:hAnsiTheme="majorHAnsi" w:cstheme="majorHAnsi"/>
          <w:kern w:val="0"/>
          <w:sz w:val="24"/>
          <w:szCs w:val="24"/>
          <w:lang w:eastAsia="en-GB"/>
          <w14:ligatures w14:val="none"/>
        </w:rPr>
        <w:t>resources,</w:t>
      </w:r>
      <w:r w:rsidRPr="008F0296">
        <w:rPr>
          <w:rFonts w:asciiTheme="majorHAnsi" w:eastAsia="Times New Roman" w:hAnsiTheme="majorHAnsi" w:cstheme="majorHAnsi"/>
          <w:kern w:val="0"/>
          <w:sz w:val="24"/>
          <w:szCs w:val="24"/>
          <w:lang w:eastAsia="en-GB"/>
          <w14:ligatures w14:val="none"/>
        </w:rPr>
        <w:t xml:space="preserve"> and management systems (Worthington and Britton, 2018). External influences include political conditions, economic pressures, social trends, technological change, legal </w:t>
      </w:r>
      <w:r w:rsidR="00FA3CB7" w:rsidRPr="008F0296">
        <w:rPr>
          <w:rFonts w:asciiTheme="majorHAnsi" w:eastAsia="Times New Roman" w:hAnsiTheme="majorHAnsi" w:cstheme="majorHAnsi"/>
          <w:kern w:val="0"/>
          <w:sz w:val="24"/>
          <w:szCs w:val="24"/>
          <w:lang w:eastAsia="en-GB"/>
          <w14:ligatures w14:val="none"/>
        </w:rPr>
        <w:t>requirements,</w:t>
      </w:r>
      <w:r w:rsidRPr="008F0296">
        <w:rPr>
          <w:rFonts w:asciiTheme="majorHAnsi" w:eastAsia="Times New Roman" w:hAnsiTheme="majorHAnsi" w:cstheme="majorHAnsi"/>
          <w:kern w:val="0"/>
          <w:sz w:val="24"/>
          <w:szCs w:val="24"/>
          <w:lang w:eastAsia="en-GB"/>
          <w14:ligatures w14:val="none"/>
        </w:rPr>
        <w:t xml:space="preserve"> and environmental expectations. These influences matter to HR managers because they affect recruitment, training, performance management, </w:t>
      </w:r>
      <w:r w:rsidR="00FA3CB7" w:rsidRPr="008F0296">
        <w:rPr>
          <w:rFonts w:asciiTheme="majorHAnsi" w:eastAsia="Times New Roman" w:hAnsiTheme="majorHAnsi" w:cstheme="majorHAnsi"/>
          <w:kern w:val="0"/>
          <w:sz w:val="24"/>
          <w:szCs w:val="24"/>
          <w:lang w:eastAsia="en-GB"/>
          <w14:ligatures w14:val="none"/>
        </w:rPr>
        <w:t>reward,</w:t>
      </w:r>
      <w:r w:rsidRPr="008F0296">
        <w:rPr>
          <w:rFonts w:asciiTheme="majorHAnsi" w:eastAsia="Times New Roman" w:hAnsiTheme="majorHAnsi" w:cstheme="majorHAnsi"/>
          <w:kern w:val="0"/>
          <w:sz w:val="24"/>
          <w:szCs w:val="24"/>
          <w:lang w:eastAsia="en-GB"/>
          <w14:ligatures w14:val="none"/>
        </w:rPr>
        <w:t xml:space="preserve"> and employee relations (Bratton et al., 2022).</w:t>
      </w:r>
    </w:p>
    <w:p w14:paraId="6F3052BD" w14:textId="0ED48D22"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PESTLE is a useful framework for examining the external environment. It considers political, economic, social, technological, </w:t>
      </w:r>
      <w:r w:rsidR="00FA3CB7" w:rsidRPr="008F0296">
        <w:rPr>
          <w:rFonts w:asciiTheme="majorHAnsi" w:eastAsia="Times New Roman" w:hAnsiTheme="majorHAnsi" w:cstheme="majorHAnsi"/>
          <w:kern w:val="0"/>
          <w:sz w:val="24"/>
          <w:szCs w:val="24"/>
          <w:lang w:eastAsia="en-GB"/>
          <w14:ligatures w14:val="none"/>
        </w:rPr>
        <w:t>legal,</w:t>
      </w:r>
      <w:r w:rsidRPr="008F0296">
        <w:rPr>
          <w:rFonts w:asciiTheme="majorHAnsi" w:eastAsia="Times New Roman" w:hAnsiTheme="majorHAnsi" w:cstheme="majorHAnsi"/>
          <w:kern w:val="0"/>
          <w:sz w:val="24"/>
          <w:szCs w:val="24"/>
          <w:lang w:eastAsia="en-GB"/>
          <w14:ligatures w14:val="none"/>
        </w:rPr>
        <w:t xml:space="preserve"> and environmental factors that may create risks or opportunities for an organisation (Palmer and Hartley, 2011). From an HR perspective, the model encourages managers to scan the wider environment before making people-related decisions. For example, political change may affect immigration rules and access to skilled workers. Economic pressure may influence wage expectations and recruitment spending. Social change may increase demand for flexible working, </w:t>
      </w:r>
      <w:r w:rsidR="00FA3CB7" w:rsidRPr="008F0296">
        <w:rPr>
          <w:rFonts w:asciiTheme="majorHAnsi" w:eastAsia="Times New Roman" w:hAnsiTheme="majorHAnsi" w:cstheme="majorHAnsi"/>
          <w:kern w:val="0"/>
          <w:sz w:val="24"/>
          <w:szCs w:val="24"/>
          <w:lang w:eastAsia="en-GB"/>
          <w14:ligatures w14:val="none"/>
        </w:rPr>
        <w:t>wellbeing,</w:t>
      </w:r>
      <w:r w:rsidRPr="008F0296">
        <w:rPr>
          <w:rFonts w:asciiTheme="majorHAnsi" w:eastAsia="Times New Roman" w:hAnsiTheme="majorHAnsi" w:cstheme="majorHAnsi"/>
          <w:kern w:val="0"/>
          <w:sz w:val="24"/>
          <w:szCs w:val="24"/>
          <w:lang w:eastAsia="en-GB"/>
          <w14:ligatures w14:val="none"/>
        </w:rPr>
        <w:t xml:space="preserve"> and inclusion. Technological development may create reskilling needs, while legal change may require HR policies to be updated (CIPD, 2025).</w:t>
      </w:r>
    </w:p>
    <w:p w14:paraId="2BE318D1" w14:textId="35934656"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PESTLE is especially relevant to multinational companies because global HR managers operate across different national environments. Research in international HRM shows that HR practices are influenced by local institutions, employment systems and cultural expectations (Brewster et al., 2023; Dowling et al., 2017). This means that recruitment, </w:t>
      </w:r>
      <w:r w:rsidR="00FA3CB7" w:rsidRPr="008F0296">
        <w:rPr>
          <w:rFonts w:asciiTheme="majorHAnsi" w:eastAsia="Times New Roman" w:hAnsiTheme="majorHAnsi" w:cstheme="majorHAnsi"/>
          <w:kern w:val="0"/>
          <w:sz w:val="24"/>
          <w:szCs w:val="24"/>
          <w:lang w:eastAsia="en-GB"/>
          <w14:ligatures w14:val="none"/>
        </w:rPr>
        <w:t>training,</w:t>
      </w:r>
      <w:r w:rsidRPr="008F0296">
        <w:rPr>
          <w:rFonts w:asciiTheme="majorHAnsi" w:eastAsia="Times New Roman" w:hAnsiTheme="majorHAnsi" w:cstheme="majorHAnsi"/>
          <w:kern w:val="0"/>
          <w:sz w:val="24"/>
          <w:szCs w:val="24"/>
          <w:lang w:eastAsia="en-GB"/>
          <w14:ligatures w14:val="none"/>
        </w:rPr>
        <w:t xml:space="preserve"> and employee relations cannot always be applied in the same way across every country. Kostova and Roth (2002) argue that subsidiaries of multinational organisations adopt practices differently depending on institutional and relational pressures. Therefore, HR managers must balance global consistency with local adaptation.</w:t>
      </w:r>
    </w:p>
    <w:p w14:paraId="423BE304" w14:textId="77777777"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However, PESTLE also has limitations. It mainly examines external influences and does not fully explain internal organisational resources or capabilities. The resource-based view argues that competitive advantage depends on valuable, rare and difficult-to-copy internal resources, including human capital (Barney, 1991; Boxall, 1996; Wright et al., 2001). </w:t>
      </w:r>
      <w:r w:rsidRPr="008F0296">
        <w:rPr>
          <w:rFonts w:asciiTheme="majorHAnsi" w:eastAsia="Times New Roman" w:hAnsiTheme="majorHAnsi" w:cstheme="majorHAnsi"/>
          <w:kern w:val="0"/>
          <w:sz w:val="24"/>
          <w:szCs w:val="24"/>
          <w:lang w:eastAsia="en-GB"/>
          <w14:ligatures w14:val="none"/>
        </w:rPr>
        <w:lastRenderedPageBreak/>
        <w:t>Therefore, PESTLE should be used alongside internal analysis. Another limitation is that PESTLE can become descriptive if environmental factors are listed without evaluating their strategic importance. It also provides only a snapshot of the environment, while global business conditions continue to change over time (Johnson et al., 2020).</w:t>
      </w:r>
    </w:p>
    <w:p w14:paraId="0E80E92C" w14:textId="0FA14B63"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Despite these limitations, PESTLE connects strongly to HR functions. Recruitment is shaped by labour market conditions and legal requirements. Training is affected by technological change and skills shortages. Performance management is influenced by culture, </w:t>
      </w:r>
      <w:r w:rsidR="00FA3CB7" w:rsidRPr="008F0296">
        <w:rPr>
          <w:rFonts w:asciiTheme="majorHAnsi" w:eastAsia="Times New Roman" w:hAnsiTheme="majorHAnsi" w:cstheme="majorHAnsi"/>
          <w:kern w:val="0"/>
          <w:sz w:val="24"/>
          <w:szCs w:val="24"/>
          <w:lang w:eastAsia="en-GB"/>
          <w14:ligatures w14:val="none"/>
        </w:rPr>
        <w:t>expectations,</w:t>
      </w:r>
      <w:r w:rsidRPr="008F0296">
        <w:rPr>
          <w:rFonts w:asciiTheme="majorHAnsi" w:eastAsia="Times New Roman" w:hAnsiTheme="majorHAnsi" w:cstheme="majorHAnsi"/>
          <w:kern w:val="0"/>
          <w:sz w:val="24"/>
          <w:szCs w:val="24"/>
          <w:lang w:eastAsia="en-GB"/>
          <w14:ligatures w14:val="none"/>
        </w:rPr>
        <w:t xml:space="preserve"> and economic pressure. Employee relations are shaped by employment law, trade unions, works councils and wider social attitudes towards work (Bamber et al., 2021). Therefore, PESTLE is a useful tool for understanding how external forces affect HR managers’ effectiveness.</w:t>
      </w:r>
    </w:p>
    <w:p w14:paraId="34DAAC67" w14:textId="77777777" w:rsidR="008F0296" w:rsidRPr="008F0296" w:rsidRDefault="008F0296" w:rsidP="00FA3CB7">
      <w:pPr>
        <w:spacing w:before="100" w:beforeAutospacing="1" w:after="100" w:afterAutospacing="1" w:line="360" w:lineRule="auto"/>
        <w:outlineLvl w:val="0"/>
        <w:rPr>
          <w:rFonts w:asciiTheme="majorHAnsi" w:eastAsia="Times New Roman" w:hAnsiTheme="majorHAnsi" w:cstheme="majorHAnsi"/>
          <w:b/>
          <w:bCs/>
          <w:kern w:val="36"/>
          <w:sz w:val="28"/>
          <w:szCs w:val="28"/>
          <w:lang w:eastAsia="en-GB"/>
          <w14:ligatures w14:val="none"/>
        </w:rPr>
      </w:pPr>
      <w:bookmarkStart w:id="4" w:name="_Toc235202364"/>
      <w:r w:rsidRPr="008F0296">
        <w:rPr>
          <w:rFonts w:asciiTheme="majorHAnsi" w:eastAsia="Times New Roman" w:hAnsiTheme="majorHAnsi" w:cstheme="majorHAnsi"/>
          <w:b/>
          <w:bCs/>
          <w:kern w:val="36"/>
          <w:sz w:val="28"/>
          <w:szCs w:val="28"/>
          <w:lang w:eastAsia="en-GB"/>
          <w14:ligatures w14:val="none"/>
        </w:rPr>
        <w:t>3. Organisation Application</w:t>
      </w:r>
      <w:bookmarkEnd w:id="4"/>
    </w:p>
    <w:p w14:paraId="4414B407" w14:textId="77777777"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Unilever is a multinational consumer goods organisation operating across a wide range of countries. Its products are available in 190 countries, and in 2025 the company reported turnover of €50.5 billion, with 59% of turnover generated from emerging markets (Unilever, 2026a). This international scale makes Unilever an appropriate organisation for analysing how environmental factors influence HRM.</w:t>
      </w:r>
    </w:p>
    <w:p w14:paraId="694B3B65" w14:textId="3826BF10"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Unilever’s HR practices focus on talent, culture, </w:t>
      </w:r>
      <w:r w:rsidR="00FA3CB7" w:rsidRPr="008F0296">
        <w:rPr>
          <w:rFonts w:asciiTheme="majorHAnsi" w:eastAsia="Times New Roman" w:hAnsiTheme="majorHAnsi" w:cstheme="majorHAnsi"/>
          <w:kern w:val="0"/>
          <w:sz w:val="24"/>
          <w:szCs w:val="24"/>
          <w:lang w:eastAsia="en-GB"/>
          <w14:ligatures w14:val="none"/>
        </w:rPr>
        <w:t>performance,</w:t>
      </w:r>
      <w:r w:rsidRPr="008F0296">
        <w:rPr>
          <w:rFonts w:asciiTheme="majorHAnsi" w:eastAsia="Times New Roman" w:hAnsiTheme="majorHAnsi" w:cstheme="majorHAnsi"/>
          <w:kern w:val="0"/>
          <w:sz w:val="24"/>
          <w:szCs w:val="24"/>
          <w:lang w:eastAsia="en-GB"/>
          <w14:ligatures w14:val="none"/>
        </w:rPr>
        <w:t xml:space="preserve"> and capability development. Its HR function supports business performance by building relationships, developing people, strengthening future </w:t>
      </w:r>
      <w:r w:rsidR="00FA3CB7" w:rsidRPr="008F0296">
        <w:rPr>
          <w:rFonts w:asciiTheme="majorHAnsi" w:eastAsia="Times New Roman" w:hAnsiTheme="majorHAnsi" w:cstheme="majorHAnsi"/>
          <w:kern w:val="0"/>
          <w:sz w:val="24"/>
          <w:szCs w:val="24"/>
          <w:lang w:eastAsia="en-GB"/>
          <w14:ligatures w14:val="none"/>
        </w:rPr>
        <w:t>capabilities,</w:t>
      </w:r>
      <w:r w:rsidRPr="008F0296">
        <w:rPr>
          <w:rFonts w:asciiTheme="majorHAnsi" w:eastAsia="Times New Roman" w:hAnsiTheme="majorHAnsi" w:cstheme="majorHAnsi"/>
          <w:kern w:val="0"/>
          <w:sz w:val="24"/>
          <w:szCs w:val="24"/>
          <w:lang w:eastAsia="en-GB"/>
          <w14:ligatures w14:val="none"/>
        </w:rPr>
        <w:t xml:space="preserve"> and supporting organisational culture (Unilever Careers, 2026a). This links to strategic HRM theory, which argues that HR practices should support business strategy rather than operate as separate administrative activities (Becker and Gerhart, 1996; Boxall and Purcell, 2000).</w:t>
      </w:r>
    </w:p>
    <w:p w14:paraId="06327D24" w14:textId="022F9F7D"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In recruitment, Unilever uses global careers platforms and early-career programmes to attract candidates across different labour markets. In training and development, it supports learning, leadership development and future skills. In performance management, Unilever’s 2025 reporting refers to employee goals, coaching, </w:t>
      </w:r>
      <w:r w:rsidR="00FA3CB7" w:rsidRPr="008F0296">
        <w:rPr>
          <w:rFonts w:asciiTheme="majorHAnsi" w:eastAsia="Times New Roman" w:hAnsiTheme="majorHAnsi" w:cstheme="majorHAnsi"/>
          <w:kern w:val="0"/>
          <w:sz w:val="24"/>
          <w:szCs w:val="24"/>
          <w:lang w:eastAsia="en-GB"/>
          <w14:ligatures w14:val="none"/>
        </w:rPr>
        <w:t>feedback,</w:t>
      </w:r>
      <w:r w:rsidRPr="008F0296">
        <w:rPr>
          <w:rFonts w:asciiTheme="majorHAnsi" w:eastAsia="Times New Roman" w:hAnsiTheme="majorHAnsi" w:cstheme="majorHAnsi"/>
          <w:kern w:val="0"/>
          <w:sz w:val="24"/>
          <w:szCs w:val="24"/>
          <w:lang w:eastAsia="en-GB"/>
          <w14:ligatures w14:val="none"/>
        </w:rPr>
        <w:t xml:space="preserve"> and reward linked to performance (Unilever, 2026b). In employee relations, the company promotes inclusion, </w:t>
      </w:r>
      <w:r w:rsidR="00FA3CB7" w:rsidRPr="008F0296">
        <w:rPr>
          <w:rFonts w:asciiTheme="majorHAnsi" w:eastAsia="Times New Roman" w:hAnsiTheme="majorHAnsi" w:cstheme="majorHAnsi"/>
          <w:kern w:val="0"/>
          <w:sz w:val="24"/>
          <w:szCs w:val="24"/>
          <w:lang w:eastAsia="en-GB"/>
          <w14:ligatures w14:val="none"/>
        </w:rPr>
        <w:lastRenderedPageBreak/>
        <w:t>wellbeing,</w:t>
      </w:r>
      <w:r w:rsidRPr="008F0296">
        <w:rPr>
          <w:rFonts w:asciiTheme="majorHAnsi" w:eastAsia="Times New Roman" w:hAnsiTheme="majorHAnsi" w:cstheme="majorHAnsi"/>
          <w:kern w:val="0"/>
          <w:sz w:val="24"/>
          <w:szCs w:val="24"/>
          <w:lang w:eastAsia="en-GB"/>
          <w14:ligatures w14:val="none"/>
        </w:rPr>
        <w:t xml:space="preserve"> and employee resource groups, reflecting the increasing importance of diversity and belonging in global HRM (Unilever Careers, 2026b). These practices show that Unilever’s HR managers must balance global strategy with local workforce expectations.</w:t>
      </w:r>
    </w:p>
    <w:p w14:paraId="09E996F7" w14:textId="77777777" w:rsidR="008F0296" w:rsidRPr="008F0296" w:rsidRDefault="008F0296" w:rsidP="00FA3CB7">
      <w:pPr>
        <w:spacing w:before="100" w:beforeAutospacing="1" w:after="100" w:afterAutospacing="1" w:line="360" w:lineRule="auto"/>
        <w:outlineLvl w:val="0"/>
        <w:rPr>
          <w:rFonts w:asciiTheme="majorHAnsi" w:eastAsia="Times New Roman" w:hAnsiTheme="majorHAnsi" w:cstheme="majorHAnsi"/>
          <w:b/>
          <w:bCs/>
          <w:kern w:val="36"/>
          <w:sz w:val="28"/>
          <w:szCs w:val="28"/>
          <w:lang w:eastAsia="en-GB"/>
          <w14:ligatures w14:val="none"/>
        </w:rPr>
      </w:pPr>
      <w:bookmarkStart w:id="5" w:name="_Toc235202365"/>
      <w:r w:rsidRPr="008F0296">
        <w:rPr>
          <w:rFonts w:asciiTheme="majorHAnsi" w:eastAsia="Times New Roman" w:hAnsiTheme="majorHAnsi" w:cstheme="majorHAnsi"/>
          <w:b/>
          <w:bCs/>
          <w:kern w:val="36"/>
          <w:sz w:val="28"/>
          <w:szCs w:val="28"/>
          <w:lang w:eastAsia="en-GB"/>
          <w14:ligatures w14:val="none"/>
        </w:rPr>
        <w:t>4. Application of PESTLE to Unilever</w:t>
      </w:r>
      <w:bookmarkEnd w:id="5"/>
    </w:p>
    <w:p w14:paraId="615134E8" w14:textId="77777777" w:rsidR="008F0296" w:rsidRPr="008F0296" w:rsidRDefault="008F0296" w:rsidP="00FA3CB7">
      <w:pPr>
        <w:spacing w:before="100" w:beforeAutospacing="1" w:after="100" w:afterAutospacing="1" w:line="360" w:lineRule="auto"/>
        <w:outlineLvl w:val="1"/>
        <w:rPr>
          <w:rFonts w:asciiTheme="majorHAnsi" w:eastAsia="Times New Roman" w:hAnsiTheme="majorHAnsi" w:cstheme="majorHAnsi"/>
          <w:b/>
          <w:bCs/>
          <w:kern w:val="0"/>
          <w:sz w:val="28"/>
          <w:szCs w:val="28"/>
          <w:lang w:eastAsia="en-GB"/>
          <w14:ligatures w14:val="none"/>
        </w:rPr>
      </w:pPr>
      <w:bookmarkStart w:id="6" w:name="_Toc235202366"/>
      <w:r w:rsidRPr="008F0296">
        <w:rPr>
          <w:rFonts w:asciiTheme="majorHAnsi" w:eastAsia="Times New Roman" w:hAnsiTheme="majorHAnsi" w:cstheme="majorHAnsi"/>
          <w:b/>
          <w:bCs/>
          <w:kern w:val="0"/>
          <w:sz w:val="28"/>
          <w:szCs w:val="28"/>
          <w:lang w:eastAsia="en-GB"/>
          <w14:ligatures w14:val="none"/>
        </w:rPr>
        <w:t>4.1 Political Factors</w:t>
      </w:r>
      <w:bookmarkEnd w:id="6"/>
    </w:p>
    <w:p w14:paraId="03678472" w14:textId="24CB6C47"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Political factors affect HR effectiveness because Unilever operates in countries with different political systems, labour policies and employment priorities. Government policy influences immigration, trade, labour regulation and workforce planning. Restrictive immigration rules may reduce access to international talent, while political instability can affect employee security and staffing decisions. International HRM literature shows that multinational organisations must adjust HR practices to national institutional environments rather than applying one universal model everywhere (Harzing and Pinnington, 2015; Reiche et al., 2018). Political factors also influence employee relations. In countries with stronger employee representation, HR managers may need to consult workers before major organisational changes. </w:t>
      </w:r>
      <w:r w:rsidR="00D91F14">
        <w:rPr>
          <w:rFonts w:asciiTheme="majorHAnsi" w:eastAsia="Times New Roman" w:hAnsiTheme="majorHAnsi" w:cstheme="majorHAnsi"/>
          <w:kern w:val="0"/>
          <w:sz w:val="24"/>
          <w:szCs w:val="24"/>
          <w:lang w:eastAsia="en-GB"/>
          <w14:ligatures w14:val="none"/>
        </w:rPr>
        <w:t>Comparative employment relations research suggests that labour market systems differ significantly between liberal market economies and coordinated market economies.</w:t>
      </w:r>
      <w:r w:rsidR="00D91F14" w:rsidRPr="008F0296">
        <w:rPr>
          <w:rFonts w:asciiTheme="majorHAnsi" w:eastAsia="Times New Roman" w:hAnsiTheme="majorHAnsi" w:cstheme="majorHAnsi"/>
          <w:kern w:val="0"/>
          <w:sz w:val="24"/>
          <w:szCs w:val="24"/>
          <w:lang w:eastAsia="en-GB"/>
          <w14:ligatures w14:val="none"/>
        </w:rPr>
        <w:t xml:space="preserve"> (</w:t>
      </w:r>
      <w:r w:rsidRPr="008F0296">
        <w:rPr>
          <w:rFonts w:asciiTheme="majorHAnsi" w:eastAsia="Times New Roman" w:hAnsiTheme="majorHAnsi" w:cstheme="majorHAnsi"/>
          <w:kern w:val="0"/>
          <w:sz w:val="24"/>
          <w:szCs w:val="24"/>
          <w:lang w:eastAsia="en-GB"/>
          <w14:ligatures w14:val="none"/>
        </w:rPr>
        <w:t xml:space="preserve">Bamber et al., 2021; Farndale et al., 2008). Therefore, </w:t>
      </w:r>
      <w:r w:rsidR="00FA3CB7" w:rsidRPr="008F0296">
        <w:rPr>
          <w:rFonts w:asciiTheme="majorHAnsi" w:eastAsia="Times New Roman" w:hAnsiTheme="majorHAnsi" w:cstheme="majorHAnsi"/>
          <w:kern w:val="0"/>
          <w:sz w:val="24"/>
          <w:szCs w:val="24"/>
          <w:lang w:eastAsia="en-GB"/>
          <w14:ligatures w14:val="none"/>
        </w:rPr>
        <w:t>political,</w:t>
      </w:r>
      <w:r w:rsidRPr="008F0296">
        <w:rPr>
          <w:rFonts w:asciiTheme="majorHAnsi" w:eastAsia="Times New Roman" w:hAnsiTheme="majorHAnsi" w:cstheme="majorHAnsi"/>
          <w:kern w:val="0"/>
          <w:sz w:val="24"/>
          <w:szCs w:val="24"/>
          <w:lang w:eastAsia="en-GB"/>
          <w14:ligatures w14:val="none"/>
        </w:rPr>
        <w:t xml:space="preserve"> and institutional differences can either support or restrict Unilever’s ability to implement HR change quickly.</w:t>
      </w:r>
    </w:p>
    <w:p w14:paraId="3550CCED" w14:textId="77777777" w:rsidR="008F0296" w:rsidRPr="008F0296" w:rsidRDefault="008F0296" w:rsidP="00FA3CB7">
      <w:pPr>
        <w:spacing w:before="100" w:beforeAutospacing="1" w:after="100" w:afterAutospacing="1" w:line="360" w:lineRule="auto"/>
        <w:outlineLvl w:val="1"/>
        <w:rPr>
          <w:rFonts w:asciiTheme="majorHAnsi" w:eastAsia="Times New Roman" w:hAnsiTheme="majorHAnsi" w:cstheme="majorHAnsi"/>
          <w:b/>
          <w:bCs/>
          <w:kern w:val="0"/>
          <w:sz w:val="28"/>
          <w:szCs w:val="28"/>
          <w:lang w:eastAsia="en-GB"/>
          <w14:ligatures w14:val="none"/>
        </w:rPr>
      </w:pPr>
      <w:bookmarkStart w:id="7" w:name="_Toc235202367"/>
      <w:r w:rsidRPr="008F0296">
        <w:rPr>
          <w:rFonts w:asciiTheme="majorHAnsi" w:eastAsia="Times New Roman" w:hAnsiTheme="majorHAnsi" w:cstheme="majorHAnsi"/>
          <w:b/>
          <w:bCs/>
          <w:kern w:val="0"/>
          <w:sz w:val="28"/>
          <w:szCs w:val="28"/>
          <w:lang w:eastAsia="en-GB"/>
          <w14:ligatures w14:val="none"/>
        </w:rPr>
        <w:t>4.2 Economic Factors</w:t>
      </w:r>
      <w:bookmarkEnd w:id="7"/>
    </w:p>
    <w:p w14:paraId="77D26CD2" w14:textId="33ABABFD"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Economic factors affect recruitment, </w:t>
      </w:r>
      <w:r w:rsidR="00FA3CB7" w:rsidRPr="008F0296">
        <w:rPr>
          <w:rFonts w:asciiTheme="majorHAnsi" w:eastAsia="Times New Roman" w:hAnsiTheme="majorHAnsi" w:cstheme="majorHAnsi"/>
          <w:kern w:val="0"/>
          <w:sz w:val="24"/>
          <w:szCs w:val="24"/>
          <w:lang w:eastAsia="en-GB"/>
          <w14:ligatures w14:val="none"/>
        </w:rPr>
        <w:t>reward,</w:t>
      </w:r>
      <w:r w:rsidRPr="008F0296">
        <w:rPr>
          <w:rFonts w:asciiTheme="majorHAnsi" w:eastAsia="Times New Roman" w:hAnsiTheme="majorHAnsi" w:cstheme="majorHAnsi"/>
          <w:kern w:val="0"/>
          <w:sz w:val="24"/>
          <w:szCs w:val="24"/>
          <w:lang w:eastAsia="en-GB"/>
          <w14:ligatures w14:val="none"/>
        </w:rPr>
        <w:t xml:space="preserve"> and retention. Inflation, wage levels, unemployment and consumer demand influence pay structures and workforce planning. When inflation increases, employees may expect higher pay, but HR managers must balance employee expectations with cost control. Strategic HRM research suggests that effective HR systems can improve productivity, lower </w:t>
      </w:r>
      <w:r w:rsidR="00FA3CB7" w:rsidRPr="008F0296">
        <w:rPr>
          <w:rFonts w:asciiTheme="majorHAnsi" w:eastAsia="Times New Roman" w:hAnsiTheme="majorHAnsi" w:cstheme="majorHAnsi"/>
          <w:kern w:val="0"/>
          <w:sz w:val="24"/>
          <w:szCs w:val="24"/>
          <w:lang w:eastAsia="en-GB"/>
          <w14:ligatures w14:val="none"/>
        </w:rPr>
        <w:t>turnover,</w:t>
      </w:r>
      <w:r w:rsidRPr="008F0296">
        <w:rPr>
          <w:rFonts w:asciiTheme="majorHAnsi" w:eastAsia="Times New Roman" w:hAnsiTheme="majorHAnsi" w:cstheme="majorHAnsi"/>
          <w:kern w:val="0"/>
          <w:sz w:val="24"/>
          <w:szCs w:val="24"/>
          <w:lang w:eastAsia="en-GB"/>
          <w14:ligatures w14:val="none"/>
        </w:rPr>
        <w:t xml:space="preserve"> and support organisational performance (Huselid, 1995; Jiang et al., 2012). Economic differences between countries make this more complex. In developed markets, employees may expect stronger benefits and career development. In emerging markets, Unilever may benefit from larger labour pools but may also face skills shortages and different wage expectations. Since much of Unilever’s turnover </w:t>
      </w:r>
      <w:r w:rsidRPr="008F0296">
        <w:rPr>
          <w:rFonts w:asciiTheme="majorHAnsi" w:eastAsia="Times New Roman" w:hAnsiTheme="majorHAnsi" w:cstheme="majorHAnsi"/>
          <w:kern w:val="0"/>
          <w:sz w:val="24"/>
          <w:szCs w:val="24"/>
          <w:lang w:eastAsia="en-GB"/>
          <w14:ligatures w14:val="none"/>
        </w:rPr>
        <w:lastRenderedPageBreak/>
        <w:t>comes from emerging markets, HR managers must adapt recruitment and reward strategies to local economic conditions rather than depend on a single global approach (Unilever, 2026a).</w:t>
      </w:r>
    </w:p>
    <w:p w14:paraId="5EA5B47D" w14:textId="77777777" w:rsidR="008F0296" w:rsidRPr="008F0296" w:rsidRDefault="008F0296" w:rsidP="00FA3CB7">
      <w:pPr>
        <w:spacing w:before="100" w:beforeAutospacing="1" w:after="100" w:afterAutospacing="1" w:line="360" w:lineRule="auto"/>
        <w:outlineLvl w:val="1"/>
        <w:rPr>
          <w:rFonts w:asciiTheme="majorHAnsi" w:eastAsia="Times New Roman" w:hAnsiTheme="majorHAnsi" w:cstheme="majorHAnsi"/>
          <w:b/>
          <w:bCs/>
          <w:kern w:val="0"/>
          <w:sz w:val="28"/>
          <w:szCs w:val="28"/>
          <w:lang w:eastAsia="en-GB"/>
          <w14:ligatures w14:val="none"/>
        </w:rPr>
      </w:pPr>
      <w:bookmarkStart w:id="8" w:name="_Toc235202368"/>
      <w:r w:rsidRPr="008F0296">
        <w:rPr>
          <w:rFonts w:asciiTheme="majorHAnsi" w:eastAsia="Times New Roman" w:hAnsiTheme="majorHAnsi" w:cstheme="majorHAnsi"/>
          <w:b/>
          <w:bCs/>
          <w:kern w:val="0"/>
          <w:sz w:val="28"/>
          <w:szCs w:val="28"/>
          <w:lang w:eastAsia="en-GB"/>
          <w14:ligatures w14:val="none"/>
        </w:rPr>
        <w:t>4.3 Social Factors</w:t>
      </w:r>
      <w:bookmarkEnd w:id="8"/>
    </w:p>
    <w:p w14:paraId="160A1786" w14:textId="11B6F301"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Social factors influence HR through employee expectations, demographics, </w:t>
      </w:r>
      <w:r w:rsidR="00FA3CB7" w:rsidRPr="008F0296">
        <w:rPr>
          <w:rFonts w:asciiTheme="majorHAnsi" w:eastAsia="Times New Roman" w:hAnsiTheme="majorHAnsi" w:cstheme="majorHAnsi"/>
          <w:kern w:val="0"/>
          <w:sz w:val="24"/>
          <w:szCs w:val="24"/>
          <w:lang w:eastAsia="en-GB"/>
          <w14:ligatures w14:val="none"/>
        </w:rPr>
        <w:t>culture,</w:t>
      </w:r>
      <w:r w:rsidRPr="008F0296">
        <w:rPr>
          <w:rFonts w:asciiTheme="majorHAnsi" w:eastAsia="Times New Roman" w:hAnsiTheme="majorHAnsi" w:cstheme="majorHAnsi"/>
          <w:kern w:val="0"/>
          <w:sz w:val="24"/>
          <w:szCs w:val="24"/>
          <w:lang w:eastAsia="en-GB"/>
          <w14:ligatures w14:val="none"/>
        </w:rPr>
        <w:t xml:space="preserve"> and attitudes towards work. Employees increasingly expect inclusion, flexibility, wellbeing support and meaningful work. Research shows that how employees interpret HR practices affects their attitudes and behaviour, meaning that policies must be viewed as fair and supportive (Nishii et al., 2008). Diversity and inclusion are important because multinational organisations employ workers from varied cultural and social backgrounds (Brewster et al., 2023). Culture also influences leadership and performance management. Hofstede (2011) argues that national cultures differ in </w:t>
      </w:r>
      <w:r w:rsidR="00D91F14">
        <w:rPr>
          <w:rFonts w:asciiTheme="majorHAnsi" w:eastAsia="Times New Roman" w:hAnsiTheme="majorHAnsi" w:cstheme="majorHAnsi"/>
          <w:kern w:val="0"/>
          <w:sz w:val="24"/>
          <w:szCs w:val="24"/>
          <w:lang w:eastAsia="en-GB"/>
          <w14:ligatures w14:val="none"/>
        </w:rPr>
        <w:t>dimensions</w:t>
      </w:r>
      <w:r w:rsidRPr="008F0296">
        <w:rPr>
          <w:rFonts w:asciiTheme="majorHAnsi" w:eastAsia="Times New Roman" w:hAnsiTheme="majorHAnsi" w:cstheme="majorHAnsi"/>
          <w:kern w:val="0"/>
          <w:sz w:val="24"/>
          <w:szCs w:val="24"/>
          <w:lang w:eastAsia="en-GB"/>
          <w14:ligatures w14:val="none"/>
        </w:rPr>
        <w:t xml:space="preserve"> such as power distance, </w:t>
      </w:r>
      <w:r w:rsidR="00FA3CB7" w:rsidRPr="008F0296">
        <w:rPr>
          <w:rFonts w:asciiTheme="majorHAnsi" w:eastAsia="Times New Roman" w:hAnsiTheme="majorHAnsi" w:cstheme="majorHAnsi"/>
          <w:kern w:val="0"/>
          <w:sz w:val="24"/>
          <w:szCs w:val="24"/>
          <w:lang w:eastAsia="en-GB"/>
          <w14:ligatures w14:val="none"/>
        </w:rPr>
        <w:t>individualism,</w:t>
      </w:r>
      <w:r w:rsidRPr="008F0296">
        <w:rPr>
          <w:rFonts w:asciiTheme="majorHAnsi" w:eastAsia="Times New Roman" w:hAnsiTheme="majorHAnsi" w:cstheme="majorHAnsi"/>
          <w:kern w:val="0"/>
          <w:sz w:val="24"/>
          <w:szCs w:val="24"/>
          <w:lang w:eastAsia="en-GB"/>
          <w14:ligatures w14:val="none"/>
        </w:rPr>
        <w:t xml:space="preserve"> and </w:t>
      </w:r>
      <w:r w:rsidR="00D91F14">
        <w:rPr>
          <w:rFonts w:asciiTheme="majorHAnsi" w:eastAsia="Times New Roman" w:hAnsiTheme="majorHAnsi" w:cstheme="majorHAnsi"/>
          <w:kern w:val="0"/>
          <w:sz w:val="24"/>
          <w:szCs w:val="24"/>
          <w:lang w:eastAsia="en-GB"/>
          <w14:ligatures w14:val="none"/>
        </w:rPr>
        <w:t xml:space="preserve">attitudes towards </w:t>
      </w:r>
      <w:proofErr w:type="spellStart"/>
      <w:proofErr w:type="gramStart"/>
      <w:r w:rsidR="00D91F14">
        <w:rPr>
          <w:rFonts w:asciiTheme="majorHAnsi" w:eastAsia="Times New Roman" w:hAnsiTheme="majorHAnsi" w:cstheme="majorHAnsi"/>
          <w:kern w:val="0"/>
          <w:sz w:val="24"/>
          <w:szCs w:val="24"/>
          <w:lang w:eastAsia="en-GB"/>
          <w14:ligatures w14:val="none"/>
        </w:rPr>
        <w:t>uncertainty.</w:t>
      </w:r>
      <w:r w:rsidRPr="008F0296">
        <w:rPr>
          <w:rFonts w:asciiTheme="majorHAnsi" w:eastAsia="Times New Roman" w:hAnsiTheme="majorHAnsi" w:cstheme="majorHAnsi"/>
          <w:kern w:val="0"/>
          <w:sz w:val="24"/>
          <w:szCs w:val="24"/>
          <w:lang w:eastAsia="en-GB"/>
          <w14:ligatures w14:val="none"/>
        </w:rPr>
        <w:t>Direct</w:t>
      </w:r>
      <w:proofErr w:type="spellEnd"/>
      <w:proofErr w:type="gramEnd"/>
      <w:r w:rsidRPr="008F0296">
        <w:rPr>
          <w:rFonts w:asciiTheme="majorHAnsi" w:eastAsia="Times New Roman" w:hAnsiTheme="majorHAnsi" w:cstheme="majorHAnsi"/>
          <w:kern w:val="0"/>
          <w:sz w:val="24"/>
          <w:szCs w:val="24"/>
          <w:lang w:eastAsia="en-GB"/>
          <w14:ligatures w14:val="none"/>
        </w:rPr>
        <w:t xml:space="preserve"> feedback may be effective in some countries but may need to be adapted where hierarchy or indirect communication is more common. Therefore, Unilever’s HR managers require cultural awareness to maintain global standards while adapting employee relations locally.</w:t>
      </w:r>
    </w:p>
    <w:p w14:paraId="1C3529AD" w14:textId="77777777" w:rsidR="008F0296" w:rsidRPr="008F0296" w:rsidRDefault="008F0296" w:rsidP="00FA3CB7">
      <w:pPr>
        <w:spacing w:before="100" w:beforeAutospacing="1" w:after="100" w:afterAutospacing="1" w:line="360" w:lineRule="auto"/>
        <w:outlineLvl w:val="1"/>
        <w:rPr>
          <w:rFonts w:asciiTheme="majorHAnsi" w:eastAsia="Times New Roman" w:hAnsiTheme="majorHAnsi" w:cstheme="majorHAnsi"/>
          <w:b/>
          <w:bCs/>
          <w:kern w:val="0"/>
          <w:sz w:val="28"/>
          <w:szCs w:val="28"/>
          <w:lang w:eastAsia="en-GB"/>
          <w14:ligatures w14:val="none"/>
        </w:rPr>
      </w:pPr>
      <w:bookmarkStart w:id="9" w:name="_Toc235202369"/>
      <w:r w:rsidRPr="008F0296">
        <w:rPr>
          <w:rFonts w:asciiTheme="majorHAnsi" w:eastAsia="Times New Roman" w:hAnsiTheme="majorHAnsi" w:cstheme="majorHAnsi"/>
          <w:b/>
          <w:bCs/>
          <w:kern w:val="0"/>
          <w:sz w:val="28"/>
          <w:szCs w:val="28"/>
          <w:lang w:eastAsia="en-GB"/>
          <w14:ligatures w14:val="none"/>
        </w:rPr>
        <w:t>4.4 Technological Factors</w:t>
      </w:r>
      <w:bookmarkEnd w:id="9"/>
    </w:p>
    <w:p w14:paraId="3E8C9BF4" w14:textId="29A6F098"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Technological factors are becoming increasingly important for HR managers. Artificial intelligence, HR information systems, people analytics and digital learning platforms can improve recruitment, </w:t>
      </w:r>
      <w:r w:rsidR="00FA3CB7" w:rsidRPr="008F0296">
        <w:rPr>
          <w:rFonts w:asciiTheme="majorHAnsi" w:eastAsia="Times New Roman" w:hAnsiTheme="majorHAnsi" w:cstheme="majorHAnsi"/>
          <w:kern w:val="0"/>
          <w:sz w:val="24"/>
          <w:szCs w:val="24"/>
          <w:lang w:eastAsia="en-GB"/>
          <w14:ligatures w14:val="none"/>
        </w:rPr>
        <w:t>training,</w:t>
      </w:r>
      <w:r w:rsidRPr="008F0296">
        <w:rPr>
          <w:rFonts w:asciiTheme="majorHAnsi" w:eastAsia="Times New Roman" w:hAnsiTheme="majorHAnsi" w:cstheme="majorHAnsi"/>
          <w:kern w:val="0"/>
          <w:sz w:val="24"/>
          <w:szCs w:val="24"/>
          <w:lang w:eastAsia="en-GB"/>
          <w14:ligatures w14:val="none"/>
        </w:rPr>
        <w:t xml:space="preserve"> and decision-making. Stone et al. (2015) argue that technology is changing HR activities, while Marler and Boudreau (2017) suggest that HR analytics can support evidence-based decisions about turnover, skills </w:t>
      </w:r>
      <w:r w:rsidR="00FA3CB7" w:rsidRPr="008F0296">
        <w:rPr>
          <w:rFonts w:asciiTheme="majorHAnsi" w:eastAsia="Times New Roman" w:hAnsiTheme="majorHAnsi" w:cstheme="majorHAnsi"/>
          <w:kern w:val="0"/>
          <w:sz w:val="24"/>
          <w:szCs w:val="24"/>
          <w:lang w:eastAsia="en-GB"/>
          <w14:ligatures w14:val="none"/>
        </w:rPr>
        <w:t>gaps,</w:t>
      </w:r>
      <w:r w:rsidRPr="008F0296">
        <w:rPr>
          <w:rFonts w:asciiTheme="majorHAnsi" w:eastAsia="Times New Roman" w:hAnsiTheme="majorHAnsi" w:cstheme="majorHAnsi"/>
          <w:kern w:val="0"/>
          <w:sz w:val="24"/>
          <w:szCs w:val="24"/>
          <w:lang w:eastAsia="en-GB"/>
          <w14:ligatures w14:val="none"/>
        </w:rPr>
        <w:t xml:space="preserve"> and workforce trends. At Unilever, technology affects HR because the company is increasingly using digital and AI-enabled processes to improve organisational effectiveness (Unilever, 2026b). This can reduce administrative work and allow HR managers to focus more on strategic talent management. However, AI also creates risks. Tambe, Cappelli and Yakubovich (2019) argue that AI in HR raises concerns around bias, </w:t>
      </w:r>
      <w:r w:rsidR="00FA3CB7" w:rsidRPr="008F0296">
        <w:rPr>
          <w:rFonts w:asciiTheme="majorHAnsi" w:eastAsia="Times New Roman" w:hAnsiTheme="majorHAnsi" w:cstheme="majorHAnsi"/>
          <w:kern w:val="0"/>
          <w:sz w:val="24"/>
          <w:szCs w:val="24"/>
          <w:lang w:eastAsia="en-GB"/>
          <w14:ligatures w14:val="none"/>
        </w:rPr>
        <w:t>transparency,</w:t>
      </w:r>
      <w:r w:rsidRPr="008F0296">
        <w:rPr>
          <w:rFonts w:asciiTheme="majorHAnsi" w:eastAsia="Times New Roman" w:hAnsiTheme="majorHAnsi" w:cstheme="majorHAnsi"/>
          <w:kern w:val="0"/>
          <w:sz w:val="24"/>
          <w:szCs w:val="24"/>
          <w:lang w:eastAsia="en-GB"/>
          <w14:ligatures w14:val="none"/>
        </w:rPr>
        <w:t xml:space="preserve"> and accountability. HR managers must therefore ensure that digital recruitment and performance systems remain efficient, </w:t>
      </w:r>
      <w:r w:rsidR="00FA3CB7" w:rsidRPr="008F0296">
        <w:rPr>
          <w:rFonts w:asciiTheme="majorHAnsi" w:eastAsia="Times New Roman" w:hAnsiTheme="majorHAnsi" w:cstheme="majorHAnsi"/>
          <w:kern w:val="0"/>
          <w:sz w:val="24"/>
          <w:szCs w:val="24"/>
          <w:lang w:eastAsia="en-GB"/>
          <w14:ligatures w14:val="none"/>
        </w:rPr>
        <w:t>fair,</w:t>
      </w:r>
      <w:r w:rsidRPr="008F0296">
        <w:rPr>
          <w:rFonts w:asciiTheme="majorHAnsi" w:eastAsia="Times New Roman" w:hAnsiTheme="majorHAnsi" w:cstheme="majorHAnsi"/>
          <w:kern w:val="0"/>
          <w:sz w:val="24"/>
          <w:szCs w:val="24"/>
          <w:lang w:eastAsia="en-GB"/>
          <w14:ligatures w14:val="none"/>
        </w:rPr>
        <w:t xml:space="preserve"> and ethical.</w:t>
      </w:r>
    </w:p>
    <w:p w14:paraId="3347ABC5" w14:textId="77777777" w:rsidR="008F0296" w:rsidRPr="008F0296" w:rsidRDefault="008F0296" w:rsidP="00FA3CB7">
      <w:pPr>
        <w:spacing w:before="100" w:beforeAutospacing="1" w:after="100" w:afterAutospacing="1" w:line="360" w:lineRule="auto"/>
        <w:outlineLvl w:val="1"/>
        <w:rPr>
          <w:rFonts w:asciiTheme="majorHAnsi" w:eastAsia="Times New Roman" w:hAnsiTheme="majorHAnsi" w:cstheme="majorHAnsi"/>
          <w:b/>
          <w:bCs/>
          <w:kern w:val="0"/>
          <w:sz w:val="28"/>
          <w:szCs w:val="28"/>
          <w:lang w:eastAsia="en-GB"/>
          <w14:ligatures w14:val="none"/>
        </w:rPr>
      </w:pPr>
      <w:bookmarkStart w:id="10" w:name="_Toc235202370"/>
      <w:r w:rsidRPr="008F0296">
        <w:rPr>
          <w:rFonts w:asciiTheme="majorHAnsi" w:eastAsia="Times New Roman" w:hAnsiTheme="majorHAnsi" w:cstheme="majorHAnsi"/>
          <w:b/>
          <w:bCs/>
          <w:kern w:val="0"/>
          <w:sz w:val="28"/>
          <w:szCs w:val="28"/>
          <w:lang w:eastAsia="en-GB"/>
          <w14:ligatures w14:val="none"/>
        </w:rPr>
        <w:lastRenderedPageBreak/>
        <w:t>4.5 Legal Factors</w:t>
      </w:r>
      <w:bookmarkEnd w:id="10"/>
    </w:p>
    <w:p w14:paraId="5F956D05" w14:textId="77777777"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Legal factors are central to HR effectiveness because employment law affects recruitment, contracts, equality, pay, dismissal, health and safety and data protection. Compliance is challenging because countries have different legal systems and enforcement approaches. International HRM research shows that multinational companies must balance global HR policies with local legal obligations (Dowling et al., 2017; Tarique et al., 2022). For Unilever, legal differences affect whether HR policies can be standardised across markets. Equality laws require fair recruitment and anti-discrimination practices. Data protection rules affect how employee data can be used in HR analytics. Health and safety regulations influence working conditions, particularly in manufacturing and supply chain operations. These legal requirements protect employees, but they also increase administrative complexity for HR managers.</w:t>
      </w:r>
    </w:p>
    <w:p w14:paraId="02844B76" w14:textId="77777777" w:rsidR="008F0296" w:rsidRPr="008F0296" w:rsidRDefault="008F0296" w:rsidP="00FA3CB7">
      <w:pPr>
        <w:spacing w:before="100" w:beforeAutospacing="1" w:after="100" w:afterAutospacing="1" w:line="360" w:lineRule="auto"/>
        <w:outlineLvl w:val="1"/>
        <w:rPr>
          <w:rFonts w:asciiTheme="majorHAnsi" w:eastAsia="Times New Roman" w:hAnsiTheme="majorHAnsi" w:cstheme="majorHAnsi"/>
          <w:b/>
          <w:bCs/>
          <w:kern w:val="0"/>
          <w:sz w:val="28"/>
          <w:szCs w:val="28"/>
          <w:lang w:eastAsia="en-GB"/>
          <w14:ligatures w14:val="none"/>
        </w:rPr>
      </w:pPr>
      <w:bookmarkStart w:id="11" w:name="_Toc235202371"/>
      <w:r w:rsidRPr="008F0296">
        <w:rPr>
          <w:rFonts w:asciiTheme="majorHAnsi" w:eastAsia="Times New Roman" w:hAnsiTheme="majorHAnsi" w:cstheme="majorHAnsi"/>
          <w:b/>
          <w:bCs/>
          <w:kern w:val="0"/>
          <w:sz w:val="28"/>
          <w:szCs w:val="28"/>
          <w:lang w:eastAsia="en-GB"/>
          <w14:ligatures w14:val="none"/>
        </w:rPr>
        <w:t>4.6 Environmental Factors</w:t>
      </w:r>
      <w:bookmarkEnd w:id="11"/>
    </w:p>
    <w:p w14:paraId="284F9DE6" w14:textId="4E8DEE95"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Environmental factors also affect HRM. Climate change, sustainability and ethical business practices influence employer reputation, employee engagement and organisational culture. Green HRM research argues that HR practices can contribute to environmental strategy through recruitment, training, performance management and employee involvement (Renwick, Redman, and Maguire, 2013). For Unilever, sustainability creates HR implications because the company may need employees with sustainability-related skills, environmental training and performance objectives linked to responsible business practice. However, environmental initiatives may create tension if they increase costs, change job </w:t>
      </w:r>
      <w:r w:rsidR="00FA3CB7" w:rsidRPr="008F0296">
        <w:rPr>
          <w:rFonts w:asciiTheme="majorHAnsi" w:eastAsia="Times New Roman" w:hAnsiTheme="majorHAnsi" w:cstheme="majorHAnsi"/>
          <w:kern w:val="0"/>
          <w:sz w:val="24"/>
          <w:szCs w:val="24"/>
          <w:lang w:eastAsia="en-GB"/>
          <w14:ligatures w14:val="none"/>
        </w:rPr>
        <w:t>roles,</w:t>
      </w:r>
      <w:r w:rsidRPr="008F0296">
        <w:rPr>
          <w:rFonts w:asciiTheme="majorHAnsi" w:eastAsia="Times New Roman" w:hAnsiTheme="majorHAnsi" w:cstheme="majorHAnsi"/>
          <w:kern w:val="0"/>
          <w:sz w:val="24"/>
          <w:szCs w:val="24"/>
          <w:lang w:eastAsia="en-GB"/>
          <w14:ligatures w14:val="none"/>
        </w:rPr>
        <w:t xml:space="preserve"> or require restructuring. HR managers therefore need to manage change carefully while maintaining employee engagement.</w:t>
      </w:r>
    </w:p>
    <w:p w14:paraId="11694498" w14:textId="77777777"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 xml:space="preserve">Overall, PESTLE shows that Unilever’s HR effectiveness depends on aligning people management with external conditions. Political and legal factors influence compliance and employee relations. Economic factors affect pay and retention. Social and cultural factors shape inclusion and performance management. Technology can improve efficiency but also introduces ethical risks, while environmental pressures connect HR to sustainability. The central challenge is balancing global consistency with local adaptation because HR practices </w:t>
      </w:r>
      <w:r w:rsidRPr="008F0296">
        <w:rPr>
          <w:rFonts w:asciiTheme="majorHAnsi" w:eastAsia="Times New Roman" w:hAnsiTheme="majorHAnsi" w:cstheme="majorHAnsi"/>
          <w:kern w:val="0"/>
          <w:sz w:val="24"/>
          <w:szCs w:val="24"/>
          <w:lang w:eastAsia="en-GB"/>
          <w14:ligatures w14:val="none"/>
        </w:rPr>
        <w:lastRenderedPageBreak/>
        <w:t>are most effective when they fit both organisational strategy and the external environment (Delery and Doty, 1996; Jackson et al., 2014; Boon et al., 2019).</w:t>
      </w:r>
    </w:p>
    <w:p w14:paraId="5D0C314A" w14:textId="77777777" w:rsidR="008F0296" w:rsidRPr="008F0296" w:rsidRDefault="008F0296" w:rsidP="00FA3CB7">
      <w:pPr>
        <w:spacing w:before="100" w:beforeAutospacing="1" w:after="100" w:afterAutospacing="1" w:line="360" w:lineRule="auto"/>
        <w:outlineLvl w:val="0"/>
        <w:rPr>
          <w:rFonts w:asciiTheme="majorHAnsi" w:eastAsia="Times New Roman" w:hAnsiTheme="majorHAnsi" w:cstheme="majorHAnsi"/>
          <w:b/>
          <w:bCs/>
          <w:kern w:val="36"/>
          <w:sz w:val="28"/>
          <w:szCs w:val="28"/>
          <w:lang w:eastAsia="en-GB"/>
          <w14:ligatures w14:val="none"/>
        </w:rPr>
      </w:pPr>
      <w:bookmarkStart w:id="12" w:name="_Toc235202372"/>
      <w:r w:rsidRPr="008F0296">
        <w:rPr>
          <w:rFonts w:asciiTheme="majorHAnsi" w:eastAsia="Times New Roman" w:hAnsiTheme="majorHAnsi" w:cstheme="majorHAnsi"/>
          <w:b/>
          <w:bCs/>
          <w:kern w:val="36"/>
          <w:sz w:val="28"/>
          <w:szCs w:val="28"/>
          <w:lang w:eastAsia="en-GB"/>
          <w14:ligatures w14:val="none"/>
        </w:rPr>
        <w:t>5. Conclusion</w:t>
      </w:r>
      <w:bookmarkEnd w:id="12"/>
    </w:p>
    <w:p w14:paraId="1D851C07" w14:textId="0ABB9D3A" w:rsidR="008F0296" w:rsidRPr="00EE3074" w:rsidRDefault="00EE3074" w:rsidP="00EE3074">
      <w:pPr>
        <w:spacing w:line="360" w:lineRule="auto"/>
        <w:rPr>
          <w:rFonts w:asciiTheme="majorHAnsi" w:hAnsiTheme="majorHAnsi" w:cstheme="majorHAnsi"/>
          <w:sz w:val="24"/>
          <w:szCs w:val="24"/>
        </w:rPr>
      </w:pPr>
      <w:r w:rsidRPr="005975A6">
        <w:rPr>
          <w:rFonts w:asciiTheme="majorHAnsi" w:hAnsiTheme="majorHAnsi" w:cstheme="majorHAnsi"/>
          <w:sz w:val="24"/>
          <w:szCs w:val="24"/>
        </w:rPr>
        <w:t>This report has explored the extent to which external environmental conditions shape the effectiveness of HR managers within Unilever, using PESTLE as the analytical framework. Core HR activities, including employee resourcing, learning and development, performance management and employment relations, are essential because they help organisations build, develop, and retain a capable workforce. Academic research indicates that HRM can improve organisational outcomes when people-management practices are closely connected to strategic priorities and wider environmental demands (Guest, 1997; Wright and McMahan, 1992).</w:t>
      </w:r>
      <w:r>
        <w:rPr>
          <w:rFonts w:asciiTheme="majorHAnsi" w:hAnsiTheme="majorHAnsi" w:cstheme="majorHAnsi"/>
          <w:sz w:val="24"/>
          <w:szCs w:val="24"/>
        </w:rPr>
        <w:t xml:space="preserve"> </w:t>
      </w:r>
      <w:r w:rsidR="008F0296" w:rsidRPr="008F0296">
        <w:rPr>
          <w:rFonts w:asciiTheme="majorHAnsi" w:eastAsia="Times New Roman" w:hAnsiTheme="majorHAnsi" w:cstheme="majorHAnsi"/>
          <w:kern w:val="0"/>
          <w:sz w:val="24"/>
          <w:szCs w:val="24"/>
          <w:lang w:eastAsia="en-GB"/>
          <w14:ligatures w14:val="none"/>
        </w:rPr>
        <w:t xml:space="preserve">PESTLE is useful because it offers a structured method for analysing political, economic, social, technological, </w:t>
      </w:r>
      <w:r w:rsidR="00FA3CB7" w:rsidRPr="008F0296">
        <w:rPr>
          <w:rFonts w:asciiTheme="majorHAnsi" w:eastAsia="Times New Roman" w:hAnsiTheme="majorHAnsi" w:cstheme="majorHAnsi"/>
          <w:kern w:val="0"/>
          <w:sz w:val="24"/>
          <w:szCs w:val="24"/>
          <w:lang w:eastAsia="en-GB"/>
          <w14:ligatures w14:val="none"/>
        </w:rPr>
        <w:t>legal,</w:t>
      </w:r>
      <w:r w:rsidR="008F0296" w:rsidRPr="008F0296">
        <w:rPr>
          <w:rFonts w:asciiTheme="majorHAnsi" w:eastAsia="Times New Roman" w:hAnsiTheme="majorHAnsi" w:cstheme="majorHAnsi"/>
          <w:kern w:val="0"/>
          <w:sz w:val="24"/>
          <w:szCs w:val="24"/>
          <w:lang w:eastAsia="en-GB"/>
          <w14:ligatures w14:val="none"/>
        </w:rPr>
        <w:t xml:space="preserve"> and environmental influences. However, it has limitations because it mainly focuses on external factors and should be used alongside internal analysis. The application to Unilever shows that HR managers in global organisations face complex and changing pressures. Political and legal differences influence compliance and employee consultation. Economic conditions affect reward and workforce planning. Social and cultural differences shape inclusion, wellbeing, and feedback. Technology changes recruitment and HR decision-making, while environmental pressures increase the importance of sustainability and green HRM.</w:t>
      </w:r>
    </w:p>
    <w:p w14:paraId="16910905" w14:textId="77777777" w:rsidR="008F0296" w:rsidRPr="008F0296" w:rsidRDefault="008F0296"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8F0296">
        <w:rPr>
          <w:rFonts w:asciiTheme="majorHAnsi" w:eastAsia="Times New Roman" w:hAnsiTheme="majorHAnsi" w:cstheme="majorHAnsi"/>
          <w:kern w:val="0"/>
          <w:sz w:val="24"/>
          <w:szCs w:val="24"/>
          <w:lang w:eastAsia="en-GB"/>
          <w14:ligatures w14:val="none"/>
        </w:rPr>
        <w:t>The future implications for HR managers are significant. Global organisations will continue to face challenges linked to AI, labour market change, skills shortages, sustainability expectations and changing employment law. HR managers will need to act as strategic business partners who can interpret environmental change and translate it into effective people practices. For Unilever, future HR effectiveness will depend on balancing global strategic alignment with local responsiveness across different countries.</w:t>
      </w:r>
    </w:p>
    <w:p w14:paraId="3338DE78" w14:textId="77777777" w:rsidR="00A93A77" w:rsidRPr="008F0296" w:rsidRDefault="00A93A77"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p>
    <w:p w14:paraId="5A173590" w14:textId="77777777" w:rsidR="00A93A77" w:rsidRDefault="00A93A77" w:rsidP="00FA3CB7">
      <w:pPr>
        <w:spacing w:before="100" w:beforeAutospacing="1" w:after="100" w:afterAutospacing="1" w:line="360" w:lineRule="auto"/>
        <w:rPr>
          <w:rFonts w:asciiTheme="majorHAnsi" w:eastAsia="Times New Roman" w:hAnsiTheme="majorHAnsi" w:cstheme="majorHAnsi"/>
          <w:i/>
          <w:iCs/>
          <w:kern w:val="0"/>
          <w:sz w:val="24"/>
          <w:szCs w:val="24"/>
          <w:lang w:eastAsia="en-GB"/>
          <w14:ligatures w14:val="none"/>
        </w:rPr>
      </w:pPr>
    </w:p>
    <w:p w14:paraId="7C33DD7C" w14:textId="77777777" w:rsidR="00A93A77" w:rsidRPr="008F0296" w:rsidRDefault="00A93A77"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p>
    <w:p w14:paraId="33C97280" w14:textId="6DA426C6" w:rsidR="00CE7AC0" w:rsidRPr="008F0296" w:rsidRDefault="00CE7AC0" w:rsidP="00FA3CB7">
      <w:pPr>
        <w:spacing w:before="100" w:beforeAutospacing="1" w:after="100" w:afterAutospacing="1" w:line="360" w:lineRule="auto"/>
        <w:outlineLvl w:val="1"/>
        <w:rPr>
          <w:rFonts w:asciiTheme="majorHAnsi" w:eastAsia="Times New Roman" w:hAnsiTheme="majorHAnsi" w:cstheme="majorHAnsi"/>
          <w:b/>
          <w:bCs/>
          <w:kern w:val="0"/>
          <w:sz w:val="28"/>
          <w:szCs w:val="28"/>
          <w:lang w:eastAsia="en-GB"/>
          <w14:ligatures w14:val="none"/>
        </w:rPr>
      </w:pPr>
      <w:bookmarkStart w:id="13" w:name="_Toc235202373"/>
      <w:bookmarkEnd w:id="2"/>
      <w:r w:rsidRPr="008F0296">
        <w:rPr>
          <w:rFonts w:asciiTheme="majorHAnsi" w:eastAsia="Times New Roman" w:hAnsiTheme="majorHAnsi" w:cstheme="majorHAnsi"/>
          <w:b/>
          <w:bCs/>
          <w:kern w:val="0"/>
          <w:sz w:val="28"/>
          <w:szCs w:val="28"/>
          <w:lang w:eastAsia="en-GB"/>
          <w14:ligatures w14:val="none"/>
        </w:rPr>
        <w:lastRenderedPageBreak/>
        <w:t>6. Reference List</w:t>
      </w:r>
      <w:bookmarkEnd w:id="13"/>
    </w:p>
    <w:p w14:paraId="42AFB74F"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Aguilar, F.J. (1967) Scanning the Business Environment. New York: Macmillan.</w:t>
      </w:r>
    </w:p>
    <w:p w14:paraId="6A18198E" w14:textId="1012FA99"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Aguinis, H. (2019) Performance Management. 4</w:t>
      </w:r>
      <w:r w:rsidRPr="00FA3CB7">
        <w:rPr>
          <w:rFonts w:asciiTheme="majorHAnsi" w:eastAsia="Times New Roman" w:hAnsiTheme="majorHAnsi" w:cstheme="majorHAnsi"/>
          <w:kern w:val="0"/>
          <w:sz w:val="24"/>
          <w:szCs w:val="24"/>
          <w:vertAlign w:val="superscript"/>
          <w:lang w:eastAsia="en-GB"/>
          <w14:ligatures w14:val="none"/>
        </w:rPr>
        <w:t>th</w:t>
      </w:r>
      <w:r w:rsidRPr="00FA3CB7">
        <w:rPr>
          <w:rFonts w:asciiTheme="majorHAnsi" w:eastAsia="Times New Roman" w:hAnsiTheme="majorHAnsi" w:cstheme="majorHAnsi"/>
          <w:kern w:val="0"/>
          <w:sz w:val="24"/>
          <w:szCs w:val="24"/>
          <w:lang w:eastAsia="en-GB"/>
          <w14:ligatures w14:val="none"/>
        </w:rPr>
        <w:t xml:space="preserve"> edition. Chicago: Chicago Business Press.</w:t>
      </w:r>
    </w:p>
    <w:p w14:paraId="39993DD8" w14:textId="0A183BEB"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Armstrong, M. and Taylor, S. (2023) Armstrong’s Handbook of Human Resource Management Practice. 16</w:t>
      </w:r>
      <w:r w:rsidRPr="00FA3CB7">
        <w:rPr>
          <w:rFonts w:asciiTheme="majorHAnsi" w:eastAsia="Times New Roman" w:hAnsiTheme="majorHAnsi" w:cstheme="majorHAnsi"/>
          <w:kern w:val="0"/>
          <w:sz w:val="24"/>
          <w:szCs w:val="24"/>
          <w:vertAlign w:val="superscript"/>
          <w:lang w:eastAsia="en-GB"/>
          <w14:ligatures w14:val="none"/>
        </w:rPr>
        <w:t>th</w:t>
      </w:r>
      <w:r w:rsidRPr="00FA3CB7">
        <w:rPr>
          <w:rFonts w:asciiTheme="majorHAnsi" w:eastAsia="Times New Roman" w:hAnsiTheme="majorHAnsi" w:cstheme="majorHAnsi"/>
          <w:kern w:val="0"/>
          <w:sz w:val="24"/>
          <w:szCs w:val="24"/>
          <w:lang w:eastAsia="en-GB"/>
          <w14:ligatures w14:val="none"/>
        </w:rPr>
        <w:t xml:space="preserve"> edition. London: Kogan Page.</w:t>
      </w:r>
    </w:p>
    <w:p w14:paraId="46E65877" w14:textId="3DAF0050"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Bamber, G.J., Lansbury, R.D., Wailes, N. and Wright, C.F. (eds.) (2021) International and Comparative Employment Relations: Global Crises and Institutional Responses. 7</w:t>
      </w:r>
      <w:r w:rsidRPr="00FA3CB7">
        <w:rPr>
          <w:rFonts w:asciiTheme="majorHAnsi" w:eastAsia="Times New Roman" w:hAnsiTheme="majorHAnsi" w:cstheme="majorHAnsi"/>
          <w:kern w:val="0"/>
          <w:sz w:val="24"/>
          <w:szCs w:val="24"/>
          <w:vertAlign w:val="superscript"/>
          <w:lang w:eastAsia="en-GB"/>
          <w14:ligatures w14:val="none"/>
        </w:rPr>
        <w:t>th</w:t>
      </w:r>
      <w:r w:rsidRPr="00FA3CB7">
        <w:rPr>
          <w:rFonts w:asciiTheme="majorHAnsi" w:eastAsia="Times New Roman" w:hAnsiTheme="majorHAnsi" w:cstheme="majorHAnsi"/>
          <w:kern w:val="0"/>
          <w:sz w:val="24"/>
          <w:szCs w:val="24"/>
          <w:lang w:eastAsia="en-GB"/>
          <w14:ligatures w14:val="none"/>
        </w:rPr>
        <w:t xml:space="preserve"> edition. London: SAGE.</w:t>
      </w:r>
    </w:p>
    <w:p w14:paraId="0DDCB4A3"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Barney, J.B. (1991) ‘Firm resources and sustained competitive advantage’, Journal of Management, 17(1), pp. 99–120.</w:t>
      </w:r>
    </w:p>
    <w:p w14:paraId="670A77CD"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Becker, B. and Gerhart, B. (1996) ‘The impact of human resource management on organizational performance: progress and prospects’, Academy of Management Journal, 39(4), pp. 779–801.</w:t>
      </w:r>
    </w:p>
    <w:p w14:paraId="17A2E238"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Boon, C., Den Hartog, D.N. and Lepak, D.P. (2019) ‘A systematic review of human resource management systems and their measurement’, Journal of Management, 45(6), pp. 2498–2537.</w:t>
      </w:r>
    </w:p>
    <w:p w14:paraId="5ECD43A7"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Boxall, P. (1996) ‘The strategic HRM debate and the resource-based view of the firm’, Human Resource Management Journal, 6(3), pp. 59–75.</w:t>
      </w:r>
    </w:p>
    <w:p w14:paraId="03A9382F"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Boxall, P. and Purcell, J. (2000) ‘Strategic human resource management: where have we come from and where should we be going?’, International Journal of Management Reviews, 2(2), pp. 183–203.</w:t>
      </w:r>
    </w:p>
    <w:p w14:paraId="0DDD26BD" w14:textId="4A1409C5"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Boxall, P. and Purcell, J. (2022) Strategy and Human Resource Management. 5</w:t>
      </w:r>
      <w:r w:rsidRPr="00FA3CB7">
        <w:rPr>
          <w:rFonts w:asciiTheme="majorHAnsi" w:eastAsia="Times New Roman" w:hAnsiTheme="majorHAnsi" w:cstheme="majorHAnsi"/>
          <w:kern w:val="0"/>
          <w:sz w:val="24"/>
          <w:szCs w:val="24"/>
          <w:vertAlign w:val="superscript"/>
          <w:lang w:eastAsia="en-GB"/>
          <w14:ligatures w14:val="none"/>
        </w:rPr>
        <w:t>th</w:t>
      </w:r>
      <w:r w:rsidRPr="00FA3CB7">
        <w:rPr>
          <w:rFonts w:asciiTheme="majorHAnsi" w:eastAsia="Times New Roman" w:hAnsiTheme="majorHAnsi" w:cstheme="majorHAnsi"/>
          <w:kern w:val="0"/>
          <w:sz w:val="24"/>
          <w:szCs w:val="24"/>
          <w:lang w:eastAsia="en-GB"/>
          <w14:ligatures w14:val="none"/>
        </w:rPr>
        <w:t xml:space="preserve"> edition. London: Bloomsbury.</w:t>
      </w:r>
    </w:p>
    <w:p w14:paraId="7823D4F5" w14:textId="6C2B4138"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lastRenderedPageBreak/>
        <w:t>Bratton, J., Gold, J., Bratton, A. and Steele, L. (2022) Human Resource Management. 7</w:t>
      </w:r>
      <w:r w:rsidRPr="00FA3CB7">
        <w:rPr>
          <w:rFonts w:asciiTheme="majorHAnsi" w:eastAsia="Times New Roman" w:hAnsiTheme="majorHAnsi" w:cstheme="majorHAnsi"/>
          <w:kern w:val="0"/>
          <w:sz w:val="24"/>
          <w:szCs w:val="24"/>
          <w:vertAlign w:val="superscript"/>
          <w:lang w:eastAsia="en-GB"/>
          <w14:ligatures w14:val="none"/>
        </w:rPr>
        <w:t>th</w:t>
      </w:r>
      <w:r w:rsidRPr="00FA3CB7">
        <w:rPr>
          <w:rFonts w:asciiTheme="majorHAnsi" w:eastAsia="Times New Roman" w:hAnsiTheme="majorHAnsi" w:cstheme="majorHAnsi"/>
          <w:kern w:val="0"/>
          <w:sz w:val="24"/>
          <w:szCs w:val="24"/>
          <w:lang w:eastAsia="en-GB"/>
          <w14:ligatures w14:val="none"/>
        </w:rPr>
        <w:t xml:space="preserve"> edition. London: Bloomsbury.</w:t>
      </w:r>
    </w:p>
    <w:p w14:paraId="11ADB2F8" w14:textId="493BFD91"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Brewster, C., Houldsworth, E., Sparrow, P. and Vernon, G. (2023) International Human Resource Management. 5</w:t>
      </w:r>
      <w:r w:rsidRPr="00FA3CB7">
        <w:rPr>
          <w:rFonts w:asciiTheme="majorHAnsi" w:eastAsia="Times New Roman" w:hAnsiTheme="majorHAnsi" w:cstheme="majorHAnsi"/>
          <w:kern w:val="0"/>
          <w:sz w:val="24"/>
          <w:szCs w:val="24"/>
          <w:vertAlign w:val="superscript"/>
          <w:lang w:eastAsia="en-GB"/>
          <w14:ligatures w14:val="none"/>
        </w:rPr>
        <w:t>th</w:t>
      </w:r>
      <w:r w:rsidRPr="00FA3CB7">
        <w:rPr>
          <w:rFonts w:asciiTheme="majorHAnsi" w:eastAsia="Times New Roman" w:hAnsiTheme="majorHAnsi" w:cstheme="majorHAnsi"/>
          <w:kern w:val="0"/>
          <w:sz w:val="24"/>
          <w:szCs w:val="24"/>
          <w:lang w:eastAsia="en-GB"/>
          <w14:ligatures w14:val="none"/>
        </w:rPr>
        <w:t xml:space="preserve"> edition. London: Kogan Page.</w:t>
      </w:r>
    </w:p>
    <w:p w14:paraId="4FB7803A"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 xml:space="preserve">CIPD (2025) PESTLE analysis. London: Chartered Institute of Personnel and Development. Available at: </w:t>
      </w:r>
      <w:hyperlink r:id="rId8" w:history="1">
        <w:r w:rsidRPr="00FA3CB7">
          <w:rPr>
            <w:rFonts w:asciiTheme="majorHAnsi" w:eastAsia="Times New Roman" w:hAnsiTheme="majorHAnsi" w:cstheme="majorHAnsi"/>
            <w:color w:val="0000FF"/>
            <w:kern w:val="0"/>
            <w:sz w:val="24"/>
            <w:szCs w:val="24"/>
            <w:u w:val="single"/>
            <w:lang w:eastAsia="en-GB"/>
            <w14:ligatures w14:val="none"/>
          </w:rPr>
          <w:t>https://www.cipd.org/e</w:t>
        </w:r>
        <w:r w:rsidRPr="00FA3CB7">
          <w:rPr>
            <w:rFonts w:asciiTheme="majorHAnsi" w:eastAsia="Times New Roman" w:hAnsiTheme="majorHAnsi" w:cstheme="majorHAnsi"/>
            <w:color w:val="0000FF"/>
            <w:kern w:val="0"/>
            <w:sz w:val="24"/>
            <w:szCs w:val="24"/>
            <w:u w:val="single"/>
            <w:lang w:eastAsia="en-GB"/>
            <w14:ligatures w14:val="none"/>
          </w:rPr>
          <w:t>n</w:t>
        </w:r>
        <w:r w:rsidRPr="00FA3CB7">
          <w:rPr>
            <w:rFonts w:asciiTheme="majorHAnsi" w:eastAsia="Times New Roman" w:hAnsiTheme="majorHAnsi" w:cstheme="majorHAnsi"/>
            <w:color w:val="0000FF"/>
            <w:kern w:val="0"/>
            <w:sz w:val="24"/>
            <w:szCs w:val="24"/>
            <w:u w:val="single"/>
            <w:lang w:eastAsia="en-GB"/>
            <w14:ligatures w14:val="none"/>
          </w:rPr>
          <w:t>/knowledge/factsheets/pestle-analysis-factsheet/</w:t>
        </w:r>
      </w:hyperlink>
    </w:p>
    <w:p w14:paraId="4DBF0A62"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Delery, J.E. and Doty, D.H. (1996) ‘Modes of theorizing in strategic human resource management: tests of universalistic, contingency, and configurational performance predictions’, Academy of Management Journal, 39(4), pp. 802–835.</w:t>
      </w:r>
    </w:p>
    <w:p w14:paraId="34FE3F39" w14:textId="1149BDE3"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Dowling, P.J., Festing, M. and Engle, A.D. (2017) International Human Resource Management. 7</w:t>
      </w:r>
      <w:r w:rsidRPr="00FA3CB7">
        <w:rPr>
          <w:rFonts w:asciiTheme="majorHAnsi" w:eastAsia="Times New Roman" w:hAnsiTheme="majorHAnsi" w:cstheme="majorHAnsi"/>
          <w:kern w:val="0"/>
          <w:sz w:val="24"/>
          <w:szCs w:val="24"/>
          <w:vertAlign w:val="superscript"/>
          <w:lang w:eastAsia="en-GB"/>
          <w14:ligatures w14:val="none"/>
        </w:rPr>
        <w:t>th</w:t>
      </w:r>
      <w:r w:rsidR="00637BAB" w:rsidRPr="00FA3CB7">
        <w:rPr>
          <w:rFonts w:asciiTheme="majorHAnsi" w:eastAsia="Times New Roman" w:hAnsiTheme="majorHAnsi" w:cstheme="majorHAnsi"/>
          <w:kern w:val="0"/>
          <w:sz w:val="24"/>
          <w:szCs w:val="24"/>
          <w:lang w:eastAsia="en-GB"/>
          <w14:ligatures w14:val="none"/>
        </w:rPr>
        <w:t xml:space="preserve"> edition</w:t>
      </w:r>
      <w:r w:rsidRPr="00FA3CB7">
        <w:rPr>
          <w:rFonts w:asciiTheme="majorHAnsi" w:eastAsia="Times New Roman" w:hAnsiTheme="majorHAnsi" w:cstheme="majorHAnsi"/>
          <w:kern w:val="0"/>
          <w:sz w:val="24"/>
          <w:szCs w:val="24"/>
          <w:lang w:eastAsia="en-GB"/>
          <w14:ligatures w14:val="none"/>
        </w:rPr>
        <w:t>. Andover: Cengage Learning.</w:t>
      </w:r>
    </w:p>
    <w:p w14:paraId="18CC3D95"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Farndale, E., Brewster, C. and Poutsma, E. (2008) ‘Coordinated vs. liberal market HRM: the impact of institutionalization on multinational firms’, The International Journal of Human Resource Management, 19(11), pp. 2004–2023.</w:t>
      </w:r>
    </w:p>
    <w:p w14:paraId="6E6348BB"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Guest, D.E. (1997) ‘Human resource management and performance: a review and research agenda’, The International Journal of Human Resource Management, 8(3), pp. 263–276.</w:t>
      </w:r>
    </w:p>
    <w:p w14:paraId="71EA1256" w14:textId="40813206"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Harzing, A.W. and Pinnington, A. (eds.) (2015) International Human Resource Management. 4</w:t>
      </w:r>
      <w:r w:rsidRPr="00FA3CB7">
        <w:rPr>
          <w:rFonts w:asciiTheme="majorHAnsi" w:eastAsia="Times New Roman" w:hAnsiTheme="majorHAnsi" w:cstheme="majorHAnsi"/>
          <w:kern w:val="0"/>
          <w:sz w:val="24"/>
          <w:szCs w:val="24"/>
          <w:vertAlign w:val="superscript"/>
          <w:lang w:eastAsia="en-GB"/>
          <w14:ligatures w14:val="none"/>
        </w:rPr>
        <w:t>th</w:t>
      </w:r>
      <w:r w:rsidRPr="00FA3CB7">
        <w:rPr>
          <w:rFonts w:asciiTheme="majorHAnsi" w:eastAsia="Times New Roman" w:hAnsiTheme="majorHAnsi" w:cstheme="majorHAnsi"/>
          <w:kern w:val="0"/>
          <w:sz w:val="24"/>
          <w:szCs w:val="24"/>
          <w:lang w:eastAsia="en-GB"/>
          <w14:ligatures w14:val="none"/>
        </w:rPr>
        <w:t xml:space="preserve"> ed</w:t>
      </w:r>
      <w:r w:rsidR="00637BAB" w:rsidRPr="00FA3CB7">
        <w:rPr>
          <w:rFonts w:asciiTheme="majorHAnsi" w:eastAsia="Times New Roman" w:hAnsiTheme="majorHAnsi" w:cstheme="majorHAnsi"/>
          <w:kern w:val="0"/>
          <w:sz w:val="24"/>
          <w:szCs w:val="24"/>
          <w:lang w:eastAsia="en-GB"/>
          <w14:ligatures w14:val="none"/>
        </w:rPr>
        <w:t>ition</w:t>
      </w:r>
      <w:r w:rsidRPr="00FA3CB7">
        <w:rPr>
          <w:rFonts w:asciiTheme="majorHAnsi" w:eastAsia="Times New Roman" w:hAnsiTheme="majorHAnsi" w:cstheme="majorHAnsi"/>
          <w:kern w:val="0"/>
          <w:sz w:val="24"/>
          <w:szCs w:val="24"/>
          <w:lang w:eastAsia="en-GB"/>
          <w14:ligatures w14:val="none"/>
        </w:rPr>
        <w:t>. London: SAGE.</w:t>
      </w:r>
    </w:p>
    <w:p w14:paraId="3BCE565E"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Hofstede, G. (2011) ‘Dimensionalizing cultures: the Hofstede model in context’, Online Readings in Psychology and Culture, 2(1).</w:t>
      </w:r>
    </w:p>
    <w:p w14:paraId="75D427FE"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Huselid, M.A. (1995) ‘The impact of human resource management practices on turnover, productivity, and corporate financial performance’, Academy of Management Journal, 38(3), pp. 635–672.</w:t>
      </w:r>
    </w:p>
    <w:p w14:paraId="670F1EED"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Jackson, S.E., Schuler, R.S. and Jiang, K. (2014) ‘An aspirational framework for strategic human resource management’, Academy of Management Annals, 8(1), pp. 1–56.</w:t>
      </w:r>
    </w:p>
    <w:p w14:paraId="4A225A6A"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lastRenderedPageBreak/>
        <w:t>Jiang, K., Lepak, D.P., Hu, J. and Baer, J.C. (2012) ‘How does human resource management influence organizational outcomes? A meta-analytic investigation of mediating mechanisms’, Academy of Management Journal, 55(6), pp. 1264–1294.</w:t>
      </w:r>
    </w:p>
    <w:p w14:paraId="22F37910" w14:textId="792A2F89"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Johnson, G., Whittington, R., Scholes, K., Angwin, D. and Regnér, P. (2020) Exploring Strategy. 12</w:t>
      </w:r>
      <w:r w:rsidRPr="00FA3CB7">
        <w:rPr>
          <w:rFonts w:asciiTheme="majorHAnsi" w:eastAsia="Times New Roman" w:hAnsiTheme="majorHAnsi" w:cstheme="majorHAnsi"/>
          <w:kern w:val="0"/>
          <w:sz w:val="24"/>
          <w:szCs w:val="24"/>
          <w:vertAlign w:val="superscript"/>
          <w:lang w:eastAsia="en-GB"/>
          <w14:ligatures w14:val="none"/>
        </w:rPr>
        <w:t>th</w:t>
      </w:r>
      <w:r w:rsidRPr="00FA3CB7">
        <w:rPr>
          <w:rFonts w:asciiTheme="majorHAnsi" w:eastAsia="Times New Roman" w:hAnsiTheme="majorHAnsi" w:cstheme="majorHAnsi"/>
          <w:kern w:val="0"/>
          <w:sz w:val="24"/>
          <w:szCs w:val="24"/>
          <w:lang w:eastAsia="en-GB"/>
          <w14:ligatures w14:val="none"/>
        </w:rPr>
        <w:t xml:space="preserve"> edition. Harlow: Pearson.</w:t>
      </w:r>
    </w:p>
    <w:p w14:paraId="71782B82"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Kostova, T. and Roth, K. (2002) ‘Adoption of an organizational practice by subsidiaries of multinational corporations: institutional and relational effects’, Academy of Management Journal, 45(1), pp. 215–233.</w:t>
      </w:r>
    </w:p>
    <w:p w14:paraId="2A2A0C1F" w14:textId="6EE0C6DC"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Marchington, M., Wilkinson, A., Donnelly, R. and Kynighou, A. (2020) Human Resource Management at Work: The Definitive Guide. 7</w:t>
      </w:r>
      <w:r w:rsidRPr="00FA3CB7">
        <w:rPr>
          <w:rFonts w:asciiTheme="majorHAnsi" w:eastAsia="Times New Roman" w:hAnsiTheme="majorHAnsi" w:cstheme="majorHAnsi"/>
          <w:kern w:val="0"/>
          <w:sz w:val="24"/>
          <w:szCs w:val="24"/>
          <w:vertAlign w:val="superscript"/>
          <w:lang w:eastAsia="en-GB"/>
          <w14:ligatures w14:val="none"/>
        </w:rPr>
        <w:t>th</w:t>
      </w:r>
      <w:r w:rsidRPr="00FA3CB7">
        <w:rPr>
          <w:rFonts w:asciiTheme="majorHAnsi" w:eastAsia="Times New Roman" w:hAnsiTheme="majorHAnsi" w:cstheme="majorHAnsi"/>
          <w:kern w:val="0"/>
          <w:sz w:val="24"/>
          <w:szCs w:val="24"/>
          <w:lang w:eastAsia="en-GB"/>
          <w14:ligatures w14:val="none"/>
        </w:rPr>
        <w:t xml:space="preserve"> edition. London: Kogan Page.</w:t>
      </w:r>
    </w:p>
    <w:p w14:paraId="2A1FB856"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Marler, J.H. and Boudreau, J.W. (2017) ‘An evidence-based review of HR analytics’, The International Journal of Human Resource Management, 28(1), pp. 3–26.</w:t>
      </w:r>
    </w:p>
    <w:p w14:paraId="1DEF8220"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Nishii, L.H., Lepak, D.P. and Schneider, B. (2008) ‘Employee attributions of the “why” of HR practices: their effects on employee attitudes and behaviours, and customer satisfaction’, Personnel Psychology, 61(3), pp. 503–545.</w:t>
      </w:r>
    </w:p>
    <w:p w14:paraId="085FD906" w14:textId="41F22786"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Noe, R.A., Hollenbeck, J.R., Gerhart, B. and Wright, P.M. (2022) Human Resource Management: Gaining a Competitive Advantage. 12</w:t>
      </w:r>
      <w:r w:rsidRPr="00FA3CB7">
        <w:rPr>
          <w:rFonts w:asciiTheme="majorHAnsi" w:eastAsia="Times New Roman" w:hAnsiTheme="majorHAnsi" w:cstheme="majorHAnsi"/>
          <w:kern w:val="0"/>
          <w:sz w:val="24"/>
          <w:szCs w:val="24"/>
          <w:vertAlign w:val="superscript"/>
          <w:lang w:eastAsia="en-GB"/>
          <w14:ligatures w14:val="none"/>
        </w:rPr>
        <w:t>th</w:t>
      </w:r>
      <w:r w:rsidRPr="00FA3CB7">
        <w:rPr>
          <w:rFonts w:asciiTheme="majorHAnsi" w:eastAsia="Times New Roman" w:hAnsiTheme="majorHAnsi" w:cstheme="majorHAnsi"/>
          <w:kern w:val="0"/>
          <w:sz w:val="24"/>
          <w:szCs w:val="24"/>
          <w:lang w:eastAsia="en-GB"/>
          <w14:ligatures w14:val="none"/>
        </w:rPr>
        <w:t xml:space="preserve"> edition. New York: McGraw-Hill.</w:t>
      </w:r>
    </w:p>
    <w:p w14:paraId="60157506" w14:textId="05C61455"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Palmer, A. and Hartley, B. (2011) The Business Environment. 7th edition. Maidenhead: McGraw-Hill.</w:t>
      </w:r>
    </w:p>
    <w:p w14:paraId="323749B6" w14:textId="66B66788"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Reiche, B.S., Harzing, A.W. and Tenzer, H. (eds.) (2018) International Human Resource Management. 5</w:t>
      </w:r>
      <w:r w:rsidRPr="00FA3CB7">
        <w:rPr>
          <w:rFonts w:asciiTheme="majorHAnsi" w:eastAsia="Times New Roman" w:hAnsiTheme="majorHAnsi" w:cstheme="majorHAnsi"/>
          <w:kern w:val="0"/>
          <w:sz w:val="24"/>
          <w:szCs w:val="24"/>
          <w:vertAlign w:val="superscript"/>
          <w:lang w:eastAsia="en-GB"/>
          <w14:ligatures w14:val="none"/>
        </w:rPr>
        <w:t>th</w:t>
      </w:r>
      <w:r w:rsidRPr="00FA3CB7">
        <w:rPr>
          <w:rFonts w:asciiTheme="majorHAnsi" w:eastAsia="Times New Roman" w:hAnsiTheme="majorHAnsi" w:cstheme="majorHAnsi"/>
          <w:kern w:val="0"/>
          <w:sz w:val="24"/>
          <w:szCs w:val="24"/>
          <w:lang w:eastAsia="en-GB"/>
          <w14:ligatures w14:val="none"/>
        </w:rPr>
        <w:t xml:space="preserve"> edition. London: SAGE.</w:t>
      </w:r>
    </w:p>
    <w:p w14:paraId="0E139F7D"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Renwick, D.W.S., Redman, T. and Maguire, S. (2013) ‘Green human resource management: a review and research agenda’, International Journal of Management Reviews, 15(1), pp. 1–14.</w:t>
      </w:r>
    </w:p>
    <w:p w14:paraId="21DA461E"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lastRenderedPageBreak/>
        <w:t>Stone, D.L., Deadrick, D.L., Lukaszewski, K.M. and Johnson, R. (2015) ‘The influence of technology on the future of human resource management’, Human Resource Management Review, 25(2), pp. 216–231.</w:t>
      </w:r>
    </w:p>
    <w:p w14:paraId="4DC0C038"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Tambe, P., Cappelli, P. and Yakubovich, V. (2019) ‘Artificial intelligence in human resources management: challenges and a path forward’, California Management Review, 61(4), pp. 15–42.</w:t>
      </w:r>
    </w:p>
    <w:p w14:paraId="769AFD95" w14:textId="6EA8AA04"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Tarique, I., Briscoe, D.R. and Schuler, R.S. (2022) International Human Resource Management: Policies and Practices for Multinational Enterprises. 6</w:t>
      </w:r>
      <w:r w:rsidRPr="00FA3CB7">
        <w:rPr>
          <w:rFonts w:asciiTheme="majorHAnsi" w:eastAsia="Times New Roman" w:hAnsiTheme="majorHAnsi" w:cstheme="majorHAnsi"/>
          <w:kern w:val="0"/>
          <w:sz w:val="24"/>
          <w:szCs w:val="24"/>
          <w:vertAlign w:val="superscript"/>
          <w:lang w:eastAsia="en-GB"/>
          <w14:ligatures w14:val="none"/>
        </w:rPr>
        <w:t>th</w:t>
      </w:r>
      <w:r w:rsidRPr="00FA3CB7">
        <w:rPr>
          <w:rFonts w:asciiTheme="majorHAnsi" w:eastAsia="Times New Roman" w:hAnsiTheme="majorHAnsi" w:cstheme="majorHAnsi"/>
          <w:kern w:val="0"/>
          <w:sz w:val="24"/>
          <w:szCs w:val="24"/>
          <w:lang w:eastAsia="en-GB"/>
          <w14:ligatures w14:val="none"/>
        </w:rPr>
        <w:t xml:space="preserve"> edition. London: Routledge.</w:t>
      </w:r>
    </w:p>
    <w:p w14:paraId="32FF23C8" w14:textId="5774E7C6"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Torrington, D., Hall, L., Taylor, S. and Atkinson, C. (2020) Human Resource Management. 11th edition. Harlow: Pearson.</w:t>
      </w:r>
    </w:p>
    <w:p w14:paraId="010C83CE"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 xml:space="preserve">Unilever (2026a) Our Company. London: Unilever PLC. Available at: </w:t>
      </w:r>
      <w:hyperlink r:id="rId9" w:history="1">
        <w:r w:rsidRPr="00FA3CB7">
          <w:rPr>
            <w:rFonts w:asciiTheme="majorHAnsi" w:eastAsia="Times New Roman" w:hAnsiTheme="majorHAnsi" w:cstheme="majorHAnsi"/>
            <w:color w:val="0000FF"/>
            <w:kern w:val="0"/>
            <w:sz w:val="24"/>
            <w:szCs w:val="24"/>
            <w:u w:val="single"/>
            <w:lang w:eastAsia="en-GB"/>
            <w14:ligatures w14:val="none"/>
          </w:rPr>
          <w:t>https://www.unilever.com/our-company/</w:t>
        </w:r>
      </w:hyperlink>
    </w:p>
    <w:p w14:paraId="582928A3"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 xml:space="preserve">Unilever (2026b) Annual Report and Accounts 2025. London: Unilever PLC. Available at: </w:t>
      </w:r>
      <w:hyperlink r:id="rId10" w:history="1">
        <w:r w:rsidRPr="00FA3CB7">
          <w:rPr>
            <w:rFonts w:asciiTheme="majorHAnsi" w:eastAsia="Times New Roman" w:hAnsiTheme="majorHAnsi" w:cstheme="majorHAnsi"/>
            <w:color w:val="0000FF"/>
            <w:kern w:val="0"/>
            <w:sz w:val="24"/>
            <w:szCs w:val="24"/>
            <w:u w:val="single"/>
            <w:lang w:eastAsia="en-GB"/>
            <w14:ligatures w14:val="none"/>
          </w:rPr>
          <w:t>https://www.unilever.com/investors/annual-report-and-accounts/</w:t>
        </w:r>
      </w:hyperlink>
    </w:p>
    <w:p w14:paraId="3E08D4E6"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 xml:space="preserve">Unilever Careers (2026a) Human Resources Careers. London: Unilever PLC. Available at: </w:t>
      </w:r>
      <w:hyperlink r:id="rId11" w:history="1">
        <w:r w:rsidRPr="00FA3CB7">
          <w:rPr>
            <w:rFonts w:asciiTheme="majorHAnsi" w:eastAsia="Times New Roman" w:hAnsiTheme="majorHAnsi" w:cstheme="majorHAnsi"/>
            <w:color w:val="0000FF"/>
            <w:kern w:val="0"/>
            <w:sz w:val="24"/>
            <w:szCs w:val="24"/>
            <w:u w:val="single"/>
            <w:lang w:eastAsia="en-GB"/>
            <w14:ligatures w14:val="none"/>
          </w:rPr>
          <w:t>https://careers.unilever.com/en/human-resources</w:t>
        </w:r>
      </w:hyperlink>
    </w:p>
    <w:p w14:paraId="73DC5F22"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 xml:space="preserve">Unilever Careers (2026b) Life at Unilever. London: Unilever PLC. Available at: </w:t>
      </w:r>
      <w:hyperlink r:id="rId12" w:history="1">
        <w:r w:rsidRPr="00FA3CB7">
          <w:rPr>
            <w:rFonts w:asciiTheme="majorHAnsi" w:eastAsia="Times New Roman" w:hAnsiTheme="majorHAnsi" w:cstheme="majorHAnsi"/>
            <w:color w:val="0000FF"/>
            <w:kern w:val="0"/>
            <w:sz w:val="24"/>
            <w:szCs w:val="24"/>
            <w:u w:val="single"/>
            <w:lang w:eastAsia="en-GB"/>
            <w14:ligatures w14:val="none"/>
          </w:rPr>
          <w:t>https://careers.unilever.com/en/life-at-unilever</w:t>
        </w:r>
      </w:hyperlink>
    </w:p>
    <w:p w14:paraId="683A848C" w14:textId="2629CA32"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Worthington, I. and Britton, C. (2018) The Business Environment. 8</w:t>
      </w:r>
      <w:r w:rsidRPr="00FA3CB7">
        <w:rPr>
          <w:rFonts w:asciiTheme="majorHAnsi" w:eastAsia="Times New Roman" w:hAnsiTheme="majorHAnsi" w:cstheme="majorHAnsi"/>
          <w:kern w:val="0"/>
          <w:sz w:val="24"/>
          <w:szCs w:val="24"/>
          <w:vertAlign w:val="superscript"/>
          <w:lang w:eastAsia="en-GB"/>
          <w14:ligatures w14:val="none"/>
        </w:rPr>
        <w:t>th</w:t>
      </w:r>
      <w:r w:rsidRPr="00FA3CB7">
        <w:rPr>
          <w:rFonts w:asciiTheme="majorHAnsi" w:eastAsia="Times New Roman" w:hAnsiTheme="majorHAnsi" w:cstheme="majorHAnsi"/>
          <w:kern w:val="0"/>
          <w:sz w:val="24"/>
          <w:szCs w:val="24"/>
          <w:lang w:eastAsia="en-GB"/>
          <w14:ligatures w14:val="none"/>
        </w:rPr>
        <w:t xml:space="preserve"> edition. Harlow: Pearson.</w:t>
      </w:r>
    </w:p>
    <w:p w14:paraId="27FBEFF6" w14:textId="3F7E470F"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 xml:space="preserve">Wright, </w:t>
      </w:r>
      <w:r w:rsidR="00FA3CB7" w:rsidRPr="00FA3CB7">
        <w:rPr>
          <w:rFonts w:asciiTheme="majorHAnsi" w:eastAsia="Times New Roman" w:hAnsiTheme="majorHAnsi" w:cstheme="majorHAnsi"/>
          <w:kern w:val="0"/>
          <w:sz w:val="24"/>
          <w:szCs w:val="24"/>
          <w:lang w:eastAsia="en-GB"/>
          <w14:ligatures w14:val="none"/>
        </w:rPr>
        <w:t>P.M.,</w:t>
      </w:r>
      <w:r w:rsidRPr="00FA3CB7">
        <w:rPr>
          <w:rFonts w:asciiTheme="majorHAnsi" w:eastAsia="Times New Roman" w:hAnsiTheme="majorHAnsi" w:cstheme="majorHAnsi"/>
          <w:kern w:val="0"/>
          <w:sz w:val="24"/>
          <w:szCs w:val="24"/>
          <w:lang w:eastAsia="en-GB"/>
          <w14:ligatures w14:val="none"/>
        </w:rPr>
        <w:t xml:space="preserve"> and McMahan, G.C. (1992) ‘Theoretical perspectives for strategic human resource management’, Journal of Management, 18(2), pp. 295–320.</w:t>
      </w:r>
    </w:p>
    <w:p w14:paraId="073188F0" w14:textId="77777777" w:rsidR="004C5DC8" w:rsidRPr="00FA3CB7" w:rsidRDefault="004C5DC8" w:rsidP="00FA3CB7">
      <w:pPr>
        <w:spacing w:before="100" w:beforeAutospacing="1" w:after="100" w:afterAutospacing="1" w:line="360" w:lineRule="auto"/>
        <w:rPr>
          <w:rFonts w:asciiTheme="majorHAnsi" w:eastAsia="Times New Roman" w:hAnsiTheme="majorHAnsi" w:cstheme="majorHAnsi"/>
          <w:kern w:val="0"/>
          <w:sz w:val="24"/>
          <w:szCs w:val="24"/>
          <w:lang w:eastAsia="en-GB"/>
          <w14:ligatures w14:val="none"/>
        </w:rPr>
      </w:pPr>
      <w:r w:rsidRPr="00FA3CB7">
        <w:rPr>
          <w:rFonts w:asciiTheme="majorHAnsi" w:eastAsia="Times New Roman" w:hAnsiTheme="majorHAnsi" w:cstheme="majorHAnsi"/>
          <w:kern w:val="0"/>
          <w:sz w:val="24"/>
          <w:szCs w:val="24"/>
          <w:lang w:eastAsia="en-GB"/>
          <w14:ligatures w14:val="none"/>
        </w:rPr>
        <w:t>Wright, P.M., Dunford, B.B. and Snell, S.A. (2001) ‘Human resources and the resource-based view of the firm’, Journal of Management, 27(6), pp. 701–721.</w:t>
      </w:r>
    </w:p>
    <w:p w14:paraId="2D6A8063" w14:textId="037E9BC0" w:rsidR="00CB570A" w:rsidRPr="008F0296" w:rsidRDefault="00CB570A" w:rsidP="00FA3CB7">
      <w:pPr>
        <w:spacing w:line="360" w:lineRule="auto"/>
        <w:rPr>
          <w:rFonts w:asciiTheme="majorHAnsi" w:hAnsiTheme="majorHAnsi" w:cstheme="majorHAnsi"/>
          <w:sz w:val="24"/>
          <w:szCs w:val="24"/>
        </w:rPr>
      </w:pPr>
    </w:p>
    <w:sectPr w:rsidR="00CB570A" w:rsidRPr="008F029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341CE6" w14:textId="77777777" w:rsidR="007A57E4" w:rsidRDefault="007A57E4" w:rsidP="00A71B52">
      <w:pPr>
        <w:spacing w:after="0" w:line="240" w:lineRule="auto"/>
      </w:pPr>
      <w:r>
        <w:separator/>
      </w:r>
    </w:p>
  </w:endnote>
  <w:endnote w:type="continuationSeparator" w:id="0">
    <w:p w14:paraId="4756F487" w14:textId="77777777" w:rsidR="007A57E4" w:rsidRDefault="007A57E4" w:rsidP="00A71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7475577"/>
      <w:docPartObj>
        <w:docPartGallery w:val="Page Numbers (Bottom of Page)"/>
        <w:docPartUnique/>
      </w:docPartObj>
    </w:sdtPr>
    <w:sdtEndPr>
      <w:rPr>
        <w:noProof/>
      </w:rPr>
    </w:sdtEndPr>
    <w:sdtContent>
      <w:p w14:paraId="544522D8" w14:textId="435FF090" w:rsidR="00A71B52" w:rsidRDefault="00A71B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DD984D" w14:textId="77777777" w:rsidR="00A71B52" w:rsidRDefault="00A71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35EFB8" w14:textId="77777777" w:rsidR="007A57E4" w:rsidRDefault="007A57E4" w:rsidP="00A71B52">
      <w:pPr>
        <w:spacing w:after="0" w:line="240" w:lineRule="auto"/>
      </w:pPr>
      <w:r>
        <w:separator/>
      </w:r>
    </w:p>
  </w:footnote>
  <w:footnote w:type="continuationSeparator" w:id="0">
    <w:p w14:paraId="40B8D021" w14:textId="77777777" w:rsidR="007A57E4" w:rsidRDefault="007A57E4" w:rsidP="00A71B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F87647"/>
    <w:multiLevelType w:val="multilevel"/>
    <w:tmpl w:val="91DAC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4432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70A"/>
    <w:rsid w:val="002F05D7"/>
    <w:rsid w:val="004B4BB8"/>
    <w:rsid w:val="004C5DC8"/>
    <w:rsid w:val="005252E8"/>
    <w:rsid w:val="00637BAB"/>
    <w:rsid w:val="00790685"/>
    <w:rsid w:val="007A57E4"/>
    <w:rsid w:val="008F0296"/>
    <w:rsid w:val="009D6022"/>
    <w:rsid w:val="00A71B52"/>
    <w:rsid w:val="00A93A77"/>
    <w:rsid w:val="00C21B9A"/>
    <w:rsid w:val="00CB570A"/>
    <w:rsid w:val="00CE7AC0"/>
    <w:rsid w:val="00D91F14"/>
    <w:rsid w:val="00EE3074"/>
    <w:rsid w:val="00FA3CB7"/>
    <w:rsid w:val="00FA4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3BC9F"/>
  <w15:chartTrackingRefBased/>
  <w15:docId w15:val="{72D69B39-6E73-4EC2-82CC-3A38466FF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C5D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4C5DC8"/>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DC8"/>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4C5DC8"/>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4C5D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C5DC8"/>
    <w:rPr>
      <w:i/>
      <w:iCs/>
    </w:rPr>
  </w:style>
  <w:style w:type="character" w:styleId="Hyperlink">
    <w:name w:val="Hyperlink"/>
    <w:basedOn w:val="DefaultParagraphFont"/>
    <w:uiPriority w:val="99"/>
    <w:unhideWhenUsed/>
    <w:rsid w:val="004C5DC8"/>
    <w:rPr>
      <w:color w:val="0000FF"/>
      <w:u w:val="single"/>
    </w:rPr>
  </w:style>
  <w:style w:type="paragraph" w:styleId="Header">
    <w:name w:val="header"/>
    <w:basedOn w:val="Normal"/>
    <w:link w:val="HeaderChar"/>
    <w:uiPriority w:val="99"/>
    <w:unhideWhenUsed/>
    <w:rsid w:val="00A71B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B52"/>
  </w:style>
  <w:style w:type="paragraph" w:styleId="Footer">
    <w:name w:val="footer"/>
    <w:basedOn w:val="Normal"/>
    <w:link w:val="FooterChar"/>
    <w:uiPriority w:val="99"/>
    <w:unhideWhenUsed/>
    <w:rsid w:val="00A71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B52"/>
  </w:style>
  <w:style w:type="character" w:styleId="Strong">
    <w:name w:val="Strong"/>
    <w:basedOn w:val="DefaultParagraphFont"/>
    <w:uiPriority w:val="22"/>
    <w:qFormat/>
    <w:rsid w:val="00A71B52"/>
    <w:rPr>
      <w:b/>
      <w:bCs/>
    </w:rPr>
  </w:style>
  <w:style w:type="paragraph" w:styleId="TOCHeading">
    <w:name w:val="TOC Heading"/>
    <w:basedOn w:val="Heading1"/>
    <w:next w:val="Normal"/>
    <w:uiPriority w:val="39"/>
    <w:unhideWhenUsed/>
    <w:qFormat/>
    <w:rsid w:val="005252E8"/>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5252E8"/>
    <w:pPr>
      <w:spacing w:after="100"/>
      <w:ind w:left="220"/>
    </w:pPr>
  </w:style>
  <w:style w:type="paragraph" w:styleId="TOC1">
    <w:name w:val="toc 1"/>
    <w:basedOn w:val="Normal"/>
    <w:next w:val="Normal"/>
    <w:autoRedefine/>
    <w:uiPriority w:val="39"/>
    <w:unhideWhenUsed/>
    <w:rsid w:val="005252E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5252E8"/>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05191">
      <w:bodyDiv w:val="1"/>
      <w:marLeft w:val="0"/>
      <w:marRight w:val="0"/>
      <w:marTop w:val="0"/>
      <w:marBottom w:val="0"/>
      <w:divBdr>
        <w:top w:val="none" w:sz="0" w:space="0" w:color="auto"/>
        <w:left w:val="none" w:sz="0" w:space="0" w:color="auto"/>
        <w:bottom w:val="none" w:sz="0" w:space="0" w:color="auto"/>
        <w:right w:val="none" w:sz="0" w:space="0" w:color="auto"/>
      </w:divBdr>
    </w:div>
    <w:div w:id="338125491">
      <w:bodyDiv w:val="1"/>
      <w:marLeft w:val="0"/>
      <w:marRight w:val="0"/>
      <w:marTop w:val="0"/>
      <w:marBottom w:val="0"/>
      <w:divBdr>
        <w:top w:val="none" w:sz="0" w:space="0" w:color="auto"/>
        <w:left w:val="none" w:sz="0" w:space="0" w:color="auto"/>
        <w:bottom w:val="none" w:sz="0" w:space="0" w:color="auto"/>
        <w:right w:val="none" w:sz="0" w:space="0" w:color="auto"/>
      </w:divBdr>
    </w:div>
    <w:div w:id="201059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en/knowledge/factsheets/pestle-analysis-factshee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careers.unilever.com/en/life-at-unilev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ers.unilever.com/en/human-resourc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unilever.com/investors/annual-report-and-accounts/" TargetMode="External"/><Relationship Id="rId4" Type="http://schemas.openxmlformats.org/officeDocument/2006/relationships/webSettings" Target="webSettings.xml"/><Relationship Id="rId9" Type="http://schemas.openxmlformats.org/officeDocument/2006/relationships/hyperlink" Target="https://www.unilever.com/our-compan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14</Pages>
  <Words>3540</Words>
  <Characters>20183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 Bogdan Dan (2310378)</dc:creator>
  <cp:keywords/>
  <dc:description/>
  <cp:lastModifiedBy>Corneliu Bogdan Dan (2310378)</cp:lastModifiedBy>
  <cp:revision>9</cp:revision>
  <dcterms:created xsi:type="dcterms:W3CDTF">2026-07-11T10:20:00Z</dcterms:created>
  <dcterms:modified xsi:type="dcterms:W3CDTF">2026-07-20T15:07:00Z</dcterms:modified>
</cp:coreProperties>
</file>