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8462424"/>
        <w:docPartObj>
          <w:docPartGallery w:val="Cover Pages"/>
          <w:docPartUnique/>
        </w:docPartObj>
      </w:sdtPr>
      <w:sdtContent>
        <w:p w14:paraId="555FAD2C" w14:textId="23335277" w:rsidR="00D76A29" w:rsidRDefault="00D76A29">
          <w:r>
            <w:rPr>
              <w:noProof/>
            </w:rPr>
            <mc:AlternateContent>
              <mc:Choice Requires="wpg">
                <w:drawing>
                  <wp:anchor distT="0" distB="0" distL="114300" distR="114300" simplePos="0" relativeHeight="251659264" behindDoc="1" locked="0" layoutInCell="1" allowOverlap="1" wp14:anchorId="52834A39" wp14:editId="11C3535D">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3D9D91A" w14:textId="236A611E" w:rsidR="00D76A29" w:rsidRDefault="00D76A29">
                                      <w:pPr>
                                        <w:pStyle w:val="NoSpacing"/>
                                        <w:spacing w:before="120"/>
                                        <w:jc w:val="center"/>
                                        <w:rPr>
                                          <w:color w:val="FFFFFF" w:themeColor="background1"/>
                                        </w:rPr>
                                      </w:pPr>
                                      <w:r>
                                        <w:rPr>
                                          <w:color w:val="FFFFFF" w:themeColor="background1"/>
                                        </w:rPr>
                                        <w:t>Songlin Zou (2300327)</w:t>
                                      </w:r>
                                    </w:p>
                                  </w:sdtContent>
                                </w:sdt>
                                <w:p w14:paraId="676A8ED0" w14:textId="20AEE6EE" w:rsidR="00D76A29"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76A29">
                                        <w:rPr>
                                          <w:caps/>
                                          <w:color w:val="FFFFFF" w:themeColor="background1"/>
                                        </w:rPr>
                                        <w:t xml:space="preserve">     </w:t>
                                      </w:r>
                                    </w:sdtContent>
                                  </w:sdt>
                                  <w:r w:rsidR="00D76A2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76A2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lang w:val="en-GB" w:eastAsia="zh-CN"/>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F5AFA1" w14:textId="212502E0" w:rsidR="00D76A29" w:rsidRDefault="00D76A29">
                                      <w:pPr>
                                        <w:pStyle w:val="NoSpacing"/>
                                        <w:jc w:val="center"/>
                                        <w:rPr>
                                          <w:rFonts w:asciiTheme="majorHAnsi" w:eastAsiaTheme="majorEastAsia" w:hAnsiTheme="majorHAnsi" w:cstheme="majorBidi"/>
                                          <w:caps/>
                                          <w:color w:val="156082" w:themeColor="accent1"/>
                                          <w:sz w:val="72"/>
                                          <w:szCs w:val="72"/>
                                        </w:rPr>
                                      </w:pPr>
                                      <w:r w:rsidRPr="00D76A29">
                                        <w:rPr>
                                          <w:rFonts w:asciiTheme="majorHAnsi" w:eastAsiaTheme="majorEastAsia" w:hAnsiTheme="majorHAnsi" w:cstheme="majorBidi"/>
                                          <w:caps/>
                                          <w:color w:val="156082" w:themeColor="accent1"/>
                                          <w:sz w:val="72"/>
                                          <w:szCs w:val="72"/>
                                          <w:lang w:val="en-GB" w:eastAsia="zh-CN"/>
                                        </w:rPr>
                                        <w:t>Analysis of the Microsoft-LinkedIn Business Combination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834A3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3D9D91A" w14:textId="236A611E" w:rsidR="00D76A29" w:rsidRDefault="00D76A29">
                                <w:pPr>
                                  <w:pStyle w:val="NoSpacing"/>
                                  <w:spacing w:before="120"/>
                                  <w:jc w:val="center"/>
                                  <w:rPr>
                                    <w:color w:val="FFFFFF" w:themeColor="background1"/>
                                  </w:rPr>
                                </w:pPr>
                                <w:r>
                                  <w:rPr>
                                    <w:color w:val="FFFFFF" w:themeColor="background1"/>
                                  </w:rPr>
                                  <w:t>Songlin Zou (2300327)</w:t>
                                </w:r>
                              </w:p>
                            </w:sdtContent>
                          </w:sdt>
                          <w:p w14:paraId="676A8ED0" w14:textId="20AEE6EE" w:rsidR="00D76A29"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76A29">
                                  <w:rPr>
                                    <w:caps/>
                                    <w:color w:val="FFFFFF" w:themeColor="background1"/>
                                  </w:rPr>
                                  <w:t xml:space="preserve">     </w:t>
                                </w:r>
                              </w:sdtContent>
                            </w:sdt>
                            <w:r w:rsidR="00D76A2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76A2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lang w:val="en-GB" w:eastAsia="zh-CN"/>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F5AFA1" w14:textId="212502E0" w:rsidR="00D76A29" w:rsidRDefault="00D76A29">
                                <w:pPr>
                                  <w:pStyle w:val="NoSpacing"/>
                                  <w:jc w:val="center"/>
                                  <w:rPr>
                                    <w:rFonts w:asciiTheme="majorHAnsi" w:eastAsiaTheme="majorEastAsia" w:hAnsiTheme="majorHAnsi" w:cstheme="majorBidi"/>
                                    <w:caps/>
                                    <w:color w:val="156082" w:themeColor="accent1"/>
                                    <w:sz w:val="72"/>
                                    <w:szCs w:val="72"/>
                                  </w:rPr>
                                </w:pPr>
                                <w:r w:rsidRPr="00D76A29">
                                  <w:rPr>
                                    <w:rFonts w:asciiTheme="majorHAnsi" w:eastAsiaTheme="majorEastAsia" w:hAnsiTheme="majorHAnsi" w:cstheme="majorBidi"/>
                                    <w:caps/>
                                    <w:color w:val="156082" w:themeColor="accent1"/>
                                    <w:sz w:val="72"/>
                                    <w:szCs w:val="72"/>
                                    <w:lang w:val="en-GB" w:eastAsia="zh-CN"/>
                                  </w:rPr>
                                  <w:t>Analysis of the Microsoft-LinkedIn Business Combination</w:t>
                                </w:r>
                              </w:p>
                            </w:sdtContent>
                          </w:sdt>
                        </w:txbxContent>
                      </v:textbox>
                    </v:shape>
                    <w10:wrap anchorx="page" anchory="page"/>
                  </v:group>
                </w:pict>
              </mc:Fallback>
            </mc:AlternateContent>
          </w:r>
        </w:p>
        <w:p w14:paraId="475EFA52" w14:textId="0D61C46B" w:rsidR="00D76A29" w:rsidRDefault="00D76A29">
          <w:pPr>
            <w:spacing w:line="278" w:lineRule="auto"/>
          </w:pPr>
          <w:r>
            <w:br w:type="page"/>
          </w:r>
        </w:p>
      </w:sdtContent>
    </w:sdt>
    <w:p w14:paraId="595603BA" w14:textId="23116DAE" w:rsidR="00A723F7" w:rsidRDefault="00D76A29" w:rsidP="00D76A29">
      <w:pPr>
        <w:pStyle w:val="Heading1"/>
        <w:rPr>
          <w:rFonts w:ascii="Arial" w:hAnsi="Arial" w:cs="Arial"/>
          <w:color w:val="auto"/>
          <w:sz w:val="24"/>
          <w:szCs w:val="24"/>
        </w:rPr>
      </w:pPr>
      <w:bookmarkStart w:id="0" w:name="_Toc194703103"/>
      <w:r w:rsidRPr="00D76A29">
        <w:rPr>
          <w:rFonts w:ascii="Arial" w:hAnsi="Arial" w:cs="Arial"/>
          <w:color w:val="auto"/>
          <w:sz w:val="24"/>
          <w:szCs w:val="24"/>
        </w:rPr>
        <w:lastRenderedPageBreak/>
        <w:t>Executive Summary</w:t>
      </w:r>
      <w:bookmarkEnd w:id="0"/>
    </w:p>
    <w:p w14:paraId="49B3A4DD" w14:textId="3D6955EF" w:rsidR="00CC460C" w:rsidRDefault="00CC460C" w:rsidP="00CC460C">
      <w:pPr>
        <w:ind w:firstLine="720"/>
        <w:jc w:val="both"/>
        <w:rPr>
          <w:rFonts w:ascii="Arial" w:hAnsi="Arial" w:cs="Arial"/>
          <w:color w:val="000000" w:themeColor="text1"/>
        </w:rPr>
      </w:pPr>
      <w:r w:rsidRPr="00CC460C">
        <w:rPr>
          <w:rFonts w:ascii="Arial" w:hAnsi="Arial" w:cs="Arial"/>
          <w:color w:val="000000" w:themeColor="text1"/>
        </w:rPr>
        <w:t>In June 2016, Microsoft acquired LinkedIn for $26.2 billion in an all-cash deal, marking a strategic move to enhance its enterprise services and expand its footprint in professional networking. This report evaluates the success of the acquisition by assessing its impact on cost structure, synergies, regulatory compliance, and shareholder wealth.</w:t>
      </w:r>
      <w:r>
        <w:rPr>
          <w:rFonts w:ascii="Arial" w:hAnsi="Arial" w:cs="Arial" w:hint="eastAsia"/>
          <w:color w:val="000000" w:themeColor="text1"/>
        </w:rPr>
        <w:t xml:space="preserve"> </w:t>
      </w:r>
      <w:r w:rsidRPr="00CC460C">
        <w:rPr>
          <w:rFonts w:ascii="Arial" w:hAnsi="Arial" w:cs="Arial"/>
          <w:color w:val="000000" w:themeColor="text1"/>
        </w:rPr>
        <w:t xml:space="preserve">The integration of LinkedIn with Microsoft’s existing cloud and productivity services, such as Office 365 and Azure, has delivered notable efficiencies, </w:t>
      </w:r>
      <w:r w:rsidR="00EA3940" w:rsidRPr="00CC460C">
        <w:rPr>
          <w:rFonts w:ascii="Arial" w:hAnsi="Arial" w:cs="Arial"/>
          <w:color w:val="000000" w:themeColor="text1"/>
        </w:rPr>
        <w:t>streamlined</w:t>
      </w:r>
      <w:r w:rsidRPr="00CC460C">
        <w:rPr>
          <w:rFonts w:ascii="Arial" w:hAnsi="Arial" w:cs="Arial"/>
          <w:color w:val="000000" w:themeColor="text1"/>
        </w:rPr>
        <w:t xml:space="preserve"> workflows and improving business tools. Despite initial integration challenges, particularly in adoption rates, LinkedIn has seen significant revenue growth, from $2.99 billion in 2015 to over $16 billion in 2024, driven by Microsoft’s scale and technological infrastructure. This expansion highlights the acquisition’s long-term financial success, even as profitability improvements took time to materialize.</w:t>
      </w:r>
    </w:p>
    <w:p w14:paraId="5E509EA1" w14:textId="3A682DD9" w:rsidR="00CC460C" w:rsidRPr="00CC460C" w:rsidRDefault="00CC460C" w:rsidP="00CC460C">
      <w:pPr>
        <w:ind w:firstLine="720"/>
        <w:jc w:val="both"/>
        <w:rPr>
          <w:rFonts w:ascii="Arial" w:hAnsi="Arial" w:cs="Arial"/>
          <w:color w:val="000000" w:themeColor="text1"/>
        </w:rPr>
      </w:pPr>
      <w:r w:rsidRPr="00CC460C">
        <w:rPr>
          <w:rFonts w:ascii="Arial" w:hAnsi="Arial" w:cs="Arial"/>
          <w:color w:val="000000" w:themeColor="text1"/>
        </w:rPr>
        <w:t>In conclusion, the Microsoft-LinkedIn acquisition has been a highly successful and strategic move, enhancing Microsoft’s market power, diversifying its revenue streams, and delivering substantial value to shareholders. The deal demonstrates the potential of well-executed acquisitions to drive sustainable growth and competitive advantage.</w:t>
      </w:r>
    </w:p>
    <w:p w14:paraId="2BF2EED2" w14:textId="21C0B180" w:rsidR="00D76A29" w:rsidRDefault="00D76A29">
      <w:pPr>
        <w:spacing w:line="278" w:lineRule="auto"/>
      </w:pPr>
      <w:r>
        <w:br w:type="page"/>
      </w:r>
    </w:p>
    <w:sdt>
      <w:sdtPr>
        <w:rPr>
          <w:rFonts w:asciiTheme="minorHAnsi" w:eastAsiaTheme="minorEastAsia" w:hAnsiTheme="minorHAnsi" w:cstheme="minorBidi"/>
          <w:color w:val="auto"/>
          <w:sz w:val="24"/>
          <w:szCs w:val="24"/>
          <w:lang w:val="en-GB" w:eastAsia="zh-CN"/>
        </w:rPr>
        <w:id w:val="778527957"/>
        <w:docPartObj>
          <w:docPartGallery w:val="Table of Contents"/>
          <w:docPartUnique/>
        </w:docPartObj>
      </w:sdtPr>
      <w:sdtEndPr>
        <w:rPr>
          <w:b/>
          <w:bCs/>
          <w:noProof/>
        </w:rPr>
      </w:sdtEndPr>
      <w:sdtContent>
        <w:p w14:paraId="03494AC1" w14:textId="6E0D81A6" w:rsidR="00D76A29" w:rsidRPr="00D76A29" w:rsidRDefault="00D76A29">
          <w:pPr>
            <w:pStyle w:val="TOCHeading"/>
            <w:rPr>
              <w:rFonts w:ascii="Arial" w:hAnsi="Arial" w:cs="Arial"/>
              <w:color w:val="auto"/>
              <w:sz w:val="24"/>
              <w:szCs w:val="24"/>
            </w:rPr>
          </w:pPr>
          <w:r w:rsidRPr="00D76A29">
            <w:rPr>
              <w:rFonts w:ascii="Arial" w:hAnsi="Arial" w:cs="Arial"/>
              <w:color w:val="auto"/>
              <w:sz w:val="24"/>
              <w:szCs w:val="24"/>
            </w:rPr>
            <w:t>Contents</w:t>
          </w:r>
        </w:p>
        <w:p w14:paraId="406997A6" w14:textId="236B5FF1" w:rsidR="00D6580E" w:rsidRDefault="00D76A29">
          <w:pPr>
            <w:pStyle w:val="TOC1"/>
            <w:tabs>
              <w:tab w:val="right" w:leader="dot" w:pos="8296"/>
            </w:tabs>
            <w:rPr>
              <w:noProof/>
              <w:kern w:val="2"/>
              <w14:ligatures w14:val="standardContextual"/>
            </w:rPr>
          </w:pPr>
          <w:r>
            <w:fldChar w:fldCharType="begin"/>
          </w:r>
          <w:r>
            <w:instrText xml:space="preserve"> TOC \o "1-3" \h \z \u </w:instrText>
          </w:r>
          <w:r>
            <w:fldChar w:fldCharType="separate"/>
          </w:r>
          <w:hyperlink w:anchor="_Toc194703103" w:history="1">
            <w:r w:rsidR="00D6580E">
              <w:rPr>
                <w:rStyle w:val="Hyperlink"/>
                <w:rFonts w:ascii="Arial" w:hAnsi="Arial" w:cs="Arial" w:hint="eastAsia"/>
                <w:noProof/>
              </w:rPr>
              <w:t>Introduction</w:t>
            </w:r>
            <w:r w:rsidR="00D6580E">
              <w:rPr>
                <w:noProof/>
                <w:webHidden/>
              </w:rPr>
              <w:tab/>
            </w:r>
            <w:r w:rsidR="00D6580E">
              <w:rPr>
                <w:noProof/>
                <w:webHidden/>
              </w:rPr>
              <w:fldChar w:fldCharType="begin"/>
            </w:r>
            <w:r w:rsidR="00D6580E">
              <w:rPr>
                <w:noProof/>
                <w:webHidden/>
              </w:rPr>
              <w:instrText xml:space="preserve"> PAGEREF _Toc194703103 \h </w:instrText>
            </w:r>
            <w:r w:rsidR="00D6580E">
              <w:rPr>
                <w:noProof/>
                <w:webHidden/>
              </w:rPr>
            </w:r>
            <w:r w:rsidR="00D6580E">
              <w:rPr>
                <w:noProof/>
                <w:webHidden/>
              </w:rPr>
              <w:fldChar w:fldCharType="separate"/>
            </w:r>
            <w:r w:rsidR="00D6580E">
              <w:rPr>
                <w:noProof/>
                <w:webHidden/>
              </w:rPr>
              <w:t>1</w:t>
            </w:r>
            <w:r w:rsidR="00D6580E">
              <w:rPr>
                <w:noProof/>
                <w:webHidden/>
              </w:rPr>
              <w:fldChar w:fldCharType="end"/>
            </w:r>
          </w:hyperlink>
        </w:p>
        <w:p w14:paraId="2DEB8F73" w14:textId="5F0F1E9F" w:rsidR="00D6580E" w:rsidRDefault="00D6580E">
          <w:pPr>
            <w:pStyle w:val="TOC1"/>
            <w:tabs>
              <w:tab w:val="right" w:leader="dot" w:pos="8296"/>
            </w:tabs>
            <w:rPr>
              <w:noProof/>
              <w:kern w:val="2"/>
              <w14:ligatures w14:val="standardContextual"/>
            </w:rPr>
          </w:pPr>
          <w:hyperlink w:anchor="_Toc194703104" w:history="1">
            <w:r w:rsidRPr="00953449">
              <w:rPr>
                <w:rStyle w:val="Hyperlink"/>
                <w:rFonts w:ascii="Arial" w:hAnsi="Arial" w:cs="Arial"/>
                <w:noProof/>
              </w:rPr>
              <w:t>Main Body</w:t>
            </w:r>
            <w:r>
              <w:rPr>
                <w:noProof/>
                <w:webHidden/>
              </w:rPr>
              <w:tab/>
            </w:r>
            <w:r>
              <w:rPr>
                <w:noProof/>
                <w:webHidden/>
              </w:rPr>
              <w:fldChar w:fldCharType="begin"/>
            </w:r>
            <w:r>
              <w:rPr>
                <w:noProof/>
                <w:webHidden/>
              </w:rPr>
              <w:instrText xml:space="preserve"> PAGEREF _Toc194703104 \h </w:instrText>
            </w:r>
            <w:r>
              <w:rPr>
                <w:noProof/>
                <w:webHidden/>
              </w:rPr>
            </w:r>
            <w:r>
              <w:rPr>
                <w:noProof/>
                <w:webHidden/>
              </w:rPr>
              <w:fldChar w:fldCharType="separate"/>
            </w:r>
            <w:r>
              <w:rPr>
                <w:noProof/>
                <w:webHidden/>
              </w:rPr>
              <w:t>2</w:t>
            </w:r>
            <w:r>
              <w:rPr>
                <w:noProof/>
                <w:webHidden/>
              </w:rPr>
              <w:fldChar w:fldCharType="end"/>
            </w:r>
          </w:hyperlink>
        </w:p>
        <w:p w14:paraId="40EB07F1" w14:textId="4538BB21" w:rsidR="00D6580E" w:rsidRDefault="00D6580E">
          <w:pPr>
            <w:pStyle w:val="TOC2"/>
            <w:tabs>
              <w:tab w:val="right" w:leader="dot" w:pos="8296"/>
            </w:tabs>
            <w:rPr>
              <w:noProof/>
              <w:kern w:val="2"/>
              <w14:ligatures w14:val="standardContextual"/>
            </w:rPr>
          </w:pPr>
          <w:hyperlink w:anchor="_Toc194703105" w:history="1">
            <w:r w:rsidRPr="00953449">
              <w:rPr>
                <w:rStyle w:val="Hyperlink"/>
                <w:rFonts w:ascii="Arial" w:hAnsi="Arial" w:cs="Arial"/>
                <w:noProof/>
              </w:rPr>
              <w:t>Cost structure</w:t>
            </w:r>
            <w:r>
              <w:rPr>
                <w:noProof/>
                <w:webHidden/>
              </w:rPr>
              <w:tab/>
            </w:r>
            <w:r>
              <w:rPr>
                <w:noProof/>
                <w:webHidden/>
              </w:rPr>
              <w:fldChar w:fldCharType="begin"/>
            </w:r>
            <w:r>
              <w:rPr>
                <w:noProof/>
                <w:webHidden/>
              </w:rPr>
              <w:instrText xml:space="preserve"> PAGEREF _Toc194703105 \h </w:instrText>
            </w:r>
            <w:r>
              <w:rPr>
                <w:noProof/>
                <w:webHidden/>
              </w:rPr>
            </w:r>
            <w:r>
              <w:rPr>
                <w:noProof/>
                <w:webHidden/>
              </w:rPr>
              <w:fldChar w:fldCharType="separate"/>
            </w:r>
            <w:r>
              <w:rPr>
                <w:noProof/>
                <w:webHidden/>
              </w:rPr>
              <w:t>2</w:t>
            </w:r>
            <w:r>
              <w:rPr>
                <w:noProof/>
                <w:webHidden/>
              </w:rPr>
              <w:fldChar w:fldCharType="end"/>
            </w:r>
          </w:hyperlink>
        </w:p>
        <w:p w14:paraId="139C883D" w14:textId="6D8545ED" w:rsidR="00D6580E" w:rsidRDefault="00D6580E">
          <w:pPr>
            <w:pStyle w:val="TOC2"/>
            <w:tabs>
              <w:tab w:val="right" w:leader="dot" w:pos="8296"/>
            </w:tabs>
            <w:rPr>
              <w:noProof/>
              <w:kern w:val="2"/>
              <w14:ligatures w14:val="standardContextual"/>
            </w:rPr>
          </w:pPr>
          <w:hyperlink w:anchor="_Toc194703106" w:history="1">
            <w:r w:rsidRPr="00953449">
              <w:rPr>
                <w:rStyle w:val="Hyperlink"/>
                <w:rFonts w:ascii="Arial" w:hAnsi="Arial" w:cs="Arial"/>
                <w:noProof/>
              </w:rPr>
              <w:t>Expected Synergies</w:t>
            </w:r>
            <w:r>
              <w:rPr>
                <w:noProof/>
                <w:webHidden/>
              </w:rPr>
              <w:tab/>
            </w:r>
            <w:r>
              <w:rPr>
                <w:noProof/>
                <w:webHidden/>
              </w:rPr>
              <w:fldChar w:fldCharType="begin"/>
            </w:r>
            <w:r>
              <w:rPr>
                <w:noProof/>
                <w:webHidden/>
              </w:rPr>
              <w:instrText xml:space="preserve"> PAGEREF _Toc194703106 \h </w:instrText>
            </w:r>
            <w:r>
              <w:rPr>
                <w:noProof/>
                <w:webHidden/>
              </w:rPr>
            </w:r>
            <w:r>
              <w:rPr>
                <w:noProof/>
                <w:webHidden/>
              </w:rPr>
              <w:fldChar w:fldCharType="separate"/>
            </w:r>
            <w:r>
              <w:rPr>
                <w:noProof/>
                <w:webHidden/>
              </w:rPr>
              <w:t>4</w:t>
            </w:r>
            <w:r>
              <w:rPr>
                <w:noProof/>
                <w:webHidden/>
              </w:rPr>
              <w:fldChar w:fldCharType="end"/>
            </w:r>
          </w:hyperlink>
        </w:p>
        <w:p w14:paraId="77233DE9" w14:textId="639948FD" w:rsidR="00D6580E" w:rsidRDefault="00D6580E">
          <w:pPr>
            <w:pStyle w:val="TOC2"/>
            <w:tabs>
              <w:tab w:val="right" w:leader="dot" w:pos="8296"/>
            </w:tabs>
            <w:rPr>
              <w:noProof/>
              <w:kern w:val="2"/>
              <w14:ligatures w14:val="standardContextual"/>
            </w:rPr>
          </w:pPr>
          <w:hyperlink w:anchor="_Toc194703107" w:history="1">
            <w:r w:rsidRPr="00953449">
              <w:rPr>
                <w:rStyle w:val="Hyperlink"/>
                <w:rFonts w:ascii="Arial" w:hAnsi="Arial" w:cs="Arial"/>
                <w:noProof/>
              </w:rPr>
              <w:t>Impact on regulatory frameworks</w:t>
            </w:r>
            <w:r>
              <w:rPr>
                <w:noProof/>
                <w:webHidden/>
              </w:rPr>
              <w:tab/>
            </w:r>
            <w:r>
              <w:rPr>
                <w:noProof/>
                <w:webHidden/>
              </w:rPr>
              <w:fldChar w:fldCharType="begin"/>
            </w:r>
            <w:r>
              <w:rPr>
                <w:noProof/>
                <w:webHidden/>
              </w:rPr>
              <w:instrText xml:space="preserve"> PAGEREF _Toc194703107 \h </w:instrText>
            </w:r>
            <w:r>
              <w:rPr>
                <w:noProof/>
                <w:webHidden/>
              </w:rPr>
            </w:r>
            <w:r>
              <w:rPr>
                <w:noProof/>
                <w:webHidden/>
              </w:rPr>
              <w:fldChar w:fldCharType="separate"/>
            </w:r>
            <w:r>
              <w:rPr>
                <w:noProof/>
                <w:webHidden/>
              </w:rPr>
              <w:t>8</w:t>
            </w:r>
            <w:r>
              <w:rPr>
                <w:noProof/>
                <w:webHidden/>
              </w:rPr>
              <w:fldChar w:fldCharType="end"/>
            </w:r>
          </w:hyperlink>
        </w:p>
        <w:p w14:paraId="1E0B04DD" w14:textId="308FEB3A" w:rsidR="00D6580E" w:rsidRDefault="00D6580E">
          <w:pPr>
            <w:pStyle w:val="TOC2"/>
            <w:tabs>
              <w:tab w:val="right" w:leader="dot" w:pos="8296"/>
            </w:tabs>
            <w:rPr>
              <w:noProof/>
              <w:kern w:val="2"/>
              <w14:ligatures w14:val="standardContextual"/>
            </w:rPr>
          </w:pPr>
          <w:hyperlink w:anchor="_Toc194703108" w:history="1">
            <w:r w:rsidRPr="00953449">
              <w:rPr>
                <w:rStyle w:val="Hyperlink"/>
                <w:rFonts w:ascii="Arial" w:hAnsi="Arial" w:cs="Arial"/>
                <w:noProof/>
              </w:rPr>
              <w:t>Shareholder Wealth</w:t>
            </w:r>
            <w:r>
              <w:rPr>
                <w:noProof/>
                <w:webHidden/>
              </w:rPr>
              <w:tab/>
            </w:r>
            <w:r>
              <w:rPr>
                <w:noProof/>
                <w:webHidden/>
              </w:rPr>
              <w:fldChar w:fldCharType="begin"/>
            </w:r>
            <w:r>
              <w:rPr>
                <w:noProof/>
                <w:webHidden/>
              </w:rPr>
              <w:instrText xml:space="preserve"> PAGEREF _Toc194703108 \h </w:instrText>
            </w:r>
            <w:r>
              <w:rPr>
                <w:noProof/>
                <w:webHidden/>
              </w:rPr>
            </w:r>
            <w:r>
              <w:rPr>
                <w:noProof/>
                <w:webHidden/>
              </w:rPr>
              <w:fldChar w:fldCharType="separate"/>
            </w:r>
            <w:r>
              <w:rPr>
                <w:noProof/>
                <w:webHidden/>
              </w:rPr>
              <w:t>9</w:t>
            </w:r>
            <w:r>
              <w:rPr>
                <w:noProof/>
                <w:webHidden/>
              </w:rPr>
              <w:fldChar w:fldCharType="end"/>
            </w:r>
          </w:hyperlink>
        </w:p>
        <w:p w14:paraId="27C65772" w14:textId="519023BB" w:rsidR="00D6580E" w:rsidRDefault="00D6580E">
          <w:pPr>
            <w:pStyle w:val="TOC1"/>
            <w:tabs>
              <w:tab w:val="right" w:leader="dot" w:pos="8296"/>
            </w:tabs>
            <w:rPr>
              <w:noProof/>
              <w:kern w:val="2"/>
              <w14:ligatures w14:val="standardContextual"/>
            </w:rPr>
          </w:pPr>
          <w:hyperlink w:anchor="_Toc194703109" w:history="1">
            <w:r w:rsidRPr="0095344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_Toc194703109 \h </w:instrText>
            </w:r>
            <w:r>
              <w:rPr>
                <w:noProof/>
                <w:webHidden/>
              </w:rPr>
            </w:r>
            <w:r>
              <w:rPr>
                <w:noProof/>
                <w:webHidden/>
              </w:rPr>
              <w:fldChar w:fldCharType="separate"/>
            </w:r>
            <w:r>
              <w:rPr>
                <w:noProof/>
                <w:webHidden/>
              </w:rPr>
              <w:t>12</w:t>
            </w:r>
            <w:r>
              <w:rPr>
                <w:noProof/>
                <w:webHidden/>
              </w:rPr>
              <w:fldChar w:fldCharType="end"/>
            </w:r>
          </w:hyperlink>
        </w:p>
        <w:p w14:paraId="7F157CFD" w14:textId="462220E9" w:rsidR="00D6580E" w:rsidRDefault="00D6580E">
          <w:pPr>
            <w:pStyle w:val="TOC1"/>
            <w:tabs>
              <w:tab w:val="right" w:leader="dot" w:pos="8296"/>
            </w:tabs>
            <w:rPr>
              <w:noProof/>
              <w:kern w:val="2"/>
              <w14:ligatures w14:val="standardContextual"/>
            </w:rPr>
          </w:pPr>
          <w:hyperlink w:anchor="_Toc194703110" w:history="1">
            <w:r w:rsidRPr="00953449">
              <w:rPr>
                <w:rStyle w:val="Hyperlink"/>
                <w:rFonts w:ascii="Arial" w:hAnsi="Arial" w:cs="Arial"/>
                <w:noProof/>
              </w:rPr>
              <w:t>Reference</w:t>
            </w:r>
            <w:r>
              <w:rPr>
                <w:noProof/>
                <w:webHidden/>
              </w:rPr>
              <w:tab/>
            </w:r>
            <w:r>
              <w:rPr>
                <w:noProof/>
                <w:webHidden/>
              </w:rPr>
              <w:fldChar w:fldCharType="begin"/>
            </w:r>
            <w:r>
              <w:rPr>
                <w:noProof/>
                <w:webHidden/>
              </w:rPr>
              <w:instrText xml:space="preserve"> PAGEREF _Toc194703110 \h </w:instrText>
            </w:r>
            <w:r>
              <w:rPr>
                <w:noProof/>
                <w:webHidden/>
              </w:rPr>
            </w:r>
            <w:r>
              <w:rPr>
                <w:noProof/>
                <w:webHidden/>
              </w:rPr>
              <w:fldChar w:fldCharType="separate"/>
            </w:r>
            <w:r>
              <w:rPr>
                <w:noProof/>
                <w:webHidden/>
              </w:rPr>
              <w:t>14</w:t>
            </w:r>
            <w:r>
              <w:rPr>
                <w:noProof/>
                <w:webHidden/>
              </w:rPr>
              <w:fldChar w:fldCharType="end"/>
            </w:r>
          </w:hyperlink>
        </w:p>
        <w:p w14:paraId="2DC58EA1" w14:textId="7668E82C" w:rsidR="00D76A29" w:rsidRDefault="00D76A29">
          <w:r>
            <w:rPr>
              <w:b/>
              <w:bCs/>
              <w:noProof/>
            </w:rPr>
            <w:fldChar w:fldCharType="end"/>
          </w:r>
        </w:p>
      </w:sdtContent>
    </w:sdt>
    <w:p w14:paraId="4CA25295" w14:textId="77777777" w:rsidR="00F6612A" w:rsidRDefault="00F6612A" w:rsidP="00F6612A">
      <w:pPr>
        <w:spacing w:line="278" w:lineRule="auto"/>
        <w:rPr>
          <w:rFonts w:ascii="Arial" w:hAnsi="Arial" w:cs="Arial"/>
        </w:rPr>
        <w:sectPr w:rsidR="00F6612A" w:rsidSect="00D76A29">
          <w:footerReference w:type="default" r:id="rId6"/>
          <w:footerReference w:type="first" r:id="rId7"/>
          <w:pgSz w:w="11906" w:h="16838"/>
          <w:pgMar w:top="1440" w:right="1800" w:bottom="1440" w:left="1800" w:header="851" w:footer="992" w:gutter="0"/>
          <w:pgNumType w:start="0"/>
          <w:cols w:space="425"/>
          <w:titlePg/>
          <w:docGrid w:linePitch="360"/>
        </w:sectPr>
      </w:pPr>
    </w:p>
    <w:p w14:paraId="33A2B6B5" w14:textId="419E1506" w:rsidR="00D76A29" w:rsidRDefault="00D76A29" w:rsidP="00F6612A">
      <w:pPr>
        <w:spacing w:line="278" w:lineRule="auto"/>
        <w:rPr>
          <w:rFonts w:ascii="Arial" w:hAnsi="Arial" w:cs="Arial"/>
        </w:rPr>
      </w:pPr>
      <w:r w:rsidRPr="00D76A29">
        <w:rPr>
          <w:rFonts w:ascii="Arial" w:hAnsi="Arial" w:cs="Arial"/>
        </w:rPr>
        <w:lastRenderedPageBreak/>
        <w:t>Introduction</w:t>
      </w:r>
    </w:p>
    <w:p w14:paraId="1B7607B9" w14:textId="6B9A73CF" w:rsidR="00902BD5" w:rsidRDefault="004E638A" w:rsidP="00902BD5">
      <w:pPr>
        <w:ind w:firstLine="720"/>
        <w:jc w:val="both"/>
        <w:rPr>
          <w:rFonts w:ascii="Arial" w:hAnsi="Arial" w:cs="Arial"/>
        </w:rPr>
      </w:pPr>
      <w:r w:rsidRPr="004E638A">
        <w:rPr>
          <w:rFonts w:ascii="Arial" w:hAnsi="Arial" w:cs="Arial"/>
        </w:rPr>
        <w:t>In June 2016, Microsoft announced its acquisition of LinkedIn for $26.2 billion in an all-cash transaction</w:t>
      </w:r>
      <w:r>
        <w:rPr>
          <w:rFonts w:ascii="Arial" w:hAnsi="Arial" w:cs="Arial" w:hint="eastAsia"/>
        </w:rPr>
        <w:t xml:space="preserve"> (</w:t>
      </w:r>
      <w:r w:rsidRPr="00D76A29">
        <w:rPr>
          <w:rFonts w:ascii="Arial" w:hAnsi="Arial" w:cs="Arial"/>
        </w:rPr>
        <w:t>Wingfield,</w:t>
      </w:r>
      <w:r>
        <w:rPr>
          <w:rFonts w:ascii="Arial" w:hAnsi="Arial" w:cs="Arial" w:hint="eastAsia"/>
        </w:rPr>
        <w:t xml:space="preserve"> </w:t>
      </w:r>
      <w:r w:rsidRPr="00D76A29">
        <w:rPr>
          <w:rFonts w:ascii="Arial" w:hAnsi="Arial" w:cs="Arial"/>
        </w:rPr>
        <w:t>2016</w:t>
      </w:r>
      <w:r>
        <w:rPr>
          <w:rFonts w:ascii="Arial" w:hAnsi="Arial" w:cs="Arial" w:hint="eastAsia"/>
        </w:rPr>
        <w:t>)</w:t>
      </w:r>
      <w:r w:rsidRPr="004E638A">
        <w:rPr>
          <w:rFonts w:ascii="Arial" w:hAnsi="Arial" w:cs="Arial"/>
        </w:rPr>
        <w:t>.</w:t>
      </w:r>
      <w:r w:rsidR="00924A49">
        <w:rPr>
          <w:rFonts w:ascii="Arial" w:hAnsi="Arial" w:cs="Arial" w:hint="eastAsia"/>
        </w:rPr>
        <w:t xml:space="preserve"> </w:t>
      </w:r>
      <w:r w:rsidRPr="004E638A">
        <w:rPr>
          <w:rFonts w:ascii="Arial" w:hAnsi="Arial" w:cs="Arial"/>
        </w:rPr>
        <w:t xml:space="preserve">The deal, </w:t>
      </w:r>
      <w:r>
        <w:rPr>
          <w:rFonts w:ascii="Arial" w:hAnsi="Arial" w:cs="Arial"/>
        </w:rPr>
        <w:t>finalised</w:t>
      </w:r>
      <w:r w:rsidRPr="004E638A">
        <w:rPr>
          <w:rFonts w:ascii="Arial" w:hAnsi="Arial" w:cs="Arial"/>
        </w:rPr>
        <w:t xml:space="preserve"> in December 2016, aimed to enhance Microsoft’s presence in the professional networking space while integrating LinkedIn’s capabilities with Microsoft’s existing suite of services</w:t>
      </w:r>
      <w:r w:rsidR="002B2FAD">
        <w:rPr>
          <w:rFonts w:ascii="Arial" w:hAnsi="Arial" w:cs="Arial" w:hint="eastAsia"/>
        </w:rPr>
        <w:t xml:space="preserve">, </w:t>
      </w:r>
      <w:r w:rsidR="002B2FAD" w:rsidRPr="002B2FAD">
        <w:rPr>
          <w:rFonts w:ascii="Arial" w:hAnsi="Arial" w:cs="Arial"/>
        </w:rPr>
        <w:t>thereby enhancing user engagement, expanding LinkedIn’s user base, and strengthening Microsoft’s position in enterprise services and cloud computing</w:t>
      </w:r>
      <w:r w:rsidR="002B2FAD">
        <w:rPr>
          <w:rFonts w:ascii="Arial" w:hAnsi="Arial" w:cs="Arial" w:hint="eastAsia"/>
        </w:rPr>
        <w:t xml:space="preserve"> </w:t>
      </w:r>
      <w:r w:rsidR="009A5DDA">
        <w:rPr>
          <w:rFonts w:ascii="Arial" w:hAnsi="Arial" w:cs="Arial" w:hint="eastAsia"/>
        </w:rPr>
        <w:t>(</w:t>
      </w:r>
      <w:r w:rsidR="009A5DDA" w:rsidRPr="00235839">
        <w:rPr>
          <w:rFonts w:ascii="Arial" w:hAnsi="Arial" w:cs="Arial" w:hint="eastAsia"/>
        </w:rPr>
        <w:t>European</w:t>
      </w:r>
      <w:r w:rsidR="009A5DDA">
        <w:rPr>
          <w:rFonts w:ascii="Arial" w:hAnsi="Arial" w:cs="Arial" w:hint="eastAsia"/>
        </w:rPr>
        <w:t xml:space="preserve"> Commission</w:t>
      </w:r>
      <w:r w:rsidR="009A5DDA">
        <w:rPr>
          <w:rFonts w:ascii="Arial" w:hAnsi="Arial" w:cs="Arial" w:hint="eastAsia"/>
        </w:rPr>
        <w:t xml:space="preserve">, </w:t>
      </w:r>
      <w:r w:rsidR="009A5DDA">
        <w:rPr>
          <w:rFonts w:ascii="Arial" w:hAnsi="Arial" w:cs="Arial" w:hint="eastAsia"/>
        </w:rPr>
        <w:t>2016</w:t>
      </w:r>
      <w:r w:rsidR="009A5DDA">
        <w:rPr>
          <w:rFonts w:ascii="Arial" w:hAnsi="Arial" w:cs="Arial" w:hint="eastAsia"/>
        </w:rPr>
        <w:t>)</w:t>
      </w:r>
      <w:r w:rsidRPr="004E638A">
        <w:rPr>
          <w:rFonts w:ascii="Arial" w:hAnsi="Arial" w:cs="Arial"/>
        </w:rPr>
        <w:t xml:space="preserve">. </w:t>
      </w:r>
      <w:r w:rsidR="00064B45">
        <w:rPr>
          <w:rFonts w:ascii="Arial" w:hAnsi="Arial" w:cs="Arial" w:hint="eastAsia"/>
        </w:rPr>
        <w:t xml:space="preserve">After 9 years, LinkedIn has </w:t>
      </w:r>
      <w:r w:rsidR="00A67B31" w:rsidRPr="00A67B31">
        <w:rPr>
          <w:rFonts w:ascii="Arial" w:hAnsi="Arial" w:cs="Arial"/>
        </w:rPr>
        <w:t>become an essential part of Microsoft’s enterprise and cloud strategy</w:t>
      </w:r>
      <w:r w:rsidR="00A67B31">
        <w:rPr>
          <w:rFonts w:ascii="Arial" w:hAnsi="Arial" w:cs="Arial" w:hint="eastAsia"/>
        </w:rPr>
        <w:t xml:space="preserve">. However, simply good performance is not </w:t>
      </w:r>
      <w:r w:rsidR="00A67B31">
        <w:rPr>
          <w:rFonts w:ascii="Arial" w:hAnsi="Arial" w:cs="Arial"/>
        </w:rPr>
        <w:t>sufficient</w:t>
      </w:r>
      <w:r w:rsidR="00A67B31">
        <w:rPr>
          <w:rFonts w:ascii="Arial" w:hAnsi="Arial" w:cs="Arial" w:hint="eastAsia"/>
        </w:rPr>
        <w:t xml:space="preserve"> to assess the success or failure of acquisition and hence, we </w:t>
      </w:r>
      <w:r w:rsidR="00040AEC">
        <w:rPr>
          <w:rFonts w:ascii="Arial" w:hAnsi="Arial" w:cs="Arial" w:hint="eastAsia"/>
        </w:rPr>
        <w:t xml:space="preserve">need to evaluate the performance between the combined company and the one if two companies operated </w:t>
      </w:r>
      <w:r w:rsidR="00040AEC">
        <w:rPr>
          <w:rFonts w:ascii="Arial" w:hAnsi="Arial" w:cs="Arial"/>
        </w:rPr>
        <w:t>independently</w:t>
      </w:r>
      <w:r w:rsidR="00040AEC">
        <w:rPr>
          <w:rFonts w:ascii="Arial" w:hAnsi="Arial" w:cs="Arial" w:hint="eastAsia"/>
        </w:rPr>
        <w:t xml:space="preserve">. Note that this report focuses on evaluating cumulative abnormal performance through financial metrics, while </w:t>
      </w:r>
      <w:r w:rsidR="00040AEC" w:rsidRPr="00040AEC">
        <w:rPr>
          <w:rFonts w:ascii="Arial" w:hAnsi="Arial" w:cs="Arial"/>
        </w:rPr>
        <w:t>a significant correlation between these metrics is often lacking, suggesting that reliance on a single measure may not provide a complete picture of acquisition success</w:t>
      </w:r>
      <w:r w:rsidR="00040AEC">
        <w:rPr>
          <w:rFonts w:ascii="Arial" w:hAnsi="Arial" w:cs="Arial" w:hint="eastAsia"/>
        </w:rPr>
        <w:t xml:space="preserve"> (</w:t>
      </w:r>
      <w:r w:rsidR="00040AEC" w:rsidRPr="00E70CCC">
        <w:rPr>
          <w:rFonts w:ascii="Arial" w:hAnsi="Arial" w:cs="Arial"/>
        </w:rPr>
        <w:t>Aleksandrov, Fedorova</w:t>
      </w:r>
      <w:r w:rsidR="00040AEC">
        <w:rPr>
          <w:rFonts w:ascii="Arial" w:hAnsi="Arial" w:cs="Arial" w:hint="eastAsia"/>
        </w:rPr>
        <w:t xml:space="preserve"> </w:t>
      </w:r>
      <w:r w:rsidR="00040AEC" w:rsidRPr="00E70CCC">
        <w:rPr>
          <w:rFonts w:ascii="Arial" w:hAnsi="Arial" w:cs="Arial"/>
        </w:rPr>
        <w:t xml:space="preserve">and </w:t>
      </w:r>
      <w:proofErr w:type="spellStart"/>
      <w:r w:rsidR="00040AEC" w:rsidRPr="00E70CCC">
        <w:rPr>
          <w:rFonts w:ascii="Arial" w:hAnsi="Arial" w:cs="Arial"/>
        </w:rPr>
        <w:t>Parshukov</w:t>
      </w:r>
      <w:proofErr w:type="spellEnd"/>
      <w:r w:rsidR="00040AEC">
        <w:rPr>
          <w:rFonts w:ascii="Arial" w:hAnsi="Arial" w:cs="Arial" w:hint="eastAsia"/>
        </w:rPr>
        <w:t xml:space="preserve">, </w:t>
      </w:r>
      <w:r w:rsidR="00040AEC" w:rsidRPr="00E70CCC">
        <w:rPr>
          <w:rFonts w:ascii="Arial" w:hAnsi="Arial" w:cs="Arial"/>
        </w:rPr>
        <w:t>2020</w:t>
      </w:r>
      <w:r w:rsidR="00040AEC">
        <w:rPr>
          <w:rFonts w:ascii="Arial" w:hAnsi="Arial" w:cs="Arial" w:hint="eastAsia"/>
        </w:rPr>
        <w:t>)</w:t>
      </w:r>
      <w:r w:rsidR="00040AEC" w:rsidRPr="00040AEC">
        <w:rPr>
          <w:rFonts w:ascii="Arial" w:hAnsi="Arial" w:cs="Arial"/>
        </w:rPr>
        <w:t>.</w:t>
      </w:r>
      <w:r w:rsidR="005F1FE7">
        <w:rPr>
          <w:rFonts w:ascii="Arial" w:hAnsi="Arial" w:cs="Arial" w:hint="eastAsia"/>
        </w:rPr>
        <w:t xml:space="preserve"> </w:t>
      </w:r>
      <w:r w:rsidRPr="004E638A">
        <w:rPr>
          <w:rFonts w:ascii="Arial" w:hAnsi="Arial" w:cs="Arial"/>
        </w:rPr>
        <w:t xml:space="preserve">This report </w:t>
      </w:r>
      <w:r w:rsidR="002B2FAD">
        <w:rPr>
          <w:rFonts w:ascii="Arial" w:hAnsi="Arial" w:cs="Arial" w:hint="eastAsia"/>
        </w:rPr>
        <w:t xml:space="preserve">evaluates the success of the acquisition by first </w:t>
      </w:r>
      <w:r w:rsidRPr="004E638A">
        <w:rPr>
          <w:rFonts w:ascii="Arial" w:hAnsi="Arial" w:cs="Arial"/>
        </w:rPr>
        <w:t>examin</w:t>
      </w:r>
      <w:r w:rsidR="002B2FAD">
        <w:rPr>
          <w:rFonts w:ascii="Arial" w:hAnsi="Arial" w:cs="Arial" w:hint="eastAsia"/>
        </w:rPr>
        <w:t>ing</w:t>
      </w:r>
      <w:r w:rsidRPr="004E638A">
        <w:rPr>
          <w:rFonts w:ascii="Arial" w:hAnsi="Arial" w:cs="Arial"/>
        </w:rPr>
        <w:t xml:space="preserve"> the impact of this acquisition on </w:t>
      </w:r>
      <w:r w:rsidR="000F41DF">
        <w:rPr>
          <w:rFonts w:ascii="Arial" w:hAnsi="Arial" w:cs="Arial"/>
        </w:rPr>
        <w:t>companies’</w:t>
      </w:r>
      <w:r w:rsidRPr="004E638A">
        <w:rPr>
          <w:rFonts w:ascii="Arial" w:hAnsi="Arial" w:cs="Arial"/>
        </w:rPr>
        <w:t xml:space="preserve"> cost structure, </w:t>
      </w:r>
      <w:r w:rsidR="002B2FAD">
        <w:rPr>
          <w:rFonts w:ascii="Arial" w:hAnsi="Arial" w:cs="Arial" w:hint="eastAsia"/>
        </w:rPr>
        <w:t xml:space="preserve">then </w:t>
      </w:r>
      <w:r w:rsidR="002B2FAD">
        <w:rPr>
          <w:rFonts w:ascii="Arial" w:hAnsi="Arial" w:cs="Arial"/>
        </w:rPr>
        <w:t>analysing</w:t>
      </w:r>
      <w:r w:rsidR="002B2FAD">
        <w:rPr>
          <w:rFonts w:ascii="Arial" w:hAnsi="Arial" w:cs="Arial" w:hint="eastAsia"/>
        </w:rPr>
        <w:t xml:space="preserve"> whether the expected synergies are real</w:t>
      </w:r>
      <w:r w:rsidR="006A40DF">
        <w:rPr>
          <w:rFonts w:ascii="Arial" w:hAnsi="Arial" w:cs="Arial" w:hint="eastAsia"/>
        </w:rPr>
        <w:t>i</w:t>
      </w:r>
      <w:r w:rsidR="002B2FAD">
        <w:rPr>
          <w:rFonts w:ascii="Arial" w:hAnsi="Arial" w:cs="Arial" w:hint="eastAsia"/>
        </w:rPr>
        <w:t xml:space="preserve">sed, </w:t>
      </w:r>
      <w:r w:rsidR="00241009">
        <w:rPr>
          <w:rFonts w:ascii="Arial" w:hAnsi="Arial" w:cs="Arial"/>
        </w:rPr>
        <w:t xml:space="preserve">and </w:t>
      </w:r>
      <w:r w:rsidR="002B2FAD">
        <w:rPr>
          <w:rFonts w:ascii="Arial" w:hAnsi="Arial" w:cs="Arial"/>
        </w:rPr>
        <w:t>finally</w:t>
      </w:r>
      <w:r w:rsidR="002B2FAD">
        <w:rPr>
          <w:rFonts w:ascii="Arial" w:hAnsi="Arial" w:cs="Arial" w:hint="eastAsia"/>
        </w:rPr>
        <w:t xml:space="preserve"> </w:t>
      </w:r>
      <w:r w:rsidR="00DE734C">
        <w:rPr>
          <w:rFonts w:ascii="Arial" w:hAnsi="Arial" w:cs="Arial" w:hint="eastAsia"/>
        </w:rPr>
        <w:t xml:space="preserve">discussing </w:t>
      </w:r>
      <w:r w:rsidR="002B2FAD">
        <w:rPr>
          <w:rFonts w:ascii="Arial" w:hAnsi="Arial" w:cs="Arial" w:hint="eastAsia"/>
        </w:rPr>
        <w:t xml:space="preserve">the impact on </w:t>
      </w:r>
      <w:r w:rsidR="00064B45">
        <w:rPr>
          <w:rFonts w:ascii="Arial" w:hAnsi="Arial" w:cs="Arial" w:hint="eastAsia"/>
        </w:rPr>
        <w:t xml:space="preserve">regulatory framework and </w:t>
      </w:r>
      <w:r w:rsidR="002B2FAD">
        <w:rPr>
          <w:rFonts w:ascii="Arial" w:hAnsi="Arial" w:cs="Arial" w:hint="eastAsia"/>
        </w:rPr>
        <w:t>shareholder wealth.</w:t>
      </w:r>
    </w:p>
    <w:p w14:paraId="4C95213E" w14:textId="77777777" w:rsidR="00902BD5" w:rsidRDefault="00902BD5">
      <w:pPr>
        <w:spacing w:line="278" w:lineRule="auto"/>
        <w:rPr>
          <w:rFonts w:ascii="Arial" w:hAnsi="Arial" w:cs="Arial"/>
        </w:rPr>
      </w:pPr>
      <w:r>
        <w:rPr>
          <w:rFonts w:ascii="Arial" w:hAnsi="Arial" w:cs="Arial"/>
        </w:rPr>
        <w:br w:type="page"/>
      </w:r>
    </w:p>
    <w:p w14:paraId="13CC8BA7" w14:textId="11FF4A93" w:rsidR="00902BD5" w:rsidRPr="00902BD5" w:rsidRDefault="004E638A" w:rsidP="00902BD5">
      <w:pPr>
        <w:pStyle w:val="Heading1"/>
        <w:rPr>
          <w:rFonts w:ascii="Arial" w:hAnsi="Arial" w:cs="Arial"/>
          <w:color w:val="auto"/>
          <w:sz w:val="24"/>
          <w:szCs w:val="24"/>
        </w:rPr>
      </w:pPr>
      <w:bookmarkStart w:id="1" w:name="_Toc194703104"/>
      <w:r w:rsidRPr="004E638A">
        <w:rPr>
          <w:rFonts w:ascii="Arial" w:hAnsi="Arial" w:cs="Arial" w:hint="eastAsia"/>
          <w:color w:val="auto"/>
          <w:sz w:val="24"/>
          <w:szCs w:val="24"/>
        </w:rPr>
        <w:lastRenderedPageBreak/>
        <w:t>Main Body</w:t>
      </w:r>
      <w:bookmarkEnd w:id="1"/>
    </w:p>
    <w:p w14:paraId="7B9A4895" w14:textId="61E04AFD" w:rsidR="004E638A" w:rsidRDefault="004E638A" w:rsidP="004E638A">
      <w:pPr>
        <w:pStyle w:val="Heading2"/>
        <w:rPr>
          <w:rFonts w:ascii="Arial" w:hAnsi="Arial" w:cs="Arial"/>
          <w:color w:val="auto"/>
          <w:sz w:val="24"/>
          <w:szCs w:val="24"/>
        </w:rPr>
      </w:pPr>
      <w:bookmarkStart w:id="2" w:name="_Toc194703105"/>
      <w:r w:rsidRPr="004E638A">
        <w:rPr>
          <w:rFonts w:ascii="Arial" w:hAnsi="Arial" w:cs="Arial"/>
          <w:color w:val="auto"/>
          <w:sz w:val="24"/>
          <w:szCs w:val="24"/>
        </w:rPr>
        <w:t>Cost structure</w:t>
      </w:r>
      <w:bookmarkEnd w:id="2"/>
    </w:p>
    <w:p w14:paraId="16A4EF94" w14:textId="0420F4F5" w:rsidR="00BC5684" w:rsidRDefault="00902BD5" w:rsidP="00F6612A">
      <w:pPr>
        <w:ind w:firstLine="720"/>
        <w:jc w:val="both"/>
        <w:rPr>
          <w:rFonts w:ascii="Arial" w:hAnsi="Arial" w:cs="Arial"/>
        </w:rPr>
      </w:pPr>
      <w:r w:rsidRPr="00902BD5">
        <w:rPr>
          <w:rFonts w:ascii="Arial" w:hAnsi="Arial" w:cs="Arial"/>
        </w:rPr>
        <w:t xml:space="preserve">According to </w:t>
      </w:r>
      <w:r w:rsidR="00E65B02">
        <w:rPr>
          <w:rFonts w:ascii="Arial" w:hAnsi="Arial" w:cs="Arial"/>
        </w:rPr>
        <w:t xml:space="preserve">the </w:t>
      </w:r>
      <w:r w:rsidRPr="00902BD5">
        <w:rPr>
          <w:rFonts w:ascii="Arial" w:hAnsi="Arial" w:cs="Arial"/>
        </w:rPr>
        <w:t>European Commission</w:t>
      </w:r>
      <w:r>
        <w:rPr>
          <w:rFonts w:ascii="Arial" w:hAnsi="Arial" w:cs="Arial" w:hint="eastAsia"/>
        </w:rPr>
        <w:t xml:space="preserve"> (2016), one of Microsoft</w:t>
      </w:r>
      <w:r>
        <w:rPr>
          <w:rFonts w:ascii="Arial" w:hAnsi="Arial" w:cs="Arial"/>
        </w:rPr>
        <w:t>’</w:t>
      </w:r>
      <w:r>
        <w:rPr>
          <w:rFonts w:ascii="Arial" w:hAnsi="Arial" w:cs="Arial" w:hint="eastAsia"/>
        </w:rPr>
        <w:t>s key objectives is to develop LinkedIn</w:t>
      </w:r>
      <w:r>
        <w:rPr>
          <w:rFonts w:ascii="Arial" w:hAnsi="Arial" w:cs="Arial"/>
        </w:rPr>
        <w:t>’</w:t>
      </w:r>
      <w:r>
        <w:rPr>
          <w:rFonts w:ascii="Arial" w:hAnsi="Arial" w:cs="Arial" w:hint="eastAsia"/>
        </w:rPr>
        <w:t xml:space="preserve">s current business, which could be achieved by reducing costs. Hence, the first part of this report examines the </w:t>
      </w:r>
      <w:r w:rsidR="00BC5684" w:rsidRPr="00BC5684">
        <w:rPr>
          <w:rFonts w:ascii="Arial" w:hAnsi="Arial" w:cs="Arial"/>
        </w:rPr>
        <w:t>impact of this acquisition on Microsoft’s cost structure</w:t>
      </w:r>
      <w:r w:rsidR="00BC5684">
        <w:rPr>
          <w:rFonts w:ascii="Arial" w:hAnsi="Arial" w:cs="Arial" w:hint="eastAsia"/>
        </w:rPr>
        <w:t xml:space="preserve">, </w:t>
      </w:r>
      <w:r w:rsidR="00BC5684" w:rsidRPr="00BC5684">
        <w:rPr>
          <w:rFonts w:ascii="Arial" w:hAnsi="Arial" w:cs="Arial"/>
        </w:rPr>
        <w:t>focusing o</w:t>
      </w:r>
      <w:r w:rsidR="00BC5684">
        <w:rPr>
          <w:rFonts w:ascii="Arial" w:hAnsi="Arial" w:cs="Arial" w:hint="eastAsia"/>
        </w:rPr>
        <w:t>n</w:t>
      </w:r>
      <w:r w:rsidR="00BC5684" w:rsidRPr="00BC5684">
        <w:rPr>
          <w:rFonts w:ascii="Arial" w:hAnsi="Arial" w:cs="Arial"/>
        </w:rPr>
        <w:t xml:space="preserve"> </w:t>
      </w:r>
      <w:r w:rsidR="00C22F49">
        <w:rPr>
          <w:rFonts w:ascii="Arial" w:hAnsi="Arial" w:cs="Arial" w:hint="eastAsia"/>
        </w:rPr>
        <w:t>combined resources</w:t>
      </w:r>
      <w:r w:rsidR="00BC5684" w:rsidRPr="00BC5684">
        <w:rPr>
          <w:rFonts w:ascii="Arial" w:hAnsi="Arial" w:cs="Arial"/>
        </w:rPr>
        <w:t xml:space="preserve"> and long-term financial implications.</w:t>
      </w:r>
    </w:p>
    <w:p w14:paraId="039E4D25" w14:textId="58D766D3" w:rsidR="00BC5684" w:rsidRPr="00E65B02" w:rsidRDefault="00BA1E06" w:rsidP="00E65B02">
      <w:pPr>
        <w:pStyle w:val="Subtitle"/>
        <w:rPr>
          <w:rFonts w:ascii="Arial" w:hAnsi="Arial" w:cs="Arial" w:hint="eastAsia"/>
          <w:color w:val="auto"/>
          <w:sz w:val="24"/>
          <w:szCs w:val="24"/>
        </w:rPr>
      </w:pPr>
      <w:r>
        <w:rPr>
          <w:rFonts w:ascii="Arial" w:hAnsi="Arial" w:cs="Arial" w:hint="eastAsia"/>
          <w:color w:val="auto"/>
          <w:sz w:val="24"/>
          <w:szCs w:val="24"/>
        </w:rPr>
        <w:t>Combined resources</w:t>
      </w:r>
    </w:p>
    <w:p w14:paraId="2EAF13C9" w14:textId="3CD04384" w:rsidR="00CD291D" w:rsidRPr="00CD291D" w:rsidRDefault="00F6612A" w:rsidP="00CD291D">
      <w:pPr>
        <w:ind w:firstLine="720"/>
        <w:jc w:val="both"/>
        <w:rPr>
          <w:rFonts w:ascii="Arial" w:hAnsi="Arial" w:cs="Arial"/>
        </w:rPr>
      </w:pPr>
      <w:r w:rsidRPr="00F6612A">
        <w:rPr>
          <w:rFonts w:ascii="Arial" w:hAnsi="Arial" w:cs="Arial"/>
        </w:rPr>
        <w:t>One of the primary inefficiencies before the acquisition was the disconnect between professional networking and enterprise productivity tools. Microsoft sought to integrate LinkedIn’s vast professional database with its Office 365, Dynamics 365, and Azure cloud solutions to streamline business workflows.</w:t>
      </w:r>
      <w:r w:rsidR="00AA7B38">
        <w:rPr>
          <w:rFonts w:ascii="Arial" w:hAnsi="Arial" w:cs="Arial" w:hint="eastAsia"/>
        </w:rPr>
        <w:t xml:space="preserve"> For example, </w:t>
      </w:r>
      <w:r w:rsidR="00AA7B38" w:rsidRPr="00AA7B38">
        <w:rPr>
          <w:rFonts w:ascii="Arial" w:hAnsi="Arial" w:cs="Arial"/>
        </w:rPr>
        <w:t xml:space="preserve">LinkedIn profiles </w:t>
      </w:r>
      <w:r w:rsidR="00AA7B38">
        <w:rPr>
          <w:rFonts w:ascii="Arial" w:hAnsi="Arial" w:cs="Arial"/>
        </w:rPr>
        <w:t>are</w:t>
      </w:r>
      <w:r w:rsidR="00AA7B38">
        <w:rPr>
          <w:rFonts w:ascii="Arial" w:hAnsi="Arial" w:cs="Arial" w:hint="eastAsia"/>
        </w:rPr>
        <w:t xml:space="preserve"> </w:t>
      </w:r>
      <w:r w:rsidR="00AA7B38">
        <w:rPr>
          <w:rFonts w:ascii="Arial" w:hAnsi="Arial" w:cs="Arial"/>
        </w:rPr>
        <w:t>embedded</w:t>
      </w:r>
      <w:r w:rsidR="00AA7B38">
        <w:rPr>
          <w:rFonts w:ascii="Arial" w:hAnsi="Arial" w:cs="Arial" w:hint="eastAsia"/>
        </w:rPr>
        <w:t xml:space="preserve"> </w:t>
      </w:r>
      <w:r w:rsidR="00AA7B38" w:rsidRPr="00AA7B38">
        <w:rPr>
          <w:rFonts w:ascii="Arial" w:hAnsi="Arial" w:cs="Arial"/>
        </w:rPr>
        <w:t>directly into Outlook for seamless email interactions</w:t>
      </w:r>
      <w:r w:rsidR="00AA7B38">
        <w:rPr>
          <w:rFonts w:ascii="Arial" w:hAnsi="Arial" w:cs="Arial" w:hint="eastAsia"/>
        </w:rPr>
        <w:t xml:space="preserve">, which </w:t>
      </w:r>
      <w:r w:rsidR="00AA7B38" w:rsidRPr="00AA7B38">
        <w:rPr>
          <w:rFonts w:ascii="Arial" w:hAnsi="Arial" w:cs="Arial"/>
        </w:rPr>
        <w:t>has enhanced networking and collaboration</w:t>
      </w:r>
      <w:r w:rsidR="00AA7B38">
        <w:rPr>
          <w:rFonts w:ascii="Arial" w:hAnsi="Arial" w:cs="Arial" w:hint="eastAsia"/>
        </w:rPr>
        <w:t xml:space="preserve">. </w:t>
      </w:r>
      <w:r w:rsidR="00AA7B38" w:rsidRPr="00AA7B38">
        <w:rPr>
          <w:rFonts w:ascii="Arial" w:hAnsi="Arial" w:cs="Arial"/>
        </w:rPr>
        <w:t xml:space="preserve">LinkedIn Learning </w:t>
      </w:r>
      <w:r w:rsidR="00AA7B38">
        <w:rPr>
          <w:rFonts w:ascii="Arial" w:hAnsi="Arial" w:cs="Arial" w:hint="eastAsia"/>
        </w:rPr>
        <w:t xml:space="preserve">is also </w:t>
      </w:r>
      <w:r w:rsidR="00AA7B38">
        <w:rPr>
          <w:rFonts w:ascii="Arial" w:hAnsi="Arial" w:cs="Arial"/>
        </w:rPr>
        <w:t>integrated</w:t>
      </w:r>
      <w:r w:rsidR="00AA7B38">
        <w:rPr>
          <w:rFonts w:ascii="Arial" w:hAnsi="Arial" w:cs="Arial" w:hint="eastAsia"/>
        </w:rPr>
        <w:t xml:space="preserve"> </w:t>
      </w:r>
      <w:r w:rsidR="00AA7B38" w:rsidRPr="00AA7B38">
        <w:rPr>
          <w:rFonts w:ascii="Arial" w:hAnsi="Arial" w:cs="Arial"/>
        </w:rPr>
        <w:t>into corporate training programs managed through Office 365</w:t>
      </w:r>
      <w:r w:rsidR="00AA7B38">
        <w:rPr>
          <w:rFonts w:ascii="Arial" w:hAnsi="Arial" w:cs="Arial" w:hint="eastAsia"/>
        </w:rPr>
        <w:t xml:space="preserve">, which </w:t>
      </w:r>
      <w:r w:rsidR="00AA7B38" w:rsidRPr="00AA7B38">
        <w:rPr>
          <w:rFonts w:ascii="Arial" w:hAnsi="Arial" w:cs="Arial"/>
        </w:rPr>
        <w:t xml:space="preserve">allows businesses to </w:t>
      </w:r>
      <w:r w:rsidR="001E1F48">
        <w:rPr>
          <w:rFonts w:ascii="Arial" w:hAnsi="Arial" w:cs="Arial" w:hint="eastAsia"/>
        </w:rPr>
        <w:t>train</w:t>
      </w:r>
      <w:r w:rsidR="00AA7B38" w:rsidRPr="00AA7B38">
        <w:rPr>
          <w:rFonts w:ascii="Arial" w:hAnsi="Arial" w:cs="Arial"/>
        </w:rPr>
        <w:t xml:space="preserve"> and engage with </w:t>
      </w:r>
      <w:r w:rsidR="001E1F48">
        <w:rPr>
          <w:rFonts w:ascii="Arial" w:hAnsi="Arial" w:cs="Arial" w:hint="eastAsia"/>
        </w:rPr>
        <w:t>employees</w:t>
      </w:r>
      <w:r w:rsidR="00AA7B38" w:rsidRPr="00AA7B38">
        <w:rPr>
          <w:rFonts w:ascii="Arial" w:hAnsi="Arial" w:cs="Arial"/>
        </w:rPr>
        <w:t xml:space="preserve"> more efficiently</w:t>
      </w:r>
      <w:r w:rsidR="00AA7B38">
        <w:rPr>
          <w:rFonts w:ascii="Arial" w:hAnsi="Arial" w:cs="Arial" w:hint="eastAsia"/>
        </w:rPr>
        <w:t>.</w:t>
      </w:r>
      <w:r w:rsidR="001E4F57">
        <w:rPr>
          <w:rFonts w:ascii="Arial" w:hAnsi="Arial" w:cs="Arial" w:hint="eastAsia"/>
        </w:rPr>
        <w:t xml:space="preserve"> However, t</w:t>
      </w:r>
      <w:r w:rsidR="001E4F57" w:rsidRPr="001E4F57">
        <w:rPr>
          <w:rFonts w:ascii="Arial" w:hAnsi="Arial" w:cs="Arial"/>
        </w:rPr>
        <w:t xml:space="preserve">he integration process </w:t>
      </w:r>
      <w:r w:rsidR="001E4F57">
        <w:rPr>
          <w:rFonts w:ascii="Arial" w:hAnsi="Arial" w:cs="Arial" w:hint="eastAsia"/>
        </w:rPr>
        <w:t>might be</w:t>
      </w:r>
      <w:r w:rsidR="001E4F57" w:rsidRPr="001E4F57">
        <w:rPr>
          <w:rFonts w:ascii="Arial" w:hAnsi="Arial" w:cs="Arial"/>
        </w:rPr>
        <w:t xml:space="preserve"> slower than expected</w:t>
      </w:r>
      <w:r w:rsidR="001E4F57">
        <w:rPr>
          <w:rFonts w:ascii="Arial" w:hAnsi="Arial" w:cs="Arial" w:hint="eastAsia"/>
        </w:rPr>
        <w:t xml:space="preserve">, as </w:t>
      </w:r>
      <w:r w:rsidR="001E4F57" w:rsidRPr="001E4F57">
        <w:rPr>
          <w:rFonts w:ascii="Arial" w:hAnsi="Arial" w:cs="Arial"/>
        </w:rPr>
        <w:t>some Microsoft users still not fully leveraging LinkedIn’s capabilities within Office applications</w:t>
      </w:r>
      <w:r w:rsidR="001E4F57">
        <w:rPr>
          <w:rFonts w:ascii="Arial" w:hAnsi="Arial" w:cs="Arial" w:hint="eastAsia"/>
        </w:rPr>
        <w:t xml:space="preserve"> (</w:t>
      </w:r>
      <w:r w:rsidR="001E4F57" w:rsidRPr="00555B28">
        <w:rPr>
          <w:rFonts w:ascii="Arial" w:hAnsi="Arial" w:cs="Arial"/>
        </w:rPr>
        <w:t>Hutchinson, 2022)</w:t>
      </w:r>
      <w:r w:rsidR="00F7521C">
        <w:rPr>
          <w:rFonts w:ascii="Arial" w:hAnsi="Arial" w:cs="Arial" w:hint="eastAsia"/>
        </w:rPr>
        <w:t xml:space="preserve">. On the contrary, </w:t>
      </w:r>
      <w:r w:rsidR="00F7521C" w:rsidRPr="00F7521C">
        <w:rPr>
          <w:rFonts w:ascii="Arial" w:hAnsi="Arial" w:cs="Arial"/>
        </w:rPr>
        <w:t>LinkedIn’s Talent Solutions platform</w:t>
      </w:r>
      <w:r w:rsidR="00F7521C">
        <w:rPr>
          <w:rFonts w:ascii="Arial" w:hAnsi="Arial" w:cs="Arial" w:hint="eastAsia"/>
        </w:rPr>
        <w:t xml:space="preserve"> is expected to</w:t>
      </w:r>
      <w:r w:rsidR="00F7521C" w:rsidRPr="00F7521C">
        <w:rPr>
          <w:rFonts w:ascii="Arial" w:hAnsi="Arial" w:cs="Arial"/>
        </w:rPr>
        <w:t xml:space="preserve"> become more efficient by leveraging Microsoft’s AI capabilities and data analytics to refine job matching and recruitment processes</w:t>
      </w:r>
      <w:r w:rsidR="002E6275">
        <w:rPr>
          <w:rFonts w:ascii="Arial" w:hAnsi="Arial" w:cs="Arial" w:hint="eastAsia"/>
        </w:rPr>
        <w:t xml:space="preserve">, which include </w:t>
      </w:r>
      <w:r w:rsidR="002E6275" w:rsidRPr="002E6275">
        <w:rPr>
          <w:rFonts w:ascii="Arial" w:hAnsi="Arial" w:cs="Arial"/>
        </w:rPr>
        <w:t>content-based filtering</w:t>
      </w:r>
      <w:r w:rsidR="002E6275">
        <w:rPr>
          <w:rFonts w:ascii="Arial" w:hAnsi="Arial" w:cs="Arial" w:hint="eastAsia"/>
        </w:rPr>
        <w:t xml:space="preserve">, </w:t>
      </w:r>
      <w:r w:rsidR="002E6275" w:rsidRPr="002E6275">
        <w:rPr>
          <w:rFonts w:ascii="Arial" w:hAnsi="Arial" w:cs="Arial"/>
        </w:rPr>
        <w:t>resume analysis</w:t>
      </w:r>
      <w:r w:rsidR="002E6275">
        <w:rPr>
          <w:rFonts w:ascii="Arial" w:hAnsi="Arial" w:cs="Arial" w:hint="eastAsia"/>
        </w:rPr>
        <w:t xml:space="preserve">, </w:t>
      </w:r>
      <w:r w:rsidR="002E6275" w:rsidRPr="002E6275">
        <w:rPr>
          <w:rFonts w:ascii="Arial" w:hAnsi="Arial" w:cs="Arial"/>
        </w:rPr>
        <w:t>and machine learning approaches</w:t>
      </w:r>
      <w:r w:rsidR="002E6275">
        <w:rPr>
          <w:rFonts w:ascii="Arial" w:hAnsi="Arial" w:cs="Arial" w:hint="eastAsia"/>
        </w:rPr>
        <w:t xml:space="preserve"> </w:t>
      </w:r>
      <w:r w:rsidR="002E6275" w:rsidRPr="002E6275">
        <w:rPr>
          <w:rFonts w:ascii="Arial" w:hAnsi="Arial" w:cs="Arial"/>
        </w:rPr>
        <w:t>to enhance the job matching process for users</w:t>
      </w:r>
      <w:r w:rsidR="00C455C9">
        <w:rPr>
          <w:rFonts w:ascii="Arial" w:hAnsi="Arial" w:cs="Arial" w:hint="eastAsia"/>
        </w:rPr>
        <w:t xml:space="preserve"> (</w:t>
      </w:r>
      <w:r w:rsidR="00DE45AB" w:rsidRPr="00F7521C">
        <w:rPr>
          <w:rFonts w:ascii="Arial" w:hAnsi="Arial" w:cs="Arial"/>
        </w:rPr>
        <w:t>Suresh Kumar,</w:t>
      </w:r>
      <w:r w:rsidR="00C455C9">
        <w:rPr>
          <w:rFonts w:ascii="Arial" w:hAnsi="Arial" w:cs="Arial" w:hint="eastAsia"/>
        </w:rPr>
        <w:t xml:space="preserve"> </w:t>
      </w:r>
      <w:r w:rsidR="00DE45AB" w:rsidRPr="00F7521C">
        <w:rPr>
          <w:rFonts w:ascii="Arial" w:hAnsi="Arial" w:cs="Arial"/>
        </w:rPr>
        <w:t>Srihari</w:t>
      </w:r>
      <w:r w:rsidR="00C455C9">
        <w:rPr>
          <w:rFonts w:ascii="Arial" w:hAnsi="Arial" w:cs="Arial" w:hint="eastAsia"/>
        </w:rPr>
        <w:t xml:space="preserve"> </w:t>
      </w:r>
      <w:r w:rsidR="00DE45AB" w:rsidRPr="00F7521C">
        <w:rPr>
          <w:rFonts w:ascii="Arial" w:hAnsi="Arial" w:cs="Arial"/>
        </w:rPr>
        <w:t>and Raman,</w:t>
      </w:r>
      <w:r w:rsidR="00C455C9">
        <w:rPr>
          <w:rFonts w:ascii="Arial" w:hAnsi="Arial" w:cs="Arial" w:hint="eastAsia"/>
        </w:rPr>
        <w:t xml:space="preserve"> </w:t>
      </w:r>
      <w:r w:rsidR="00DE45AB" w:rsidRPr="00F7521C">
        <w:rPr>
          <w:rFonts w:ascii="Arial" w:hAnsi="Arial" w:cs="Arial"/>
        </w:rPr>
        <w:t>2024)</w:t>
      </w:r>
      <w:r w:rsidR="00C455C9">
        <w:rPr>
          <w:rFonts w:ascii="Arial" w:hAnsi="Arial" w:cs="Arial" w:hint="eastAsia"/>
        </w:rPr>
        <w:t xml:space="preserve">. </w:t>
      </w:r>
      <w:r w:rsidR="00861825">
        <w:rPr>
          <w:rFonts w:ascii="Arial" w:hAnsi="Arial" w:cs="Arial" w:hint="eastAsia"/>
        </w:rPr>
        <w:t xml:space="preserve">So </w:t>
      </w:r>
      <w:r w:rsidR="00861825">
        <w:rPr>
          <w:rFonts w:ascii="Arial" w:hAnsi="Arial" w:cs="Arial" w:hint="eastAsia"/>
        </w:rPr>
        <w:lastRenderedPageBreak/>
        <w:t xml:space="preserve">LinkedIn could </w:t>
      </w:r>
      <w:r w:rsidR="00861825">
        <w:rPr>
          <w:rFonts w:ascii="Arial" w:hAnsi="Arial" w:cs="Arial"/>
        </w:rPr>
        <w:t>utilise</w:t>
      </w:r>
      <w:r w:rsidR="00861825">
        <w:rPr>
          <w:rFonts w:ascii="Arial" w:hAnsi="Arial" w:cs="Arial" w:hint="eastAsia"/>
        </w:rPr>
        <w:t xml:space="preserve"> developed tools from Microsoft which makes it more competitive and </w:t>
      </w:r>
      <w:r w:rsidR="00861825">
        <w:rPr>
          <w:rFonts w:ascii="Arial" w:hAnsi="Arial" w:cs="Arial"/>
        </w:rPr>
        <w:t>cost-efficient</w:t>
      </w:r>
      <w:r w:rsidR="00861825">
        <w:rPr>
          <w:rFonts w:ascii="Arial" w:hAnsi="Arial" w:cs="Arial" w:hint="eastAsia"/>
        </w:rPr>
        <w:t xml:space="preserve"> than its competitors. </w:t>
      </w:r>
      <w:r w:rsidR="00C455C9">
        <w:rPr>
          <w:rFonts w:ascii="Arial" w:hAnsi="Arial" w:cs="Arial" w:hint="eastAsia"/>
        </w:rPr>
        <w:t>But t</w:t>
      </w:r>
      <w:r w:rsidR="00C455C9" w:rsidRPr="00C455C9">
        <w:rPr>
          <w:rFonts w:ascii="Arial" w:hAnsi="Arial" w:cs="Arial"/>
        </w:rPr>
        <w:t>he recruitment market remains fragmented</w:t>
      </w:r>
      <w:r w:rsidR="00861825">
        <w:rPr>
          <w:rFonts w:ascii="Arial" w:hAnsi="Arial" w:cs="Arial" w:hint="eastAsia"/>
        </w:rPr>
        <w:t xml:space="preserve"> in the UK</w:t>
      </w:r>
      <w:r w:rsidR="00C455C9" w:rsidRPr="00C455C9">
        <w:rPr>
          <w:rFonts w:ascii="Arial" w:hAnsi="Arial" w:cs="Arial"/>
        </w:rPr>
        <w:t>, with competing platforms like Indeed</w:t>
      </w:r>
      <w:r w:rsidR="00F8610B">
        <w:rPr>
          <w:rFonts w:ascii="Arial" w:hAnsi="Arial" w:cs="Arial" w:hint="eastAsia"/>
        </w:rPr>
        <w:t xml:space="preserve"> (</w:t>
      </w:r>
      <w:r w:rsidR="00F8610B" w:rsidRPr="00F8610B">
        <w:rPr>
          <w:rFonts w:ascii="Arial" w:hAnsi="Arial" w:cs="Arial"/>
        </w:rPr>
        <w:t>30.78</w:t>
      </w:r>
      <w:r w:rsidR="00F8610B">
        <w:rPr>
          <w:rFonts w:ascii="Arial" w:hAnsi="Arial" w:cs="Arial" w:hint="eastAsia"/>
        </w:rPr>
        <w:t xml:space="preserve">%) </w:t>
      </w:r>
      <w:r w:rsidR="00C455C9" w:rsidRPr="00C455C9">
        <w:rPr>
          <w:rFonts w:ascii="Arial" w:hAnsi="Arial" w:cs="Arial"/>
        </w:rPr>
        <w:t>and Glassdoor</w:t>
      </w:r>
      <w:r w:rsidR="00F8610B">
        <w:rPr>
          <w:rFonts w:ascii="Arial" w:hAnsi="Arial" w:cs="Arial" w:hint="eastAsia"/>
        </w:rPr>
        <w:t xml:space="preserve"> (9.39%)</w:t>
      </w:r>
      <w:r w:rsidR="00C455C9" w:rsidRPr="00C455C9">
        <w:rPr>
          <w:rFonts w:ascii="Arial" w:hAnsi="Arial" w:cs="Arial"/>
        </w:rPr>
        <w:t xml:space="preserve"> still holding substantial market share</w:t>
      </w:r>
      <w:r w:rsidR="00F8610B">
        <w:rPr>
          <w:rFonts w:ascii="Arial" w:hAnsi="Arial" w:cs="Arial" w:hint="eastAsia"/>
        </w:rPr>
        <w:t xml:space="preserve"> (</w:t>
      </w:r>
      <w:r w:rsidR="00F8610B" w:rsidRPr="00C455C9">
        <w:rPr>
          <w:rFonts w:ascii="Arial" w:hAnsi="Arial" w:cs="Arial"/>
        </w:rPr>
        <w:t>Dixon</w:t>
      </w:r>
      <w:r w:rsidR="00F8610B">
        <w:rPr>
          <w:rFonts w:ascii="Arial" w:hAnsi="Arial" w:cs="Arial" w:hint="eastAsia"/>
        </w:rPr>
        <w:t>, 2025)</w:t>
      </w:r>
      <w:r w:rsidR="00C455C9" w:rsidRPr="00C455C9">
        <w:rPr>
          <w:rFonts w:ascii="Arial" w:hAnsi="Arial" w:cs="Arial"/>
        </w:rPr>
        <w:t>.</w:t>
      </w:r>
      <w:r w:rsidR="00CD291D">
        <w:rPr>
          <w:rFonts w:ascii="Arial" w:hAnsi="Arial" w:cs="Arial" w:hint="eastAsia"/>
        </w:rPr>
        <w:t xml:space="preserve"> </w:t>
      </w:r>
      <w:r w:rsidR="00F7521C">
        <w:rPr>
          <w:rFonts w:ascii="Arial" w:hAnsi="Arial" w:cs="Arial" w:hint="eastAsia"/>
        </w:rPr>
        <w:t xml:space="preserve">Overall, </w:t>
      </w:r>
      <w:r w:rsidR="00CD291D">
        <w:rPr>
          <w:rFonts w:ascii="Arial" w:hAnsi="Arial" w:cs="Arial" w:hint="eastAsia"/>
        </w:rPr>
        <w:t>t</w:t>
      </w:r>
      <w:r w:rsidR="00CD291D" w:rsidRPr="00CD291D">
        <w:rPr>
          <w:rFonts w:ascii="Arial" w:hAnsi="Arial" w:cs="Arial"/>
        </w:rPr>
        <w:t>he Microsoft-LinkedIn business combination has achieved partial success in eliminating inefficiencies.</w:t>
      </w:r>
      <w:r w:rsidR="00CD291D">
        <w:rPr>
          <w:rFonts w:ascii="Arial" w:hAnsi="Arial" w:cs="Arial" w:hint="eastAsia"/>
        </w:rPr>
        <w:t xml:space="preserve"> </w:t>
      </w:r>
      <w:r w:rsidR="00CD291D" w:rsidRPr="00CD291D">
        <w:rPr>
          <w:rFonts w:ascii="Arial" w:hAnsi="Arial" w:cs="Arial"/>
        </w:rPr>
        <w:t>While significant progress has been made in integrating professional networking with enterprise tools, challenges remain in full-scale adoption and redundancy reduction. Continued innovation and strategic optimization will be necessary to fully realize the expected efficiency gains from this acquisition.</w:t>
      </w:r>
    </w:p>
    <w:p w14:paraId="140AA320" w14:textId="471230C3" w:rsidR="00CD291D" w:rsidRDefault="006914B2" w:rsidP="006914B2">
      <w:pPr>
        <w:pStyle w:val="Subtitle"/>
        <w:rPr>
          <w:rFonts w:ascii="Arial" w:hAnsi="Arial" w:cs="Arial"/>
          <w:color w:val="auto"/>
          <w:sz w:val="24"/>
          <w:szCs w:val="24"/>
        </w:rPr>
      </w:pPr>
      <w:r w:rsidRPr="006914B2">
        <w:rPr>
          <w:rFonts w:ascii="Arial" w:hAnsi="Arial" w:cs="Arial"/>
          <w:color w:val="auto"/>
          <w:sz w:val="24"/>
          <w:szCs w:val="24"/>
        </w:rPr>
        <w:t>Long-Term Financial Implications</w:t>
      </w:r>
    </w:p>
    <w:p w14:paraId="7CCDFB2B" w14:textId="611B3142" w:rsidR="00C8731F" w:rsidRDefault="009A1C12" w:rsidP="00C8731F">
      <w:pPr>
        <w:ind w:firstLine="720"/>
        <w:jc w:val="both"/>
        <w:rPr>
          <w:rFonts w:ascii="Arial" w:hAnsi="Arial" w:cs="Arial"/>
        </w:rPr>
      </w:pPr>
      <w:r w:rsidRPr="009A1C12">
        <w:rPr>
          <w:rFonts w:ascii="Arial" w:hAnsi="Arial" w:cs="Arial" w:hint="eastAsia"/>
        </w:rPr>
        <w:t xml:space="preserve">Since LinkedIn has made many long-term </w:t>
      </w:r>
      <w:r w:rsidRPr="009A1C12">
        <w:rPr>
          <w:rFonts w:ascii="Arial" w:hAnsi="Arial" w:cs="Arial"/>
        </w:rPr>
        <w:t>investments</w:t>
      </w:r>
      <w:r w:rsidRPr="009A1C12">
        <w:rPr>
          <w:rFonts w:ascii="Arial" w:hAnsi="Arial" w:cs="Arial" w:hint="eastAsia"/>
        </w:rPr>
        <w:t xml:space="preserve"> such as </w:t>
      </w:r>
      <w:r w:rsidRPr="009A1C12">
        <w:rPr>
          <w:rFonts w:ascii="Arial" w:hAnsi="Arial" w:cs="Arial"/>
        </w:rPr>
        <w:t>additional</w:t>
      </w:r>
      <w:r w:rsidRPr="009A1C12">
        <w:rPr>
          <w:rFonts w:ascii="Arial" w:hAnsi="Arial" w:cs="Arial" w:hint="eastAsia"/>
        </w:rPr>
        <w:t xml:space="preserve"> </w:t>
      </w:r>
      <w:r w:rsidR="00093DDF">
        <w:rPr>
          <w:rFonts w:ascii="Arial" w:hAnsi="Arial" w:cs="Arial"/>
        </w:rPr>
        <w:t>hires</w:t>
      </w:r>
      <w:r w:rsidRPr="009A1C12">
        <w:rPr>
          <w:rFonts w:ascii="Arial" w:hAnsi="Arial" w:cs="Arial" w:hint="eastAsia"/>
        </w:rPr>
        <w:t>, acquir</w:t>
      </w:r>
      <w:r w:rsidR="00093DDF">
        <w:rPr>
          <w:rFonts w:ascii="Arial" w:hAnsi="Arial" w:cs="Arial" w:hint="eastAsia"/>
        </w:rPr>
        <w:t>ing</w:t>
      </w:r>
      <w:r w:rsidRPr="009A1C12">
        <w:rPr>
          <w:rFonts w:ascii="Arial" w:hAnsi="Arial" w:cs="Arial" w:hint="eastAsia"/>
        </w:rPr>
        <w:t xml:space="preserve"> other companies (Lynda.com) and developing </w:t>
      </w:r>
      <w:r w:rsidR="00C8731F">
        <w:rPr>
          <w:rFonts w:ascii="Arial" w:hAnsi="Arial" w:cs="Arial"/>
        </w:rPr>
        <w:t>internal-use</w:t>
      </w:r>
      <w:r w:rsidRPr="009A1C12">
        <w:rPr>
          <w:rFonts w:ascii="Arial" w:hAnsi="Arial" w:cs="Arial" w:hint="eastAsia"/>
        </w:rPr>
        <w:t xml:space="preserve"> </w:t>
      </w:r>
      <w:r w:rsidR="00C8731F" w:rsidRPr="009A1C12">
        <w:rPr>
          <w:rFonts w:ascii="Arial" w:hAnsi="Arial" w:cs="Arial"/>
        </w:rPr>
        <w:t>software,</w:t>
      </w:r>
      <w:r w:rsidR="00093DDF">
        <w:rPr>
          <w:rFonts w:ascii="Arial" w:hAnsi="Arial" w:cs="Arial" w:hint="eastAsia"/>
        </w:rPr>
        <w:t xml:space="preserve"> hence</w:t>
      </w:r>
      <w:r w:rsidRPr="009A1C12">
        <w:rPr>
          <w:rFonts w:ascii="Arial" w:hAnsi="Arial" w:cs="Arial" w:hint="eastAsia"/>
        </w:rPr>
        <w:t xml:space="preserve">, </w:t>
      </w:r>
      <w:r w:rsidR="00093DDF">
        <w:rPr>
          <w:rFonts w:ascii="Arial" w:hAnsi="Arial" w:cs="Arial" w:hint="eastAsia"/>
        </w:rPr>
        <w:t>has significant operating losses, t</w:t>
      </w:r>
      <w:r w:rsidRPr="009A1C12">
        <w:rPr>
          <w:rFonts w:ascii="Arial" w:hAnsi="Arial" w:cs="Arial" w:hint="eastAsia"/>
        </w:rPr>
        <w:t>his report</w:t>
      </w:r>
      <w:r w:rsidR="00093DDF">
        <w:rPr>
          <w:rFonts w:hint="eastAsia"/>
        </w:rPr>
        <w:t xml:space="preserve"> </w:t>
      </w:r>
      <w:r w:rsidR="00093DDF">
        <w:rPr>
          <w:rFonts w:ascii="Arial" w:hAnsi="Arial" w:cs="Arial" w:hint="eastAsia"/>
        </w:rPr>
        <w:t>would approximate long-term financial implications by assessing revenue growth instead of profitability.</w:t>
      </w:r>
      <w:r w:rsidR="002C0CCC">
        <w:rPr>
          <w:rFonts w:ascii="Arial" w:hAnsi="Arial" w:cs="Arial" w:hint="eastAsia"/>
        </w:rPr>
        <w:t xml:space="preserve"> </w:t>
      </w:r>
      <w:r w:rsidR="00A83801" w:rsidRPr="00A83801">
        <w:rPr>
          <w:rFonts w:ascii="Arial" w:hAnsi="Arial" w:cs="Arial"/>
        </w:rPr>
        <w:t>Since the acquisition, LinkedIn has experienced significant revenue expansion. Annual revenue grew from $</w:t>
      </w:r>
      <w:r w:rsidR="00A83801">
        <w:rPr>
          <w:rFonts w:ascii="Arial" w:hAnsi="Arial" w:cs="Arial" w:hint="eastAsia"/>
        </w:rPr>
        <w:t>2.99</w:t>
      </w:r>
      <w:r w:rsidR="00A83801" w:rsidRPr="00A83801">
        <w:rPr>
          <w:rFonts w:ascii="Arial" w:hAnsi="Arial" w:cs="Arial"/>
        </w:rPr>
        <w:t xml:space="preserve"> billion in 201</w:t>
      </w:r>
      <w:r w:rsidR="00A83801">
        <w:rPr>
          <w:rFonts w:ascii="Arial" w:hAnsi="Arial" w:cs="Arial" w:hint="eastAsia"/>
        </w:rPr>
        <w:t>5 (LinkedIn Corporation, 2016)</w:t>
      </w:r>
      <w:r w:rsidR="00A83801" w:rsidRPr="00A83801">
        <w:rPr>
          <w:rFonts w:ascii="Arial" w:hAnsi="Arial" w:cs="Arial"/>
        </w:rPr>
        <w:t xml:space="preserve"> to </w:t>
      </w:r>
      <w:r w:rsidR="00A83801">
        <w:rPr>
          <w:rFonts w:ascii="Arial" w:hAnsi="Arial" w:cs="Arial" w:hint="eastAsia"/>
        </w:rPr>
        <w:t>$16.37</w:t>
      </w:r>
      <w:r w:rsidR="00A83801" w:rsidRPr="00A83801">
        <w:rPr>
          <w:rFonts w:ascii="Arial" w:hAnsi="Arial" w:cs="Arial"/>
        </w:rPr>
        <w:t xml:space="preserve"> billion in 202</w:t>
      </w:r>
      <w:r w:rsidR="00A83801">
        <w:rPr>
          <w:rFonts w:ascii="Arial" w:hAnsi="Arial" w:cs="Arial" w:hint="eastAsia"/>
        </w:rPr>
        <w:t>4 (LinkedIn Corporation, 2024)</w:t>
      </w:r>
      <w:r w:rsidR="00C8731F">
        <w:rPr>
          <w:rFonts w:ascii="Arial" w:hAnsi="Arial" w:cs="Arial" w:hint="eastAsia"/>
        </w:rPr>
        <w:t xml:space="preserve">, </w:t>
      </w:r>
      <w:r w:rsidR="00C8731F" w:rsidRPr="00C8731F">
        <w:rPr>
          <w:rFonts w:ascii="Arial" w:hAnsi="Arial" w:cs="Arial"/>
        </w:rPr>
        <w:t>reflecting a strong compound annual growth rate</w:t>
      </w:r>
      <w:r w:rsidR="00C8731F">
        <w:rPr>
          <w:rFonts w:ascii="Arial" w:hAnsi="Arial" w:cs="Arial" w:hint="eastAsia"/>
        </w:rPr>
        <w:t xml:space="preserve">. </w:t>
      </w:r>
      <w:r w:rsidR="00DE3458">
        <w:rPr>
          <w:rFonts w:ascii="Arial" w:hAnsi="Arial" w:cs="Arial" w:hint="eastAsia"/>
        </w:rPr>
        <w:t xml:space="preserve">One potential reason for the explosive growth could be the </w:t>
      </w:r>
      <w:r w:rsidR="00DE3458">
        <w:rPr>
          <w:rFonts w:ascii="Arial" w:hAnsi="Arial" w:cs="Arial"/>
        </w:rPr>
        <w:t>economy</w:t>
      </w:r>
      <w:r w:rsidR="00DE3458">
        <w:rPr>
          <w:rFonts w:ascii="Arial" w:hAnsi="Arial" w:cs="Arial" w:hint="eastAsia"/>
        </w:rPr>
        <w:t xml:space="preserve"> of scale</w:t>
      </w:r>
      <w:r w:rsidR="00117F07">
        <w:rPr>
          <w:rFonts w:ascii="Arial" w:hAnsi="Arial" w:cs="Arial" w:hint="eastAsia"/>
        </w:rPr>
        <w:t xml:space="preserve">, which </w:t>
      </w:r>
      <w:r w:rsidR="00117F07">
        <w:rPr>
          <w:rFonts w:ascii="Arial" w:hAnsi="Arial" w:cs="Arial"/>
        </w:rPr>
        <w:t>refers</w:t>
      </w:r>
      <w:r w:rsidR="00117F07" w:rsidRPr="00117F07">
        <w:rPr>
          <w:rFonts w:ascii="Arial" w:hAnsi="Arial" w:cs="Arial"/>
        </w:rPr>
        <w:t xml:space="preserve"> to </w:t>
      </w:r>
      <w:r w:rsidR="00631925">
        <w:rPr>
          <w:rFonts w:ascii="Arial" w:hAnsi="Arial" w:cs="Arial"/>
        </w:rPr>
        <w:t xml:space="preserve">the </w:t>
      </w:r>
      <w:r w:rsidR="00117F07" w:rsidRPr="00117F07">
        <w:rPr>
          <w:rFonts w:ascii="Arial" w:hAnsi="Arial" w:cs="Arial"/>
        </w:rPr>
        <w:t>cost advantages that enterprises obtain due to expansion</w:t>
      </w:r>
      <w:r w:rsidR="00117F07">
        <w:rPr>
          <w:rFonts w:ascii="Arial" w:hAnsi="Arial" w:cs="Arial" w:hint="eastAsia"/>
        </w:rPr>
        <w:t xml:space="preserve">. </w:t>
      </w:r>
      <w:r w:rsidR="00D857A4" w:rsidRPr="00D857A4">
        <w:rPr>
          <w:rFonts w:ascii="Arial" w:hAnsi="Arial" w:cs="Arial"/>
        </w:rPr>
        <w:t>The acquisition was expected to leverage Microsoft’s massive infrastructure and customer base to scale LinkedIn’s offerings more efficiently and vice versa</w:t>
      </w:r>
      <w:r w:rsidR="00EA1436">
        <w:rPr>
          <w:rFonts w:ascii="Arial" w:hAnsi="Arial" w:cs="Arial" w:hint="eastAsia"/>
        </w:rPr>
        <w:t>. For example,</w:t>
      </w:r>
      <w:r w:rsidR="00EA1436" w:rsidRPr="00EA1436">
        <w:rPr>
          <w:rFonts w:ascii="Arial" w:hAnsi="Arial" w:cs="Arial"/>
        </w:rPr>
        <w:t xml:space="preserve"> LinkedIn</w:t>
      </w:r>
      <w:r w:rsidR="00EA1436">
        <w:rPr>
          <w:rFonts w:ascii="Arial" w:hAnsi="Arial" w:cs="Arial"/>
        </w:rPr>
        <w:t>’</w:t>
      </w:r>
      <w:r w:rsidR="00EA1436">
        <w:rPr>
          <w:rFonts w:ascii="Arial" w:hAnsi="Arial" w:cs="Arial" w:hint="eastAsia"/>
        </w:rPr>
        <w:t xml:space="preserve">s </w:t>
      </w:r>
      <w:r w:rsidR="00EA1436">
        <w:rPr>
          <w:rFonts w:ascii="Arial" w:hAnsi="Arial" w:cs="Arial"/>
        </w:rPr>
        <w:t>integration</w:t>
      </w:r>
      <w:r w:rsidR="00EA1436">
        <w:rPr>
          <w:rFonts w:ascii="Arial" w:hAnsi="Arial" w:cs="Arial" w:hint="eastAsia"/>
        </w:rPr>
        <w:t xml:space="preserve"> of </w:t>
      </w:r>
      <w:r w:rsidR="00EA1436" w:rsidRPr="00EA1436">
        <w:rPr>
          <w:rFonts w:ascii="Arial" w:hAnsi="Arial" w:cs="Arial"/>
        </w:rPr>
        <w:t xml:space="preserve">Sales Navigator and Learning platforms </w:t>
      </w:r>
      <w:r w:rsidR="00EA1436">
        <w:rPr>
          <w:rFonts w:ascii="Arial" w:hAnsi="Arial" w:cs="Arial" w:hint="eastAsia"/>
        </w:rPr>
        <w:t xml:space="preserve">into </w:t>
      </w:r>
      <w:r w:rsidR="00EA1436" w:rsidRPr="00EA1436">
        <w:rPr>
          <w:rFonts w:ascii="Arial" w:hAnsi="Arial" w:cs="Arial"/>
        </w:rPr>
        <w:lastRenderedPageBreak/>
        <w:t>Microsoft’s Office 365 and Dynamics products</w:t>
      </w:r>
      <w:r w:rsidR="00EA1436">
        <w:rPr>
          <w:rFonts w:ascii="Arial" w:hAnsi="Arial" w:cs="Arial" w:hint="eastAsia"/>
        </w:rPr>
        <w:t xml:space="preserve"> </w:t>
      </w:r>
      <w:r w:rsidR="00EA1436" w:rsidRPr="00EA1436">
        <w:rPr>
          <w:rFonts w:ascii="Arial" w:hAnsi="Arial" w:cs="Arial"/>
        </w:rPr>
        <w:t>allowed Microsoft to cross-sell services to enterprise clients,</w:t>
      </w:r>
      <w:r w:rsidR="009D25C4">
        <w:rPr>
          <w:rFonts w:ascii="Arial" w:hAnsi="Arial" w:cs="Arial" w:hint="eastAsia"/>
        </w:rPr>
        <w:t xml:space="preserve"> </w:t>
      </w:r>
      <w:r w:rsidR="009D25C4" w:rsidRPr="009D25C4">
        <w:rPr>
          <w:rFonts w:ascii="Arial" w:hAnsi="Arial" w:cs="Arial"/>
        </w:rPr>
        <w:t>improving customer acquisition efficiency and spreading marketing and sales costs over a broader base</w:t>
      </w:r>
      <w:r w:rsidR="002B292B">
        <w:rPr>
          <w:rFonts w:ascii="Arial" w:hAnsi="Arial" w:cs="Arial" w:hint="eastAsia"/>
        </w:rPr>
        <w:t xml:space="preserve"> (</w:t>
      </w:r>
      <w:r w:rsidR="002B292B" w:rsidRPr="009D25C4">
        <w:rPr>
          <w:rFonts w:ascii="Arial" w:hAnsi="Arial" w:cs="Arial"/>
        </w:rPr>
        <w:t xml:space="preserve">Du, </w:t>
      </w:r>
      <w:r w:rsidR="002B292B">
        <w:rPr>
          <w:rFonts w:ascii="Arial" w:hAnsi="Arial" w:cs="Arial" w:hint="eastAsia"/>
        </w:rPr>
        <w:t>2020)</w:t>
      </w:r>
      <w:r w:rsidR="009D25C4" w:rsidRPr="009D25C4">
        <w:rPr>
          <w:rFonts w:ascii="Arial" w:hAnsi="Arial" w:cs="Arial"/>
        </w:rPr>
        <w:t>.</w:t>
      </w:r>
      <w:r w:rsidR="00823633">
        <w:rPr>
          <w:rFonts w:ascii="Arial" w:hAnsi="Arial" w:cs="Arial" w:hint="eastAsia"/>
        </w:rPr>
        <w:t xml:space="preserve"> The same applies to other </w:t>
      </w:r>
      <w:r w:rsidR="00823633">
        <w:rPr>
          <w:rFonts w:ascii="Arial" w:hAnsi="Arial" w:cs="Arial"/>
        </w:rPr>
        <w:t>Microsoft</w:t>
      </w:r>
      <w:r w:rsidR="00823633" w:rsidRPr="00823633">
        <w:rPr>
          <w:rFonts w:ascii="Arial" w:hAnsi="Arial" w:cs="Arial"/>
        </w:rPr>
        <w:t xml:space="preserve"> </w:t>
      </w:r>
      <w:r w:rsidR="00823633">
        <w:rPr>
          <w:rFonts w:ascii="Arial" w:hAnsi="Arial" w:cs="Arial" w:hint="eastAsia"/>
        </w:rPr>
        <w:t xml:space="preserve">tools utilising </w:t>
      </w:r>
      <w:r w:rsidR="00823633" w:rsidRPr="00823633">
        <w:rPr>
          <w:rFonts w:ascii="Arial" w:hAnsi="Arial" w:cs="Arial"/>
        </w:rPr>
        <w:t>AI and data infrastructure to improve</w:t>
      </w:r>
      <w:r w:rsidR="00823633">
        <w:rPr>
          <w:rFonts w:ascii="Arial" w:hAnsi="Arial" w:cs="Arial" w:hint="eastAsia"/>
        </w:rPr>
        <w:t xml:space="preserve"> </w:t>
      </w:r>
      <w:r w:rsidR="00823633" w:rsidRPr="00823633">
        <w:rPr>
          <w:rFonts w:ascii="Arial" w:hAnsi="Arial" w:cs="Arial"/>
        </w:rPr>
        <w:t>ad targeting and recruitment,</w:t>
      </w:r>
      <w:r w:rsidR="00823633">
        <w:rPr>
          <w:rFonts w:ascii="Arial" w:hAnsi="Arial" w:cs="Arial" w:hint="eastAsia"/>
        </w:rPr>
        <w:t xml:space="preserve"> as LinkedIn both decrease the marginal costs for operation and </w:t>
      </w:r>
      <w:r w:rsidR="00823633">
        <w:rPr>
          <w:rFonts w:ascii="Arial" w:hAnsi="Arial" w:cs="Arial"/>
        </w:rPr>
        <w:t>shares</w:t>
      </w:r>
      <w:r w:rsidR="00823633" w:rsidRPr="00823633">
        <w:rPr>
          <w:rFonts w:ascii="Arial" w:hAnsi="Arial" w:cs="Arial"/>
        </w:rPr>
        <w:t xml:space="preserve"> data insights </w:t>
      </w:r>
      <w:r w:rsidR="002F3EDB">
        <w:rPr>
          <w:rFonts w:ascii="Arial" w:hAnsi="Arial" w:cs="Arial" w:hint="eastAsia"/>
        </w:rPr>
        <w:t xml:space="preserve">as well as functionalities </w:t>
      </w:r>
      <w:r w:rsidR="00823633" w:rsidRPr="00823633">
        <w:rPr>
          <w:rFonts w:ascii="Arial" w:hAnsi="Arial" w:cs="Arial"/>
        </w:rPr>
        <w:t>across platforms</w:t>
      </w:r>
      <w:r w:rsidR="00823633">
        <w:rPr>
          <w:rFonts w:ascii="Arial" w:hAnsi="Arial" w:cs="Arial" w:hint="eastAsia"/>
        </w:rPr>
        <w:t xml:space="preserve"> which</w:t>
      </w:r>
      <w:r w:rsidR="00823633" w:rsidRPr="00823633">
        <w:rPr>
          <w:rFonts w:ascii="Arial" w:hAnsi="Arial" w:cs="Arial"/>
        </w:rPr>
        <w:t xml:space="preserve"> </w:t>
      </w:r>
      <w:r w:rsidR="00823633">
        <w:rPr>
          <w:rFonts w:ascii="Arial" w:hAnsi="Arial" w:cs="Arial"/>
        </w:rPr>
        <w:t>helps</w:t>
      </w:r>
      <w:r w:rsidR="00823633" w:rsidRPr="00823633">
        <w:rPr>
          <w:rFonts w:ascii="Arial" w:hAnsi="Arial" w:cs="Arial"/>
        </w:rPr>
        <w:t xml:space="preserve"> lower customer acquisition </w:t>
      </w:r>
      <w:r w:rsidR="00823633">
        <w:rPr>
          <w:rFonts w:ascii="Arial" w:hAnsi="Arial" w:cs="Arial"/>
        </w:rPr>
        <w:t>costs</w:t>
      </w:r>
      <w:r w:rsidR="00823633" w:rsidRPr="00823633">
        <w:rPr>
          <w:rFonts w:ascii="Arial" w:hAnsi="Arial" w:cs="Arial"/>
        </w:rPr>
        <w:t xml:space="preserve"> and improve retention</w:t>
      </w:r>
      <w:r w:rsidR="00823633">
        <w:rPr>
          <w:rFonts w:ascii="Arial" w:hAnsi="Arial" w:cs="Arial" w:hint="eastAsia"/>
        </w:rPr>
        <w:t>.</w:t>
      </w:r>
      <w:r w:rsidR="00A90EB3">
        <w:rPr>
          <w:rFonts w:ascii="Arial" w:hAnsi="Arial" w:cs="Arial" w:hint="eastAsia"/>
        </w:rPr>
        <w:t xml:space="preserve"> However, as stated in the beginning, </w:t>
      </w:r>
      <w:r w:rsidR="00A90EB3" w:rsidRPr="00A90EB3">
        <w:rPr>
          <w:rFonts w:ascii="Arial" w:hAnsi="Arial" w:cs="Arial"/>
        </w:rPr>
        <w:t>LinkedIn maintained a high-cost structure with aggressive investment in growth and global expansion</w:t>
      </w:r>
      <w:r w:rsidR="005226E8">
        <w:rPr>
          <w:rFonts w:ascii="Arial" w:hAnsi="Arial" w:cs="Arial" w:hint="eastAsia"/>
        </w:rPr>
        <w:t xml:space="preserve"> (</w:t>
      </w:r>
      <w:proofErr w:type="spellStart"/>
      <w:r w:rsidR="005226E8" w:rsidRPr="005226E8">
        <w:rPr>
          <w:rFonts w:ascii="Arial" w:hAnsi="Arial" w:cs="Arial"/>
        </w:rPr>
        <w:t>Filotto</w:t>
      </w:r>
      <w:proofErr w:type="spellEnd"/>
      <w:r w:rsidR="005226E8" w:rsidRPr="005226E8">
        <w:rPr>
          <w:rFonts w:ascii="Arial" w:hAnsi="Arial" w:cs="Arial"/>
        </w:rPr>
        <w:t>,</w:t>
      </w:r>
      <w:r w:rsidR="005226E8">
        <w:rPr>
          <w:rFonts w:ascii="Arial" w:hAnsi="Arial" w:cs="Arial" w:hint="eastAsia"/>
        </w:rPr>
        <w:t xml:space="preserve"> </w:t>
      </w:r>
      <w:proofErr w:type="spellStart"/>
      <w:r w:rsidR="005226E8" w:rsidRPr="005226E8">
        <w:rPr>
          <w:rFonts w:ascii="Arial" w:hAnsi="Arial" w:cs="Arial"/>
        </w:rPr>
        <w:t>Sgrulletti</w:t>
      </w:r>
      <w:proofErr w:type="spellEnd"/>
      <w:r w:rsidR="005226E8">
        <w:rPr>
          <w:rFonts w:ascii="Arial" w:hAnsi="Arial" w:cs="Arial" w:hint="eastAsia"/>
        </w:rPr>
        <w:t xml:space="preserve"> </w:t>
      </w:r>
      <w:r w:rsidR="005226E8" w:rsidRPr="005226E8">
        <w:rPr>
          <w:rFonts w:ascii="Arial" w:hAnsi="Arial" w:cs="Arial"/>
        </w:rPr>
        <w:t>and Stella</w:t>
      </w:r>
      <w:r w:rsidR="005226E8">
        <w:rPr>
          <w:rFonts w:ascii="Arial" w:hAnsi="Arial" w:cs="Arial" w:hint="eastAsia"/>
        </w:rPr>
        <w:t>, 2023)</w:t>
      </w:r>
      <w:r w:rsidR="00A90EB3" w:rsidRPr="00A90EB3">
        <w:rPr>
          <w:rFonts w:ascii="Arial" w:hAnsi="Arial" w:cs="Arial"/>
        </w:rPr>
        <w:t>, which delayed visible cost efficiencies</w:t>
      </w:r>
      <w:r w:rsidR="00A90EB3">
        <w:rPr>
          <w:rFonts w:ascii="Arial" w:hAnsi="Arial" w:cs="Arial" w:hint="eastAsia"/>
        </w:rPr>
        <w:t xml:space="preserve">. Hence, the economy of scale </w:t>
      </w:r>
      <w:r w:rsidR="00A90EB3">
        <w:rPr>
          <w:rFonts w:ascii="Arial" w:hAnsi="Arial" w:cs="Arial"/>
        </w:rPr>
        <w:t>was</w:t>
      </w:r>
      <w:r w:rsidR="00A90EB3">
        <w:rPr>
          <w:rFonts w:ascii="Arial" w:hAnsi="Arial" w:cs="Arial" w:hint="eastAsia"/>
        </w:rPr>
        <w:t xml:space="preserve"> less efficient in profitability than in revenue. </w:t>
      </w:r>
    </w:p>
    <w:p w14:paraId="07769C79" w14:textId="439D00AB" w:rsidR="003C4F7A" w:rsidRDefault="003C4F7A" w:rsidP="003C4F7A">
      <w:pPr>
        <w:ind w:firstLine="720"/>
        <w:jc w:val="both"/>
        <w:rPr>
          <w:rFonts w:ascii="Arial" w:hAnsi="Arial" w:cs="Arial"/>
        </w:rPr>
      </w:pPr>
      <w:r>
        <w:rPr>
          <w:rFonts w:ascii="Arial" w:hAnsi="Arial" w:cs="Arial" w:hint="eastAsia"/>
        </w:rPr>
        <w:t>Overall, t</w:t>
      </w:r>
      <w:r w:rsidRPr="003C4F7A">
        <w:rPr>
          <w:rFonts w:ascii="Arial" w:hAnsi="Arial" w:cs="Arial"/>
        </w:rPr>
        <w:t>he acquisition of LinkedIn significantly influenced Microsoft’s cost structure, with high upfront integration expenses balanced by long-term operational efficiencies and revenue synergies. Through strategic alignment of LinkedIn with Microsoft’s cloud and enterprise offerings, the acquisition has resulted in sustainable cost advantages and enhanced financial performance for Microsoft over time.</w:t>
      </w:r>
    </w:p>
    <w:p w14:paraId="55CE1F6B" w14:textId="70E157F0" w:rsidR="00DA4191" w:rsidRDefault="00DA4191" w:rsidP="00DA4191">
      <w:pPr>
        <w:pStyle w:val="Heading2"/>
        <w:rPr>
          <w:rFonts w:ascii="Arial" w:hAnsi="Arial" w:cs="Arial"/>
          <w:color w:val="auto"/>
          <w:sz w:val="24"/>
          <w:szCs w:val="24"/>
        </w:rPr>
      </w:pPr>
      <w:bookmarkStart w:id="3" w:name="_Toc194703106"/>
      <w:r w:rsidRPr="00DA4191">
        <w:rPr>
          <w:rFonts w:ascii="Arial" w:hAnsi="Arial" w:cs="Arial"/>
          <w:color w:val="auto"/>
          <w:sz w:val="24"/>
          <w:szCs w:val="24"/>
        </w:rPr>
        <w:t>E</w:t>
      </w:r>
      <w:r w:rsidRPr="00DA4191">
        <w:rPr>
          <w:rFonts w:ascii="Arial" w:hAnsi="Arial" w:cs="Arial"/>
          <w:color w:val="auto"/>
          <w:sz w:val="24"/>
          <w:szCs w:val="24"/>
        </w:rPr>
        <w:t xml:space="preserve">xpected </w:t>
      </w:r>
      <w:r w:rsidRPr="00DA4191">
        <w:rPr>
          <w:rFonts w:ascii="Arial" w:hAnsi="Arial" w:cs="Arial"/>
          <w:color w:val="auto"/>
          <w:sz w:val="24"/>
          <w:szCs w:val="24"/>
        </w:rPr>
        <w:t>S</w:t>
      </w:r>
      <w:r w:rsidRPr="00DA4191">
        <w:rPr>
          <w:rFonts w:ascii="Arial" w:hAnsi="Arial" w:cs="Arial"/>
          <w:color w:val="auto"/>
          <w:sz w:val="24"/>
          <w:szCs w:val="24"/>
        </w:rPr>
        <w:t>ynergies</w:t>
      </w:r>
      <w:bookmarkEnd w:id="3"/>
    </w:p>
    <w:p w14:paraId="3069BCC0" w14:textId="0A531EB1" w:rsidR="00DA4191" w:rsidRDefault="00DA4191" w:rsidP="00616AD1">
      <w:pPr>
        <w:jc w:val="both"/>
        <w:rPr>
          <w:rFonts w:ascii="Arial" w:hAnsi="Arial" w:cs="Arial" w:hint="eastAsia"/>
        </w:rPr>
      </w:pPr>
      <w:r>
        <w:tab/>
      </w:r>
      <w:r w:rsidRPr="00616AD1">
        <w:rPr>
          <w:rFonts w:ascii="Arial" w:hAnsi="Arial" w:cs="Arial"/>
        </w:rPr>
        <w:t xml:space="preserve">In addition to improvement in </w:t>
      </w:r>
      <w:r w:rsidR="00616AD1">
        <w:rPr>
          <w:rFonts w:ascii="Arial" w:hAnsi="Arial" w:cs="Arial"/>
        </w:rPr>
        <w:t xml:space="preserve">the </w:t>
      </w:r>
      <w:r w:rsidRPr="00616AD1">
        <w:rPr>
          <w:rFonts w:ascii="Arial" w:hAnsi="Arial" w:cs="Arial"/>
        </w:rPr>
        <w:t xml:space="preserve">efficiency of </w:t>
      </w:r>
      <w:r w:rsidR="00616AD1">
        <w:rPr>
          <w:rFonts w:ascii="Arial" w:hAnsi="Arial" w:cs="Arial"/>
        </w:rPr>
        <w:t>the business</w:t>
      </w:r>
      <w:r w:rsidR="00616AD1">
        <w:rPr>
          <w:rFonts w:ascii="Arial" w:hAnsi="Arial" w:cs="Arial" w:hint="eastAsia"/>
        </w:rPr>
        <w:t>,</w:t>
      </w:r>
      <w:r w:rsidRPr="00616AD1">
        <w:rPr>
          <w:rFonts w:ascii="Arial" w:hAnsi="Arial" w:cs="Arial"/>
        </w:rPr>
        <w:t xml:space="preserve"> </w:t>
      </w:r>
      <w:r w:rsidRPr="00616AD1">
        <w:rPr>
          <w:rFonts w:ascii="Arial" w:hAnsi="Arial" w:cs="Arial"/>
        </w:rPr>
        <w:t>Microsoft projected several key synergies from the LinkedIn acquisition</w:t>
      </w:r>
      <w:r w:rsidR="00616AD1">
        <w:rPr>
          <w:rFonts w:ascii="Arial" w:hAnsi="Arial" w:cs="Arial" w:hint="eastAsia"/>
        </w:rPr>
        <w:t xml:space="preserve">, and the ones </w:t>
      </w:r>
      <w:r w:rsidR="00616AD1">
        <w:rPr>
          <w:rFonts w:ascii="Arial" w:hAnsi="Arial" w:cs="Arial"/>
        </w:rPr>
        <w:t xml:space="preserve">that </w:t>
      </w:r>
      <w:r w:rsidR="00616AD1">
        <w:rPr>
          <w:rFonts w:ascii="Arial" w:hAnsi="Arial" w:cs="Arial" w:hint="eastAsia"/>
        </w:rPr>
        <w:t>will be discussed include</w:t>
      </w:r>
      <w:r w:rsidR="00881D42">
        <w:rPr>
          <w:rFonts w:ascii="Arial" w:hAnsi="Arial" w:cs="Arial" w:hint="eastAsia"/>
        </w:rPr>
        <w:t xml:space="preserve"> the deployment of surplus cash, </w:t>
      </w:r>
      <w:r w:rsidR="005C747F">
        <w:rPr>
          <w:rFonts w:ascii="Arial" w:hAnsi="Arial" w:cs="Arial" w:hint="eastAsia"/>
        </w:rPr>
        <w:t>enhancement of market power</w:t>
      </w:r>
      <w:r w:rsidR="006C2345">
        <w:rPr>
          <w:rFonts w:ascii="Arial" w:hAnsi="Arial" w:cs="Arial" w:hint="eastAsia"/>
        </w:rPr>
        <w:t xml:space="preserve"> and diversification.</w:t>
      </w:r>
    </w:p>
    <w:p w14:paraId="083594E3" w14:textId="0DC8A29A" w:rsidR="00616AD1" w:rsidRPr="005C747F" w:rsidRDefault="00616AD1" w:rsidP="00616AD1">
      <w:pPr>
        <w:pStyle w:val="Subtitle"/>
        <w:rPr>
          <w:rFonts w:ascii="Arial" w:hAnsi="Arial" w:cs="Arial"/>
          <w:color w:val="000000" w:themeColor="text1"/>
          <w:sz w:val="24"/>
          <w:szCs w:val="24"/>
        </w:rPr>
      </w:pPr>
      <w:r w:rsidRPr="005C747F">
        <w:rPr>
          <w:rFonts w:ascii="Arial" w:hAnsi="Arial" w:cs="Arial"/>
          <w:color w:val="000000" w:themeColor="text1"/>
          <w:sz w:val="24"/>
          <w:szCs w:val="24"/>
        </w:rPr>
        <w:t>Surplus cash</w:t>
      </w:r>
    </w:p>
    <w:p w14:paraId="30A99D09" w14:textId="77777777" w:rsidR="005C747F" w:rsidRDefault="00616AD1" w:rsidP="00E763D1">
      <w:pPr>
        <w:ind w:firstLine="720"/>
        <w:jc w:val="both"/>
        <w:rPr>
          <w:rFonts w:ascii="Arial" w:hAnsi="Arial" w:cs="Arial"/>
        </w:rPr>
      </w:pPr>
      <w:r w:rsidRPr="00616AD1">
        <w:rPr>
          <w:rFonts w:ascii="Arial" w:hAnsi="Arial" w:cs="Arial"/>
        </w:rPr>
        <w:lastRenderedPageBreak/>
        <w:t xml:space="preserve">At the time of the acquisition, Microsoft held over $100 billion in cash, much of it held overseas to avoid U.S. repatriation taxes </w:t>
      </w:r>
      <w:r>
        <w:rPr>
          <w:rFonts w:ascii="Arial" w:hAnsi="Arial" w:cs="Arial"/>
        </w:rPr>
        <w:t>before</w:t>
      </w:r>
      <w:r w:rsidRPr="00616AD1">
        <w:rPr>
          <w:rFonts w:ascii="Arial" w:hAnsi="Arial" w:cs="Arial"/>
        </w:rPr>
        <w:t xml:space="preserve"> tax reforms in 2017</w:t>
      </w:r>
      <w:r w:rsidR="008A3EBD">
        <w:rPr>
          <w:rFonts w:ascii="Arial" w:hAnsi="Arial" w:cs="Arial" w:hint="eastAsia"/>
        </w:rPr>
        <w:t xml:space="preserve"> (Microsoft Corporation, 2016)</w:t>
      </w:r>
      <w:r w:rsidRPr="00616AD1">
        <w:rPr>
          <w:rFonts w:ascii="Arial" w:hAnsi="Arial" w:cs="Arial"/>
        </w:rPr>
        <w:t>. The LinkedIn acquisition allowed Microsoft to deploy part of this idle capital in a strategic, growth-oriented investment rather than return it to shareholders or keep it in low-yield investments</w:t>
      </w:r>
      <w:r w:rsidR="000E32B9">
        <w:rPr>
          <w:rFonts w:ascii="Arial" w:hAnsi="Arial" w:cs="Arial" w:hint="eastAsia"/>
        </w:rPr>
        <w:t xml:space="preserve"> since t</w:t>
      </w:r>
      <w:r w:rsidR="000E32B9" w:rsidRPr="000E32B9">
        <w:rPr>
          <w:rFonts w:ascii="Arial" w:hAnsi="Arial" w:cs="Arial"/>
        </w:rPr>
        <w:t>he global environment in 2016 was characterized by historically low interest rates</w:t>
      </w:r>
      <w:r w:rsidR="008A3EBD">
        <w:rPr>
          <w:rFonts w:ascii="Arial" w:hAnsi="Arial" w:cs="Arial" w:hint="eastAsia"/>
        </w:rPr>
        <w:t xml:space="preserve"> (</w:t>
      </w:r>
      <w:proofErr w:type="spellStart"/>
      <w:r w:rsidR="008A3EBD" w:rsidRPr="008A3EBD">
        <w:rPr>
          <w:rFonts w:ascii="Arial" w:hAnsi="Arial" w:cs="Arial"/>
        </w:rPr>
        <w:t>Nurmala</w:t>
      </w:r>
      <w:proofErr w:type="spellEnd"/>
      <w:r w:rsidR="008A3EBD" w:rsidRPr="008A3EBD">
        <w:rPr>
          <w:rFonts w:ascii="Arial" w:hAnsi="Arial" w:cs="Arial"/>
        </w:rPr>
        <w:t>,</w:t>
      </w:r>
      <w:r w:rsidR="008A3EBD">
        <w:rPr>
          <w:rFonts w:ascii="Arial" w:hAnsi="Arial" w:cs="Arial" w:hint="eastAsia"/>
        </w:rPr>
        <w:t xml:space="preserve"> </w:t>
      </w:r>
      <w:proofErr w:type="spellStart"/>
      <w:r w:rsidR="008A3EBD" w:rsidRPr="008A3EBD">
        <w:rPr>
          <w:rFonts w:ascii="Arial" w:hAnsi="Arial" w:cs="Arial"/>
        </w:rPr>
        <w:t>Febianti</w:t>
      </w:r>
      <w:proofErr w:type="spellEnd"/>
      <w:r w:rsidR="008A3EBD">
        <w:rPr>
          <w:rFonts w:ascii="Arial" w:hAnsi="Arial" w:cs="Arial" w:hint="eastAsia"/>
        </w:rPr>
        <w:t xml:space="preserve"> </w:t>
      </w:r>
      <w:r w:rsidR="008A3EBD" w:rsidRPr="008A3EBD">
        <w:rPr>
          <w:rFonts w:ascii="Arial" w:hAnsi="Arial" w:cs="Arial"/>
        </w:rPr>
        <w:t xml:space="preserve">and </w:t>
      </w:r>
      <w:proofErr w:type="spellStart"/>
      <w:r w:rsidR="008A3EBD" w:rsidRPr="008A3EBD">
        <w:rPr>
          <w:rFonts w:ascii="Arial" w:hAnsi="Arial" w:cs="Arial"/>
        </w:rPr>
        <w:t>Adiwibowo</w:t>
      </w:r>
      <w:proofErr w:type="spellEnd"/>
      <w:r w:rsidR="008A3EBD">
        <w:rPr>
          <w:rFonts w:ascii="Arial" w:hAnsi="Arial" w:cs="Arial" w:hint="eastAsia"/>
        </w:rPr>
        <w:t>, 2024)</w:t>
      </w:r>
      <w:r w:rsidR="000E32B9" w:rsidRPr="000E32B9">
        <w:rPr>
          <w:rFonts w:ascii="Arial" w:hAnsi="Arial" w:cs="Arial"/>
        </w:rPr>
        <w:t xml:space="preserve">, making the opportunity cost of deploying cash relatively small. </w:t>
      </w:r>
      <w:r w:rsidR="009B0727" w:rsidRPr="009B0727">
        <w:rPr>
          <w:rFonts w:ascii="Arial" w:hAnsi="Arial" w:cs="Arial"/>
        </w:rPr>
        <w:t>Despite the size of the deal</w:t>
      </w:r>
      <w:r w:rsidR="009B0727">
        <w:rPr>
          <w:rFonts w:ascii="Arial" w:hAnsi="Arial" w:cs="Arial" w:hint="eastAsia"/>
        </w:rPr>
        <w:t xml:space="preserve"> </w:t>
      </w:r>
      <w:r w:rsidR="00637548">
        <w:rPr>
          <w:rFonts w:ascii="Arial" w:hAnsi="Arial" w:cs="Arial"/>
        </w:rPr>
        <w:t>constituting</w:t>
      </w:r>
      <w:r w:rsidR="009B0727">
        <w:rPr>
          <w:rFonts w:ascii="Arial" w:hAnsi="Arial" w:cs="Arial" w:hint="eastAsia"/>
        </w:rPr>
        <w:t xml:space="preserve"> </w:t>
      </w:r>
      <w:r w:rsidR="00637548">
        <w:rPr>
          <w:rFonts w:ascii="Arial" w:hAnsi="Arial" w:cs="Arial"/>
        </w:rPr>
        <w:t>one-third</w:t>
      </w:r>
      <w:r w:rsidR="009B0727">
        <w:rPr>
          <w:rFonts w:ascii="Arial" w:hAnsi="Arial" w:cs="Arial" w:hint="eastAsia"/>
        </w:rPr>
        <w:t xml:space="preserve"> of its </w:t>
      </w:r>
      <w:r w:rsidR="00637548">
        <w:rPr>
          <w:rFonts w:ascii="Arial" w:hAnsi="Arial" w:cs="Arial"/>
        </w:rPr>
        <w:t>overseas</w:t>
      </w:r>
      <w:r w:rsidR="009B0727">
        <w:rPr>
          <w:rFonts w:ascii="Arial" w:hAnsi="Arial" w:cs="Arial" w:hint="eastAsia"/>
        </w:rPr>
        <w:t xml:space="preserve"> cash</w:t>
      </w:r>
      <w:r w:rsidR="009B0727" w:rsidRPr="009B0727">
        <w:rPr>
          <w:rFonts w:ascii="Arial" w:hAnsi="Arial" w:cs="Arial"/>
        </w:rPr>
        <w:t>, Microsoft maintained a strong credit rating and financial stability post-acquisition</w:t>
      </w:r>
      <w:r w:rsidR="009B0727">
        <w:rPr>
          <w:rFonts w:ascii="Arial" w:hAnsi="Arial" w:cs="Arial" w:hint="eastAsia"/>
        </w:rPr>
        <w:t xml:space="preserve"> </w:t>
      </w:r>
      <w:r w:rsidR="00637548">
        <w:rPr>
          <w:rFonts w:ascii="Arial" w:hAnsi="Arial" w:cs="Arial" w:hint="eastAsia"/>
        </w:rPr>
        <w:t>because</w:t>
      </w:r>
      <w:r w:rsidR="009B0727">
        <w:rPr>
          <w:rFonts w:ascii="Arial" w:hAnsi="Arial" w:cs="Arial" w:hint="eastAsia"/>
        </w:rPr>
        <w:t xml:space="preserve"> t</w:t>
      </w:r>
      <w:r w:rsidR="009B0727" w:rsidRPr="009B0727">
        <w:rPr>
          <w:rFonts w:ascii="Arial" w:hAnsi="Arial" w:cs="Arial"/>
        </w:rPr>
        <w:t xml:space="preserve">he use of surplus cash avoided dilution of shares or heavy debt financing, which is generally viewed </w:t>
      </w:r>
      <w:r w:rsidR="009B0727" w:rsidRPr="009B0727">
        <w:rPr>
          <w:rFonts w:ascii="Arial" w:hAnsi="Arial" w:cs="Arial"/>
        </w:rPr>
        <w:t>favourably</w:t>
      </w:r>
      <w:r w:rsidR="009B0727" w:rsidRPr="009B0727">
        <w:rPr>
          <w:rFonts w:ascii="Arial" w:hAnsi="Arial" w:cs="Arial"/>
        </w:rPr>
        <w:t xml:space="preserve"> by shareholders.</w:t>
      </w:r>
      <w:r w:rsidR="00E763D1">
        <w:rPr>
          <w:rFonts w:ascii="Arial" w:hAnsi="Arial" w:cs="Arial" w:hint="eastAsia"/>
        </w:rPr>
        <w:t xml:space="preserve"> </w:t>
      </w:r>
    </w:p>
    <w:p w14:paraId="49AA98CC" w14:textId="1AFC70CB" w:rsidR="00A76A58" w:rsidRDefault="00A76A58" w:rsidP="00E763D1">
      <w:pPr>
        <w:ind w:firstLine="720"/>
        <w:jc w:val="both"/>
        <w:rPr>
          <w:rFonts w:ascii="Arial" w:hAnsi="Arial" w:cs="Arial"/>
        </w:rPr>
      </w:pPr>
      <w:r>
        <w:rPr>
          <w:rFonts w:ascii="Arial" w:hAnsi="Arial" w:cs="Arial" w:hint="eastAsia"/>
        </w:rPr>
        <w:t xml:space="preserve">As </w:t>
      </w:r>
      <w:r>
        <w:rPr>
          <w:rFonts w:ascii="Arial" w:hAnsi="Arial" w:cs="Arial"/>
        </w:rPr>
        <w:t>of</w:t>
      </w:r>
      <w:r>
        <w:rPr>
          <w:rFonts w:ascii="Arial" w:hAnsi="Arial" w:cs="Arial" w:hint="eastAsia"/>
        </w:rPr>
        <w:t xml:space="preserve"> today, both LinkedIn</w:t>
      </w:r>
      <w:r>
        <w:rPr>
          <w:rFonts w:ascii="Arial" w:hAnsi="Arial" w:cs="Arial"/>
        </w:rPr>
        <w:t>’</w:t>
      </w:r>
      <w:r>
        <w:rPr>
          <w:rFonts w:ascii="Arial" w:hAnsi="Arial" w:cs="Arial" w:hint="eastAsia"/>
        </w:rPr>
        <w:t>s revenue and contributions to Microsoft</w:t>
      </w:r>
      <w:r>
        <w:rPr>
          <w:rFonts w:ascii="Arial" w:hAnsi="Arial" w:cs="Arial"/>
        </w:rPr>
        <w:t>’</w:t>
      </w:r>
      <w:r>
        <w:rPr>
          <w:rFonts w:ascii="Arial" w:hAnsi="Arial" w:cs="Arial" w:hint="eastAsia"/>
        </w:rPr>
        <w:t xml:space="preserve">s Productivity and Business Processes segment </w:t>
      </w:r>
      <w:r>
        <w:rPr>
          <w:rFonts w:ascii="Arial" w:hAnsi="Arial" w:cs="Arial"/>
        </w:rPr>
        <w:t>have</w:t>
      </w:r>
      <w:r>
        <w:rPr>
          <w:rFonts w:ascii="Arial" w:hAnsi="Arial" w:cs="Arial" w:hint="eastAsia"/>
        </w:rPr>
        <w:t xml:space="preserve"> grown significantly, while the financial impact of the acquisition on Microsoft is insubstantial. </w:t>
      </w:r>
      <w:r w:rsidRPr="00A76A58">
        <w:rPr>
          <w:rFonts w:ascii="Arial" w:hAnsi="Arial" w:cs="Arial"/>
        </w:rPr>
        <w:t>The deal did not materially affect Microsoft’s liquidity or ability to pursue other strategic investments</w:t>
      </w:r>
      <w:r w:rsidR="00A63061">
        <w:rPr>
          <w:rFonts w:ascii="Arial" w:hAnsi="Arial" w:cs="Arial" w:hint="eastAsia"/>
        </w:rPr>
        <w:t xml:space="preserve"> while </w:t>
      </w:r>
      <w:r w:rsidR="00A63061">
        <w:rPr>
          <w:rFonts w:ascii="Arial" w:hAnsi="Arial" w:cs="Arial"/>
        </w:rPr>
        <w:t>having</w:t>
      </w:r>
      <w:r w:rsidR="00A63061">
        <w:rPr>
          <w:rFonts w:ascii="Arial" w:hAnsi="Arial" w:cs="Arial" w:hint="eastAsia"/>
        </w:rPr>
        <w:t xml:space="preserve"> a </w:t>
      </w:r>
      <w:r w:rsidR="00A63061">
        <w:rPr>
          <w:rFonts w:ascii="Arial" w:hAnsi="Arial" w:cs="Arial"/>
        </w:rPr>
        <w:t>potential</w:t>
      </w:r>
      <w:r w:rsidR="00A63061">
        <w:rPr>
          <w:rFonts w:ascii="Arial" w:hAnsi="Arial" w:cs="Arial" w:hint="eastAsia"/>
        </w:rPr>
        <w:t xml:space="preserve"> </w:t>
      </w:r>
      <w:r w:rsidR="00A63061">
        <w:rPr>
          <w:rFonts w:ascii="Arial" w:hAnsi="Arial" w:cs="Arial"/>
        </w:rPr>
        <w:t>for</w:t>
      </w:r>
      <w:r w:rsidR="00A63061">
        <w:rPr>
          <w:rFonts w:ascii="Arial" w:hAnsi="Arial" w:cs="Arial" w:hint="eastAsia"/>
        </w:rPr>
        <w:t xml:space="preserve"> s</w:t>
      </w:r>
      <w:r w:rsidR="00A63061" w:rsidRPr="00A63061">
        <w:rPr>
          <w:rFonts w:ascii="Arial" w:hAnsi="Arial" w:cs="Arial"/>
        </w:rPr>
        <w:t>trong long-term growth in user base, revenue, and integration into Microsoft’s ecosystem.</w:t>
      </w:r>
      <w:r w:rsidR="006B21DE">
        <w:rPr>
          <w:rFonts w:ascii="Arial" w:hAnsi="Arial" w:cs="Arial" w:hint="eastAsia"/>
        </w:rPr>
        <w:t xml:space="preserve"> In conclusion, t</w:t>
      </w:r>
      <w:r w:rsidR="006B21DE" w:rsidRPr="006B21DE">
        <w:rPr>
          <w:rFonts w:ascii="Arial" w:hAnsi="Arial" w:cs="Arial"/>
        </w:rPr>
        <w:t>he Microsoft-LinkedIn acquisition, financed through surplus cash, can be considered a strategic and financial success</w:t>
      </w:r>
      <w:r w:rsidR="006B21DE">
        <w:rPr>
          <w:rFonts w:ascii="Arial" w:hAnsi="Arial" w:cs="Arial" w:hint="eastAsia"/>
        </w:rPr>
        <w:t xml:space="preserve"> from a cash surplus perspective</w:t>
      </w:r>
      <w:r w:rsidR="006B21DE" w:rsidRPr="006B21DE">
        <w:rPr>
          <w:rFonts w:ascii="Arial" w:hAnsi="Arial" w:cs="Arial"/>
        </w:rPr>
        <w:t>. By allocating cash that would have otherwise earned minimal returns, Microsoft effectively expanded its footprint in enterprise services</w:t>
      </w:r>
      <w:r w:rsidR="006B21DE">
        <w:rPr>
          <w:rFonts w:ascii="Arial" w:hAnsi="Arial" w:cs="Arial" w:hint="eastAsia"/>
        </w:rPr>
        <w:t xml:space="preserve"> </w:t>
      </w:r>
      <w:r w:rsidR="006B21DE" w:rsidRPr="006B21DE">
        <w:rPr>
          <w:rFonts w:ascii="Arial" w:hAnsi="Arial" w:cs="Arial"/>
        </w:rPr>
        <w:t xml:space="preserve">and social networking. LinkedIn has since become a critical pillar of Microsoft’s long-term growth strategy, </w:t>
      </w:r>
      <w:proofErr w:type="spellStart"/>
      <w:r w:rsidR="006B21DE" w:rsidRPr="006B21DE">
        <w:rPr>
          <w:rFonts w:ascii="Arial" w:hAnsi="Arial" w:cs="Arial"/>
        </w:rPr>
        <w:t>deliveri</w:t>
      </w:r>
      <w:r w:rsidR="00913E5A">
        <w:rPr>
          <w:rFonts w:ascii="Arial" w:hAnsi="Arial" w:cs="Arial" w:hint="eastAsia"/>
        </w:rPr>
        <w:t>g</w:t>
      </w:r>
      <w:r w:rsidR="006B21DE" w:rsidRPr="006B21DE">
        <w:rPr>
          <w:rFonts w:ascii="Arial" w:hAnsi="Arial" w:cs="Arial"/>
        </w:rPr>
        <w:t>ng</w:t>
      </w:r>
      <w:proofErr w:type="spellEnd"/>
      <w:r w:rsidR="006B21DE" w:rsidRPr="006B21DE">
        <w:rPr>
          <w:rFonts w:ascii="Arial" w:hAnsi="Arial" w:cs="Arial"/>
        </w:rPr>
        <w:t xml:space="preserve"> substantial returns relative to the initial cash investment.</w:t>
      </w:r>
    </w:p>
    <w:p w14:paraId="098D68D9" w14:textId="4F6C3B38" w:rsidR="005C747F" w:rsidRDefault="005C747F" w:rsidP="005C747F">
      <w:pPr>
        <w:pStyle w:val="Subtitle"/>
        <w:rPr>
          <w:rFonts w:ascii="Arial" w:hAnsi="Arial" w:cs="Arial"/>
          <w:color w:val="000000" w:themeColor="text1"/>
          <w:sz w:val="24"/>
          <w:szCs w:val="24"/>
        </w:rPr>
      </w:pPr>
      <w:r>
        <w:rPr>
          <w:rFonts w:ascii="Arial" w:hAnsi="Arial" w:cs="Arial" w:hint="eastAsia"/>
          <w:color w:val="000000" w:themeColor="text1"/>
          <w:sz w:val="24"/>
          <w:szCs w:val="24"/>
        </w:rPr>
        <w:lastRenderedPageBreak/>
        <w:t>M</w:t>
      </w:r>
      <w:r w:rsidRPr="005C747F">
        <w:rPr>
          <w:rFonts w:ascii="Arial" w:hAnsi="Arial" w:cs="Arial"/>
          <w:color w:val="000000" w:themeColor="text1"/>
          <w:sz w:val="24"/>
          <w:szCs w:val="24"/>
        </w:rPr>
        <w:t>arket power</w:t>
      </w:r>
    </w:p>
    <w:p w14:paraId="382BD48E" w14:textId="77777777" w:rsidR="00EE6EE3" w:rsidRDefault="00913E5A" w:rsidP="00913E5A">
      <w:pPr>
        <w:ind w:firstLine="720"/>
        <w:jc w:val="both"/>
        <w:rPr>
          <w:rFonts w:ascii="Arial" w:hAnsi="Arial" w:cs="Arial"/>
        </w:rPr>
      </w:pPr>
      <w:r w:rsidRPr="00913E5A">
        <w:rPr>
          <w:rFonts w:ascii="Arial" w:hAnsi="Arial" w:cs="Arial" w:hint="eastAsia"/>
        </w:rPr>
        <w:t xml:space="preserve">Both </w:t>
      </w:r>
      <w:r w:rsidRPr="00913E5A">
        <w:rPr>
          <w:rFonts w:ascii="Arial" w:hAnsi="Arial" w:cs="Arial"/>
        </w:rPr>
        <w:t xml:space="preserve">LinkedIn </w:t>
      </w:r>
      <w:r w:rsidRPr="00913E5A">
        <w:rPr>
          <w:rFonts w:ascii="Arial" w:hAnsi="Arial" w:cs="Arial" w:hint="eastAsia"/>
        </w:rPr>
        <w:t xml:space="preserve">and Microsoft </w:t>
      </w:r>
      <w:r w:rsidRPr="00913E5A">
        <w:rPr>
          <w:rFonts w:ascii="Arial" w:hAnsi="Arial" w:cs="Arial"/>
        </w:rPr>
        <w:t>ha</w:t>
      </w:r>
      <w:r w:rsidRPr="00913E5A">
        <w:rPr>
          <w:rFonts w:ascii="Arial" w:hAnsi="Arial" w:cs="Arial" w:hint="eastAsia"/>
        </w:rPr>
        <w:t>ve</w:t>
      </w:r>
      <w:r w:rsidRPr="00913E5A">
        <w:rPr>
          <w:rFonts w:ascii="Arial" w:hAnsi="Arial" w:cs="Arial"/>
        </w:rPr>
        <w:t xml:space="preserve"> solidified </w:t>
      </w:r>
      <w:r w:rsidRPr="00913E5A">
        <w:rPr>
          <w:rFonts w:ascii="Arial" w:hAnsi="Arial" w:cs="Arial" w:hint="eastAsia"/>
        </w:rPr>
        <w:t>their</w:t>
      </w:r>
      <w:r w:rsidRPr="00913E5A">
        <w:rPr>
          <w:rFonts w:ascii="Arial" w:hAnsi="Arial" w:cs="Arial"/>
        </w:rPr>
        <w:t xml:space="preserve"> position as </w:t>
      </w:r>
      <w:r w:rsidRPr="00913E5A">
        <w:rPr>
          <w:rFonts w:ascii="Arial" w:hAnsi="Arial" w:cs="Arial" w:hint="eastAsia"/>
        </w:rPr>
        <w:t xml:space="preserve">either </w:t>
      </w:r>
      <w:r w:rsidRPr="00913E5A">
        <w:rPr>
          <w:rFonts w:ascii="Arial" w:hAnsi="Arial" w:cs="Arial"/>
        </w:rPr>
        <w:t>the leading professional recruitment platform</w:t>
      </w:r>
      <w:r w:rsidRPr="00913E5A">
        <w:rPr>
          <w:rFonts w:ascii="Arial" w:hAnsi="Arial" w:cs="Arial" w:hint="eastAsia"/>
        </w:rPr>
        <w:t xml:space="preserve"> or the diversified </w:t>
      </w:r>
      <w:r w:rsidRPr="00913E5A">
        <w:rPr>
          <w:rFonts w:ascii="Arial" w:hAnsi="Arial" w:cs="Arial"/>
        </w:rPr>
        <w:t>enterprise software</w:t>
      </w:r>
      <w:r w:rsidRPr="00913E5A">
        <w:rPr>
          <w:rFonts w:ascii="Arial" w:hAnsi="Arial" w:cs="Arial" w:hint="eastAsia"/>
        </w:rPr>
        <w:t xml:space="preserve"> package. Microsoft successfully </w:t>
      </w:r>
      <w:r>
        <w:rPr>
          <w:rFonts w:ascii="Arial" w:hAnsi="Arial" w:cs="Arial" w:hint="eastAsia"/>
        </w:rPr>
        <w:t>expanded its ecosystem and s</w:t>
      </w:r>
      <w:r>
        <w:rPr>
          <w:rFonts w:ascii="Arial" w:hAnsi="Arial" w:cs="Arial"/>
        </w:rPr>
        <w:t>trengthened</w:t>
      </w:r>
      <w:r w:rsidRPr="00913E5A">
        <w:rPr>
          <w:rFonts w:ascii="Arial" w:hAnsi="Arial" w:cs="Arial"/>
        </w:rPr>
        <w:t xml:space="preserve"> competitive positioning in </w:t>
      </w:r>
      <w:r>
        <w:rPr>
          <w:rFonts w:ascii="Arial" w:hAnsi="Arial" w:cs="Arial" w:hint="eastAsia"/>
        </w:rPr>
        <w:t>customer relationship management</w:t>
      </w:r>
      <w:r w:rsidRPr="00913E5A">
        <w:rPr>
          <w:rFonts w:ascii="Arial" w:hAnsi="Arial" w:cs="Arial"/>
        </w:rPr>
        <w:t xml:space="preserve"> (against Salesforce), productivity tools (against Google Workspace), and B2B advertising (against Meta and Google)</w:t>
      </w:r>
      <w:r>
        <w:rPr>
          <w:rFonts w:ascii="Arial" w:hAnsi="Arial" w:cs="Arial" w:hint="eastAsia"/>
        </w:rPr>
        <w:t xml:space="preserve"> </w:t>
      </w:r>
      <w:r w:rsidRPr="00913E5A">
        <w:rPr>
          <w:rFonts w:ascii="Arial" w:hAnsi="Arial" w:cs="Arial"/>
        </w:rPr>
        <w:t>by leveraging LinkedIn’s user base and data.</w:t>
      </w:r>
      <w:r>
        <w:rPr>
          <w:rFonts w:ascii="Arial" w:hAnsi="Arial" w:cs="Arial" w:hint="eastAsia"/>
        </w:rPr>
        <w:t xml:space="preserve"> </w:t>
      </w:r>
      <w:r w:rsidRPr="00913E5A">
        <w:rPr>
          <w:rFonts w:ascii="Arial" w:hAnsi="Arial" w:cs="Arial"/>
        </w:rPr>
        <w:t xml:space="preserve">LinkedIn Sales Navigator boosts </w:t>
      </w:r>
      <w:r>
        <w:rPr>
          <w:rFonts w:ascii="Arial" w:hAnsi="Arial" w:cs="Arial"/>
        </w:rPr>
        <w:t xml:space="preserve">the </w:t>
      </w:r>
      <w:r>
        <w:rPr>
          <w:rFonts w:ascii="Arial" w:hAnsi="Arial" w:cs="Arial" w:hint="eastAsia"/>
        </w:rPr>
        <w:t>d</w:t>
      </w:r>
      <w:r w:rsidRPr="00913E5A">
        <w:rPr>
          <w:rFonts w:ascii="Arial" w:hAnsi="Arial" w:cs="Arial"/>
        </w:rPr>
        <w:t xml:space="preserve">ynamics </w:t>
      </w:r>
      <w:r>
        <w:rPr>
          <w:rFonts w:ascii="Arial" w:hAnsi="Arial" w:cs="Arial"/>
        </w:rPr>
        <w:t xml:space="preserve">of </w:t>
      </w:r>
      <w:r>
        <w:rPr>
          <w:rFonts w:ascii="Arial" w:hAnsi="Arial" w:cs="Arial" w:hint="eastAsia"/>
        </w:rPr>
        <w:t>customer relationship management</w:t>
      </w:r>
      <w:r w:rsidRPr="00913E5A">
        <w:rPr>
          <w:rFonts w:ascii="Arial" w:hAnsi="Arial" w:cs="Arial"/>
        </w:rPr>
        <w:t>, directly challenging Salesforce’s dominance</w:t>
      </w:r>
      <w:r>
        <w:rPr>
          <w:rFonts w:ascii="Arial" w:hAnsi="Arial" w:cs="Arial" w:hint="eastAsia"/>
        </w:rPr>
        <w:t xml:space="preserve"> (</w:t>
      </w:r>
      <w:r w:rsidR="00B36CD3" w:rsidRPr="009542AD">
        <w:rPr>
          <w:rFonts w:ascii="Arial" w:hAnsi="Arial" w:cs="Arial"/>
        </w:rPr>
        <w:t>Hutchinson</w:t>
      </w:r>
      <w:r w:rsidR="00B36CD3">
        <w:rPr>
          <w:rFonts w:ascii="Arial" w:hAnsi="Arial" w:cs="Arial" w:hint="eastAsia"/>
        </w:rPr>
        <w:t>, 2023</w:t>
      </w:r>
      <w:r>
        <w:rPr>
          <w:rFonts w:ascii="Arial" w:hAnsi="Arial" w:cs="Arial" w:hint="eastAsia"/>
        </w:rPr>
        <w:t>)</w:t>
      </w:r>
      <w:r w:rsidRPr="00913E5A">
        <w:rPr>
          <w:rFonts w:ascii="Arial" w:hAnsi="Arial" w:cs="Arial"/>
        </w:rPr>
        <w:t>.</w:t>
      </w:r>
      <w:r>
        <w:rPr>
          <w:rFonts w:ascii="Arial" w:hAnsi="Arial" w:cs="Arial" w:hint="eastAsia"/>
        </w:rPr>
        <w:t xml:space="preserve"> On the other hand, LinkedIn </w:t>
      </w:r>
      <w:r>
        <w:rPr>
          <w:rFonts w:ascii="Arial" w:hAnsi="Arial" w:cs="Arial"/>
        </w:rPr>
        <w:t>has</w:t>
      </w:r>
      <w:r>
        <w:rPr>
          <w:rFonts w:ascii="Arial" w:hAnsi="Arial" w:cs="Arial" w:hint="eastAsia"/>
        </w:rPr>
        <w:t xml:space="preserve"> established </w:t>
      </w:r>
      <w:r w:rsidR="002D1135">
        <w:rPr>
          <w:rFonts w:ascii="Arial" w:hAnsi="Arial" w:cs="Arial"/>
        </w:rPr>
        <w:t>its</w:t>
      </w:r>
      <w:r>
        <w:rPr>
          <w:rFonts w:ascii="Arial" w:hAnsi="Arial" w:cs="Arial" w:hint="eastAsia"/>
        </w:rPr>
        <w:t xml:space="preserve"> d</w:t>
      </w:r>
      <w:r w:rsidRPr="00913E5A">
        <w:rPr>
          <w:rFonts w:ascii="Arial" w:hAnsi="Arial" w:cs="Arial"/>
        </w:rPr>
        <w:t xml:space="preserve">ominance in </w:t>
      </w:r>
      <w:r>
        <w:rPr>
          <w:rFonts w:ascii="Arial" w:hAnsi="Arial" w:cs="Arial" w:hint="eastAsia"/>
        </w:rPr>
        <w:t>p</w:t>
      </w:r>
      <w:r w:rsidRPr="00913E5A">
        <w:rPr>
          <w:rFonts w:ascii="Arial" w:hAnsi="Arial" w:cs="Arial"/>
        </w:rPr>
        <w:t xml:space="preserve">rofessional </w:t>
      </w:r>
      <w:r>
        <w:rPr>
          <w:rFonts w:ascii="Arial" w:hAnsi="Arial" w:cs="Arial" w:hint="eastAsia"/>
        </w:rPr>
        <w:t>n</w:t>
      </w:r>
      <w:r w:rsidRPr="00913E5A">
        <w:rPr>
          <w:rFonts w:ascii="Arial" w:hAnsi="Arial" w:cs="Arial"/>
        </w:rPr>
        <w:t>etworking</w:t>
      </w:r>
      <w:r w:rsidR="002D1135">
        <w:rPr>
          <w:rFonts w:ascii="Arial" w:hAnsi="Arial" w:cs="Arial" w:hint="eastAsia"/>
        </w:rPr>
        <w:t xml:space="preserve"> by d</w:t>
      </w:r>
      <w:r w:rsidR="002D1135" w:rsidRPr="002D1135">
        <w:rPr>
          <w:rFonts w:ascii="Arial" w:hAnsi="Arial" w:cs="Arial"/>
        </w:rPr>
        <w:t>eepen</w:t>
      </w:r>
      <w:r w:rsidR="002D1135">
        <w:rPr>
          <w:rFonts w:ascii="Arial" w:hAnsi="Arial" w:cs="Arial" w:hint="eastAsia"/>
        </w:rPr>
        <w:t>ing</w:t>
      </w:r>
      <w:r w:rsidR="002D1135" w:rsidRPr="002D1135">
        <w:rPr>
          <w:rFonts w:ascii="Arial" w:hAnsi="Arial" w:cs="Arial"/>
        </w:rPr>
        <w:t xml:space="preserve"> its presence in enterprise software</w:t>
      </w:r>
      <w:r w:rsidR="002D1135">
        <w:rPr>
          <w:rFonts w:ascii="Arial" w:hAnsi="Arial" w:cs="Arial" w:hint="eastAsia"/>
        </w:rPr>
        <w:t>.</w:t>
      </w:r>
      <w:r w:rsidR="002D1135" w:rsidRPr="002D1135">
        <w:rPr>
          <w:rFonts w:ascii="Arial" w:hAnsi="Arial" w:cs="Arial" w:hint="eastAsia"/>
        </w:rPr>
        <w:t xml:space="preserve"> </w:t>
      </w:r>
      <w:r w:rsidR="002D1135" w:rsidRPr="002D1135">
        <w:rPr>
          <w:rFonts w:ascii="Arial" w:hAnsi="Arial" w:cs="Arial"/>
        </w:rPr>
        <w:t>LinkedIn remains the undisputed leader in professional networking, with over 1 billion members globally as of 2024</w:t>
      </w:r>
      <w:r w:rsidR="002D1135">
        <w:rPr>
          <w:rFonts w:ascii="Arial" w:hAnsi="Arial" w:cs="Arial" w:hint="eastAsia"/>
        </w:rPr>
        <w:t xml:space="preserve"> (</w:t>
      </w:r>
      <w:r w:rsidR="002D1135" w:rsidRPr="002D1135">
        <w:rPr>
          <w:rFonts w:ascii="Arial" w:hAnsi="Arial" w:cs="Arial"/>
        </w:rPr>
        <w:t>Statista Market Insights</w:t>
      </w:r>
      <w:r w:rsidR="002D1135">
        <w:rPr>
          <w:rFonts w:ascii="Arial" w:hAnsi="Arial" w:cs="Arial" w:hint="eastAsia"/>
        </w:rPr>
        <w:t>, 2024)</w:t>
      </w:r>
      <w:r w:rsidR="002D1135" w:rsidRPr="002D1135">
        <w:rPr>
          <w:rFonts w:ascii="Arial" w:hAnsi="Arial" w:cs="Arial"/>
        </w:rPr>
        <w:t>.</w:t>
      </w:r>
      <w:r w:rsidR="00053E27">
        <w:rPr>
          <w:rFonts w:ascii="Arial" w:hAnsi="Arial" w:cs="Arial"/>
        </w:rPr>
        <w:t xml:space="preserve"> </w:t>
      </w:r>
      <w:r w:rsidR="00053E27">
        <w:rPr>
          <w:rFonts w:ascii="Arial" w:hAnsi="Arial" w:cs="Arial" w:hint="eastAsia"/>
        </w:rPr>
        <w:t>LinkedIn</w:t>
      </w:r>
      <w:r w:rsidR="00053E27">
        <w:rPr>
          <w:rFonts w:ascii="Arial" w:hAnsi="Arial" w:cs="Arial"/>
        </w:rPr>
        <w:t>’</w:t>
      </w:r>
      <w:r w:rsidR="00053E27">
        <w:rPr>
          <w:rFonts w:ascii="Arial" w:hAnsi="Arial" w:cs="Arial" w:hint="eastAsia"/>
        </w:rPr>
        <w:t>s</w:t>
      </w:r>
      <w:r w:rsidR="00053E27" w:rsidRPr="00053E27">
        <w:rPr>
          <w:rFonts w:ascii="Arial" w:hAnsi="Arial" w:cs="Arial"/>
        </w:rPr>
        <w:t xml:space="preserve"> exclusivity in this niche gives Microsoft a monopoly-like position in professional identity and career data.</w:t>
      </w:r>
      <w:r w:rsidR="00053E27">
        <w:rPr>
          <w:rFonts w:ascii="Arial" w:hAnsi="Arial" w:cs="Arial" w:hint="eastAsia"/>
        </w:rPr>
        <w:t xml:space="preserve"> </w:t>
      </w:r>
    </w:p>
    <w:p w14:paraId="49821404" w14:textId="5B070A87" w:rsidR="00913E5A" w:rsidRDefault="00053E27" w:rsidP="00913E5A">
      <w:pPr>
        <w:ind w:firstLine="720"/>
        <w:jc w:val="both"/>
        <w:rPr>
          <w:rFonts w:ascii="Arial" w:hAnsi="Arial" w:cs="Arial"/>
        </w:rPr>
      </w:pPr>
      <w:r>
        <w:rPr>
          <w:rFonts w:ascii="Arial" w:hAnsi="Arial" w:cs="Arial" w:hint="eastAsia"/>
        </w:rPr>
        <w:t xml:space="preserve">In addition, </w:t>
      </w:r>
      <w:r w:rsidRPr="00053E27">
        <w:rPr>
          <w:rFonts w:ascii="Arial" w:hAnsi="Arial" w:cs="Arial"/>
        </w:rPr>
        <w:t xml:space="preserve">LinkedIn has grown into a major player in B2B advertising, </w:t>
      </w:r>
      <w:r>
        <w:rPr>
          <w:rFonts w:ascii="Arial" w:hAnsi="Arial" w:cs="Arial" w:hint="eastAsia"/>
        </w:rPr>
        <w:t xml:space="preserve">being </w:t>
      </w:r>
      <w:r w:rsidRPr="00053E27">
        <w:rPr>
          <w:rFonts w:ascii="Arial" w:hAnsi="Arial" w:cs="Arial"/>
        </w:rPr>
        <w:t>recognized for its ability to engage a niche audience effectively, making it suitable for digital advertising aimed at building awareness within specific sectors</w:t>
      </w:r>
      <w:r>
        <w:rPr>
          <w:rFonts w:ascii="Arial" w:hAnsi="Arial" w:cs="Arial" w:hint="eastAsia"/>
        </w:rPr>
        <w:t xml:space="preserve"> and hence, </w:t>
      </w:r>
      <w:r w:rsidRPr="00053E27">
        <w:rPr>
          <w:rFonts w:ascii="Arial" w:hAnsi="Arial" w:cs="Arial"/>
        </w:rPr>
        <w:t>leveraging first</w:t>
      </w:r>
      <w:r>
        <w:rPr>
          <w:rFonts w:ascii="Arial" w:hAnsi="Arial" w:cs="Arial" w:hint="eastAsia"/>
        </w:rPr>
        <w:t xml:space="preserve">hand </w:t>
      </w:r>
      <w:r w:rsidRPr="00053E27">
        <w:rPr>
          <w:rFonts w:ascii="Arial" w:hAnsi="Arial" w:cs="Arial"/>
        </w:rPr>
        <w:t xml:space="preserve">data in a </w:t>
      </w:r>
      <w:r>
        <w:rPr>
          <w:rFonts w:ascii="Arial" w:hAnsi="Arial" w:cs="Arial"/>
        </w:rPr>
        <w:t>privacy-sensitive</w:t>
      </w:r>
      <w:r w:rsidRPr="00053E27">
        <w:rPr>
          <w:rFonts w:ascii="Arial" w:hAnsi="Arial" w:cs="Arial"/>
        </w:rPr>
        <w:t xml:space="preserve"> era</w:t>
      </w:r>
      <w:r w:rsidR="00762318">
        <w:rPr>
          <w:rFonts w:ascii="Arial" w:hAnsi="Arial" w:cs="Arial" w:hint="eastAsia"/>
        </w:rPr>
        <w:t xml:space="preserve"> (</w:t>
      </w:r>
      <w:r w:rsidR="00762318" w:rsidRPr="00F273D7">
        <w:rPr>
          <w:rFonts w:ascii="Arial" w:hAnsi="Arial" w:cs="Arial"/>
        </w:rPr>
        <w:t>Reis, 2018</w:t>
      </w:r>
      <w:r w:rsidR="00762318">
        <w:rPr>
          <w:rFonts w:ascii="Arial" w:hAnsi="Arial" w:cs="Arial" w:hint="eastAsia"/>
        </w:rPr>
        <w:t>)</w:t>
      </w:r>
      <w:r w:rsidRPr="00053E27">
        <w:rPr>
          <w:rFonts w:ascii="Arial" w:hAnsi="Arial" w:cs="Arial"/>
        </w:rPr>
        <w:t>.</w:t>
      </w:r>
      <w:r w:rsidR="00D75EC8">
        <w:rPr>
          <w:rFonts w:ascii="Arial" w:hAnsi="Arial" w:cs="Arial" w:hint="eastAsia"/>
        </w:rPr>
        <w:t xml:space="preserve"> However, a</w:t>
      </w:r>
      <w:r w:rsidR="00D75EC8" w:rsidRPr="00D75EC8">
        <w:rPr>
          <w:rFonts w:ascii="Arial" w:hAnsi="Arial" w:cs="Arial"/>
        </w:rPr>
        <w:t>s Microsoft’s market power grows, especially in data-driven domains, regulatory concerns around competition and data privacy have intensified</w:t>
      </w:r>
      <w:r w:rsidR="00D75EC8">
        <w:rPr>
          <w:rFonts w:ascii="Arial" w:hAnsi="Arial" w:cs="Arial" w:hint="eastAsia"/>
        </w:rPr>
        <w:t xml:space="preserve"> as shown in the next section. Overall, t</w:t>
      </w:r>
      <w:r w:rsidR="00D75EC8" w:rsidRPr="00D75EC8">
        <w:rPr>
          <w:rFonts w:ascii="Arial" w:hAnsi="Arial" w:cs="Arial"/>
        </w:rPr>
        <w:t>he Microsoft-LinkedIn business combination has been largely successful in achieving the goal of increasing market power</w:t>
      </w:r>
      <w:r w:rsidR="00D75EC8">
        <w:rPr>
          <w:rFonts w:ascii="Arial" w:hAnsi="Arial" w:cs="Arial" w:hint="eastAsia"/>
        </w:rPr>
        <w:t xml:space="preserve"> by becoming </w:t>
      </w:r>
      <w:r w:rsidR="00D75EC8" w:rsidRPr="00D75EC8">
        <w:rPr>
          <w:rFonts w:ascii="Arial" w:hAnsi="Arial" w:cs="Arial" w:hint="eastAsia"/>
        </w:rPr>
        <w:t>a</w:t>
      </w:r>
      <w:r w:rsidR="00D75EC8" w:rsidRPr="00D75EC8">
        <w:rPr>
          <w:rFonts w:ascii="Arial" w:hAnsi="Arial" w:cs="Arial"/>
        </w:rPr>
        <w:t xml:space="preserve"> near-monopoly in professional </w:t>
      </w:r>
      <w:r w:rsidR="00D75EC8" w:rsidRPr="00D75EC8">
        <w:rPr>
          <w:rFonts w:ascii="Arial" w:hAnsi="Arial" w:cs="Arial"/>
        </w:rPr>
        <w:lastRenderedPageBreak/>
        <w:t>networking,</w:t>
      </w:r>
      <w:r w:rsidR="00D75EC8">
        <w:rPr>
          <w:rFonts w:ascii="Arial" w:hAnsi="Arial" w:cs="Arial" w:hint="eastAsia"/>
        </w:rPr>
        <w:t xml:space="preserve"> and t</w:t>
      </w:r>
      <w:r w:rsidR="00D75EC8" w:rsidRPr="00D75EC8">
        <w:rPr>
          <w:rFonts w:ascii="Arial" w:hAnsi="Arial" w:cs="Arial"/>
        </w:rPr>
        <w:t>hese outcomes have fortified Microsoft’s ecosystem, making it more difficult for competitors to challenge its dominance across productivity, AI, and business services.</w:t>
      </w:r>
    </w:p>
    <w:p w14:paraId="3C22468F" w14:textId="003D09E7" w:rsidR="006C2345" w:rsidRDefault="006C2345" w:rsidP="006C2345">
      <w:pPr>
        <w:pStyle w:val="Subtitle"/>
        <w:rPr>
          <w:rFonts w:ascii="Arial" w:hAnsi="Arial" w:cs="Arial"/>
          <w:color w:val="000000" w:themeColor="text1"/>
          <w:sz w:val="24"/>
          <w:szCs w:val="24"/>
        </w:rPr>
      </w:pPr>
      <w:r w:rsidRPr="006C2345">
        <w:rPr>
          <w:rFonts w:ascii="Arial" w:hAnsi="Arial" w:cs="Arial" w:hint="eastAsia"/>
          <w:color w:val="000000" w:themeColor="text1"/>
          <w:sz w:val="24"/>
          <w:szCs w:val="24"/>
        </w:rPr>
        <w:t>D</w:t>
      </w:r>
      <w:r w:rsidRPr="006C2345">
        <w:rPr>
          <w:rFonts w:ascii="Arial" w:hAnsi="Arial" w:cs="Arial" w:hint="eastAsia"/>
          <w:color w:val="000000" w:themeColor="text1"/>
          <w:sz w:val="24"/>
          <w:szCs w:val="24"/>
        </w:rPr>
        <w:t>iversification</w:t>
      </w:r>
    </w:p>
    <w:p w14:paraId="34F60E36" w14:textId="3499A810" w:rsidR="006C2345" w:rsidRDefault="006C2345" w:rsidP="006C2345">
      <w:pPr>
        <w:ind w:firstLine="720"/>
        <w:jc w:val="both"/>
        <w:rPr>
          <w:rFonts w:ascii="Arial" w:hAnsi="Arial" w:cs="Arial"/>
        </w:rPr>
      </w:pPr>
      <w:r w:rsidRPr="006C2345">
        <w:rPr>
          <w:rFonts w:ascii="Arial" w:hAnsi="Arial" w:cs="Arial"/>
        </w:rPr>
        <w:t>At the time of the acquisition, Microsoft was undergoing a major strategic transformation under CEO Satya Nadella, with several clear goals for diversification:</w:t>
      </w:r>
      <w:r>
        <w:rPr>
          <w:rFonts w:ascii="Arial" w:hAnsi="Arial" w:cs="Arial" w:hint="eastAsia"/>
        </w:rPr>
        <w:t xml:space="preserve"> e</w:t>
      </w:r>
      <w:r w:rsidRPr="006C2345">
        <w:rPr>
          <w:rFonts w:ascii="Arial" w:hAnsi="Arial" w:cs="Arial"/>
        </w:rPr>
        <w:t xml:space="preserve">xpand into </w:t>
      </w:r>
      <w:r>
        <w:rPr>
          <w:rFonts w:ascii="Arial" w:hAnsi="Arial" w:cs="Arial" w:hint="eastAsia"/>
        </w:rPr>
        <w:t>p</w:t>
      </w:r>
      <w:r w:rsidRPr="006C2345">
        <w:rPr>
          <w:rFonts w:ascii="Arial" w:hAnsi="Arial" w:cs="Arial"/>
        </w:rPr>
        <w:t xml:space="preserve">rofessional </w:t>
      </w:r>
      <w:r>
        <w:rPr>
          <w:rFonts w:ascii="Arial" w:hAnsi="Arial" w:cs="Arial" w:hint="eastAsia"/>
        </w:rPr>
        <w:t>s</w:t>
      </w:r>
      <w:r w:rsidRPr="006C2345">
        <w:rPr>
          <w:rFonts w:ascii="Arial" w:hAnsi="Arial" w:cs="Arial"/>
        </w:rPr>
        <w:t xml:space="preserve">ocial </w:t>
      </w:r>
      <w:r>
        <w:rPr>
          <w:rFonts w:ascii="Arial" w:hAnsi="Arial" w:cs="Arial" w:hint="eastAsia"/>
        </w:rPr>
        <w:t>n</w:t>
      </w:r>
      <w:r w:rsidRPr="006C2345">
        <w:rPr>
          <w:rFonts w:ascii="Arial" w:hAnsi="Arial" w:cs="Arial"/>
        </w:rPr>
        <w:t>etworking</w:t>
      </w:r>
      <w:r>
        <w:rPr>
          <w:rFonts w:ascii="Arial" w:hAnsi="Arial" w:cs="Arial" w:hint="eastAsia"/>
        </w:rPr>
        <w:t>,</w:t>
      </w:r>
      <w:r w:rsidRPr="006C2345">
        <w:rPr>
          <w:rFonts w:ascii="Arial" w:hAnsi="Arial" w:cs="Arial" w:hint="eastAsia"/>
        </w:rPr>
        <w:t xml:space="preserve"> </w:t>
      </w:r>
      <w:r>
        <w:rPr>
          <w:rFonts w:ascii="Arial" w:hAnsi="Arial" w:cs="Arial" w:hint="eastAsia"/>
        </w:rPr>
        <w:t>d</w:t>
      </w:r>
      <w:r w:rsidRPr="006C2345">
        <w:rPr>
          <w:rFonts w:ascii="Arial" w:hAnsi="Arial" w:cs="Arial"/>
        </w:rPr>
        <w:t xml:space="preserve">iversify </w:t>
      </w:r>
      <w:r>
        <w:rPr>
          <w:rFonts w:ascii="Arial" w:hAnsi="Arial" w:cs="Arial" w:hint="eastAsia"/>
        </w:rPr>
        <w:t>r</w:t>
      </w:r>
      <w:r w:rsidRPr="006C2345">
        <w:rPr>
          <w:rFonts w:ascii="Arial" w:hAnsi="Arial" w:cs="Arial"/>
        </w:rPr>
        <w:t xml:space="preserve">evenue </w:t>
      </w:r>
      <w:r>
        <w:rPr>
          <w:rFonts w:ascii="Arial" w:hAnsi="Arial" w:cs="Arial" w:hint="eastAsia"/>
        </w:rPr>
        <w:t>s</w:t>
      </w:r>
      <w:r w:rsidRPr="006C2345">
        <w:rPr>
          <w:rFonts w:ascii="Arial" w:hAnsi="Arial" w:cs="Arial"/>
        </w:rPr>
        <w:t>treams</w:t>
      </w:r>
      <w:r w:rsidRPr="006C2345">
        <w:rPr>
          <w:rFonts w:ascii="Arial" w:hAnsi="Arial" w:cs="Arial" w:hint="eastAsia"/>
        </w:rPr>
        <w:t xml:space="preserve">, </w:t>
      </w:r>
      <w:r>
        <w:rPr>
          <w:rFonts w:ascii="Arial" w:hAnsi="Arial" w:cs="Arial" w:hint="eastAsia"/>
        </w:rPr>
        <w:t>b</w:t>
      </w:r>
      <w:r w:rsidRPr="006C2345">
        <w:rPr>
          <w:rFonts w:ascii="Arial" w:hAnsi="Arial" w:cs="Arial"/>
        </w:rPr>
        <w:t xml:space="preserve">roaden </w:t>
      </w:r>
      <w:r>
        <w:rPr>
          <w:rFonts w:ascii="Arial" w:hAnsi="Arial" w:cs="Arial" w:hint="eastAsia"/>
        </w:rPr>
        <w:t>d</w:t>
      </w:r>
      <w:r w:rsidRPr="006C2345">
        <w:rPr>
          <w:rFonts w:ascii="Arial" w:hAnsi="Arial" w:cs="Arial"/>
        </w:rPr>
        <w:t xml:space="preserve">ata </w:t>
      </w:r>
      <w:r>
        <w:rPr>
          <w:rFonts w:ascii="Arial" w:hAnsi="Arial" w:cs="Arial" w:hint="eastAsia"/>
        </w:rPr>
        <w:t>a</w:t>
      </w:r>
      <w:r w:rsidRPr="006C2345">
        <w:rPr>
          <w:rFonts w:ascii="Arial" w:hAnsi="Arial" w:cs="Arial"/>
        </w:rPr>
        <w:t>ssets</w:t>
      </w:r>
      <w:r w:rsidRPr="006C2345">
        <w:rPr>
          <w:rFonts w:ascii="Arial" w:hAnsi="Arial" w:cs="Arial" w:hint="eastAsia"/>
        </w:rPr>
        <w:t xml:space="preserve"> and </w:t>
      </w:r>
      <w:r>
        <w:rPr>
          <w:rFonts w:ascii="Arial" w:hAnsi="Arial" w:cs="Arial" w:hint="eastAsia"/>
        </w:rPr>
        <w:t>r</w:t>
      </w:r>
      <w:r w:rsidRPr="006C2345">
        <w:rPr>
          <w:rFonts w:ascii="Arial" w:hAnsi="Arial" w:cs="Arial"/>
        </w:rPr>
        <w:t xml:space="preserve">educe </w:t>
      </w:r>
      <w:r>
        <w:rPr>
          <w:rFonts w:ascii="Arial" w:hAnsi="Arial" w:cs="Arial" w:hint="eastAsia"/>
        </w:rPr>
        <w:t>d</w:t>
      </w:r>
      <w:r w:rsidRPr="006C2345">
        <w:rPr>
          <w:rFonts w:ascii="Arial" w:hAnsi="Arial" w:cs="Arial"/>
        </w:rPr>
        <w:t xml:space="preserve">ependency on </w:t>
      </w:r>
      <w:r>
        <w:rPr>
          <w:rFonts w:ascii="Arial" w:hAnsi="Arial" w:cs="Arial" w:hint="eastAsia"/>
        </w:rPr>
        <w:t>c</w:t>
      </w:r>
      <w:r w:rsidRPr="006C2345">
        <w:rPr>
          <w:rFonts w:ascii="Arial" w:hAnsi="Arial" w:cs="Arial"/>
        </w:rPr>
        <w:t xml:space="preserve">ore </w:t>
      </w:r>
      <w:r>
        <w:rPr>
          <w:rFonts w:ascii="Arial" w:hAnsi="Arial" w:cs="Arial" w:hint="eastAsia"/>
        </w:rPr>
        <w:t>s</w:t>
      </w:r>
      <w:r w:rsidRPr="006C2345">
        <w:rPr>
          <w:rFonts w:ascii="Arial" w:hAnsi="Arial" w:cs="Arial"/>
        </w:rPr>
        <w:t xml:space="preserve">oftware </w:t>
      </w:r>
      <w:r>
        <w:rPr>
          <w:rFonts w:ascii="Arial" w:hAnsi="Arial" w:cs="Arial" w:hint="eastAsia"/>
        </w:rPr>
        <w:t>p</w:t>
      </w:r>
      <w:r w:rsidRPr="006C2345">
        <w:rPr>
          <w:rFonts w:ascii="Arial" w:hAnsi="Arial" w:cs="Arial"/>
        </w:rPr>
        <w:t>roducts</w:t>
      </w:r>
      <w:r w:rsidRPr="006C2345">
        <w:rPr>
          <w:rFonts w:ascii="Arial" w:hAnsi="Arial" w:cs="Arial" w:hint="eastAsia"/>
        </w:rPr>
        <w:t xml:space="preserve"> (</w:t>
      </w:r>
      <w:r w:rsidRPr="006C2345">
        <w:rPr>
          <w:rFonts w:ascii="Arial" w:hAnsi="Arial" w:cs="Arial"/>
        </w:rPr>
        <w:t>Wingfield</w:t>
      </w:r>
      <w:r w:rsidRPr="006C2345">
        <w:rPr>
          <w:rFonts w:ascii="Arial" w:hAnsi="Arial" w:cs="Arial" w:hint="eastAsia"/>
        </w:rPr>
        <w:t>, 2016).</w:t>
      </w:r>
      <w:r w:rsidR="00C16D69">
        <w:rPr>
          <w:rFonts w:ascii="Arial" w:hAnsi="Arial" w:cs="Arial" w:hint="eastAsia"/>
        </w:rPr>
        <w:t xml:space="preserve"> The first goal is directly achieved by the acquisition itself, the remaining would be discussed as follows. Firstly, </w:t>
      </w:r>
      <w:r w:rsidR="00C16D69" w:rsidRPr="00C16D69">
        <w:rPr>
          <w:rFonts w:ascii="Arial" w:hAnsi="Arial" w:cs="Arial"/>
        </w:rPr>
        <w:t>LinkedIn’s revenue streams brought new dimensions to Microsoft’s financial model</w:t>
      </w:r>
      <w:r w:rsidR="00C16D69">
        <w:rPr>
          <w:rFonts w:ascii="Arial" w:hAnsi="Arial" w:cs="Arial" w:hint="eastAsia"/>
        </w:rPr>
        <w:t xml:space="preserve"> by providing talent solutions to businesses and, at the same time, </w:t>
      </w:r>
      <w:r w:rsidR="00C16D69">
        <w:rPr>
          <w:rFonts w:ascii="Arial" w:hAnsi="Arial" w:cs="Arial"/>
        </w:rPr>
        <w:t>marketing</w:t>
      </w:r>
      <w:r w:rsidR="00C16D69">
        <w:rPr>
          <w:rFonts w:ascii="Arial" w:hAnsi="Arial" w:cs="Arial" w:hint="eastAsia"/>
        </w:rPr>
        <w:t xml:space="preserve"> solutions to employees. </w:t>
      </w:r>
      <w:r w:rsidR="00DB6527">
        <w:rPr>
          <w:rFonts w:ascii="Arial" w:hAnsi="Arial" w:cs="Arial" w:hint="eastAsia"/>
        </w:rPr>
        <w:t xml:space="preserve">Together with </w:t>
      </w:r>
      <w:r w:rsidR="00C16D69">
        <w:rPr>
          <w:rFonts w:ascii="Arial" w:hAnsi="Arial" w:cs="Arial" w:hint="eastAsia"/>
        </w:rPr>
        <w:t xml:space="preserve">Premium </w:t>
      </w:r>
      <w:r w:rsidR="00DB6527">
        <w:rPr>
          <w:rFonts w:ascii="Arial" w:hAnsi="Arial" w:cs="Arial" w:hint="eastAsia"/>
        </w:rPr>
        <w:t xml:space="preserve">subscriptions and LinkedIn Learning, these </w:t>
      </w:r>
      <w:r w:rsidR="00DB6527" w:rsidRPr="00DB6527">
        <w:rPr>
          <w:rFonts w:ascii="Arial" w:hAnsi="Arial" w:cs="Arial"/>
        </w:rPr>
        <w:t>complemented Microsoft’s existing enterprise offerings but were also independent revenue engines with different growth drivers.</w:t>
      </w:r>
      <w:r w:rsidR="0058117E">
        <w:rPr>
          <w:rFonts w:ascii="Arial" w:hAnsi="Arial" w:cs="Arial" w:hint="eastAsia"/>
        </w:rPr>
        <w:t xml:space="preserve"> </w:t>
      </w:r>
    </w:p>
    <w:p w14:paraId="48468862" w14:textId="63F1877B" w:rsidR="0058117E" w:rsidRPr="006C2345" w:rsidRDefault="0058117E" w:rsidP="006C2345">
      <w:pPr>
        <w:ind w:firstLine="720"/>
        <w:jc w:val="both"/>
        <w:rPr>
          <w:rFonts w:hint="eastAsia"/>
        </w:rPr>
      </w:pPr>
      <w:r>
        <w:rPr>
          <w:rFonts w:ascii="Arial" w:hAnsi="Arial" w:cs="Arial" w:hint="eastAsia"/>
        </w:rPr>
        <w:t xml:space="preserve">At the same time, through </w:t>
      </w:r>
      <w:r w:rsidRPr="0058117E">
        <w:rPr>
          <w:rFonts w:ascii="Arial" w:hAnsi="Arial" w:cs="Arial"/>
        </w:rPr>
        <w:t xml:space="preserve">LinkedIn, Microsoft entered the competitive but profitable B2B digital advertising space, gaining a foothold distinct from consumer-oriented giants </w:t>
      </w:r>
      <w:r>
        <w:rPr>
          <w:rFonts w:ascii="Arial" w:hAnsi="Arial" w:cs="Arial" w:hint="eastAsia"/>
        </w:rPr>
        <w:t>such as</w:t>
      </w:r>
      <w:r w:rsidRPr="0058117E">
        <w:rPr>
          <w:rFonts w:ascii="Arial" w:hAnsi="Arial" w:cs="Arial"/>
        </w:rPr>
        <w:t xml:space="preserve"> Google and Meta.</w:t>
      </w:r>
      <w:r w:rsidR="00E01BA5">
        <w:rPr>
          <w:rFonts w:ascii="Arial" w:hAnsi="Arial" w:cs="Arial" w:hint="eastAsia"/>
        </w:rPr>
        <w:t xml:space="preserve"> </w:t>
      </w:r>
      <w:r w:rsidR="00E01BA5" w:rsidRPr="00E01BA5">
        <w:rPr>
          <w:rFonts w:ascii="Arial" w:hAnsi="Arial" w:cs="Arial"/>
        </w:rPr>
        <w:t xml:space="preserve">This move </w:t>
      </w:r>
      <w:r w:rsidR="00E01BA5">
        <w:rPr>
          <w:rFonts w:ascii="Arial" w:hAnsi="Arial" w:cs="Arial" w:hint="eastAsia"/>
        </w:rPr>
        <w:t xml:space="preserve">provided direct firsthand data to Microsoft and </w:t>
      </w:r>
      <w:r w:rsidR="00E01BA5" w:rsidRPr="00E01BA5">
        <w:rPr>
          <w:rFonts w:ascii="Arial" w:hAnsi="Arial" w:cs="Arial"/>
        </w:rPr>
        <w:t xml:space="preserve">reduced </w:t>
      </w:r>
      <w:r w:rsidR="00E01BA5">
        <w:rPr>
          <w:rFonts w:ascii="Arial" w:hAnsi="Arial" w:cs="Arial"/>
        </w:rPr>
        <w:t>its</w:t>
      </w:r>
      <w:r w:rsidR="00E01BA5" w:rsidRPr="00E01BA5">
        <w:rPr>
          <w:rFonts w:ascii="Arial" w:hAnsi="Arial" w:cs="Arial"/>
        </w:rPr>
        <w:t xml:space="preserve"> dependence on traditional enterprise </w:t>
      </w:r>
      <w:r w:rsidR="00E01BA5" w:rsidRPr="00903D04">
        <w:rPr>
          <w:rFonts w:ascii="Arial" w:hAnsi="Arial" w:cs="Arial"/>
        </w:rPr>
        <w:t>licensing and cloud services.</w:t>
      </w:r>
      <w:r w:rsidR="00903D04" w:rsidRPr="00903D04">
        <w:rPr>
          <w:rFonts w:ascii="Arial" w:hAnsi="Arial" w:cs="Arial" w:hint="eastAsia"/>
        </w:rPr>
        <w:t xml:space="preserve"> </w:t>
      </w:r>
      <w:r w:rsidR="00903D04" w:rsidRPr="00903D04">
        <w:rPr>
          <w:rFonts w:ascii="Arial" w:hAnsi="Arial" w:cs="Arial"/>
        </w:rPr>
        <w:t>Microsoft is now a more vertically integrated player, offering software, networking, education, and recruitment tools in one ecosystem</w:t>
      </w:r>
      <w:r w:rsidR="00903D04" w:rsidRPr="00903D04">
        <w:rPr>
          <w:rFonts w:ascii="Arial" w:hAnsi="Arial" w:cs="Arial" w:hint="eastAsia"/>
        </w:rPr>
        <w:t>. And t</w:t>
      </w:r>
      <w:r w:rsidR="00903D04" w:rsidRPr="00903D04">
        <w:rPr>
          <w:rFonts w:ascii="Arial" w:hAnsi="Arial" w:cs="Arial"/>
        </w:rPr>
        <w:t>he diversified income sources helped Microsoft withstand volatility in other segments, especially during downturns.</w:t>
      </w:r>
      <w:r w:rsidR="008E7EC1">
        <w:rPr>
          <w:rFonts w:ascii="Arial" w:hAnsi="Arial" w:cs="Arial" w:hint="eastAsia"/>
        </w:rPr>
        <w:t xml:space="preserve"> One potential issue could be the brand and </w:t>
      </w:r>
      <w:r w:rsidR="008E7EC1">
        <w:rPr>
          <w:rFonts w:ascii="Arial" w:hAnsi="Arial" w:cs="Arial"/>
        </w:rPr>
        <w:t>integration</w:t>
      </w:r>
      <w:r w:rsidR="008E7EC1">
        <w:rPr>
          <w:rFonts w:ascii="Arial" w:hAnsi="Arial" w:cs="Arial" w:hint="eastAsia"/>
        </w:rPr>
        <w:t xml:space="preserve"> balance while m</w:t>
      </w:r>
      <w:r w:rsidR="008E7EC1" w:rsidRPr="008E7EC1">
        <w:rPr>
          <w:rFonts w:ascii="Arial" w:hAnsi="Arial" w:cs="Arial"/>
        </w:rPr>
        <w:t xml:space="preserve">aintaining LinkedIn’s distinct </w:t>
      </w:r>
      <w:r w:rsidR="008E7EC1" w:rsidRPr="008E7EC1">
        <w:rPr>
          <w:rFonts w:ascii="Arial" w:hAnsi="Arial" w:cs="Arial"/>
        </w:rPr>
        <w:lastRenderedPageBreak/>
        <w:t>brand while achieving integration goals remains an ongoing balancing act.</w:t>
      </w:r>
      <w:r w:rsidR="00A454C8">
        <w:rPr>
          <w:rFonts w:ascii="Arial" w:hAnsi="Arial" w:cs="Arial" w:hint="eastAsia"/>
        </w:rPr>
        <w:t xml:space="preserve"> Overall, t</w:t>
      </w:r>
      <w:r w:rsidR="00A454C8" w:rsidRPr="00A454C8">
        <w:rPr>
          <w:rFonts w:ascii="Arial" w:hAnsi="Arial" w:cs="Arial"/>
        </w:rPr>
        <w:t>he Microsoft-LinkedIn acquisition has largely succeeded in achieving its goal of strategic diversification</w:t>
      </w:r>
      <w:r w:rsidR="00A454C8">
        <w:rPr>
          <w:rFonts w:ascii="Arial" w:hAnsi="Arial" w:cs="Arial" w:hint="eastAsia"/>
        </w:rPr>
        <w:t xml:space="preserve">. </w:t>
      </w:r>
      <w:r w:rsidR="00A454C8" w:rsidRPr="00A454C8">
        <w:rPr>
          <w:rFonts w:ascii="Arial" w:hAnsi="Arial" w:cs="Arial"/>
        </w:rPr>
        <w:t xml:space="preserve">It enabled Microsoft to enter new markets, develop new revenue streams, and broaden its business model beyond traditional software and cloud services. </w:t>
      </w:r>
    </w:p>
    <w:p w14:paraId="1D196D19" w14:textId="157A1E63" w:rsidR="006C2345" w:rsidRDefault="008663EA" w:rsidP="008663EA">
      <w:pPr>
        <w:pStyle w:val="Heading2"/>
        <w:rPr>
          <w:rFonts w:ascii="Arial" w:hAnsi="Arial" w:cs="Arial"/>
          <w:color w:val="000000" w:themeColor="text1"/>
          <w:sz w:val="24"/>
          <w:szCs w:val="24"/>
        </w:rPr>
      </w:pPr>
      <w:bookmarkStart w:id="4" w:name="_Toc194703107"/>
      <w:r w:rsidRPr="008663EA">
        <w:rPr>
          <w:rFonts w:ascii="Arial" w:hAnsi="Arial" w:cs="Arial"/>
          <w:color w:val="000000" w:themeColor="text1"/>
          <w:sz w:val="24"/>
          <w:szCs w:val="24"/>
        </w:rPr>
        <w:t>Impact on regulatory frameworks</w:t>
      </w:r>
      <w:bookmarkEnd w:id="4"/>
    </w:p>
    <w:p w14:paraId="1E5A44BA" w14:textId="022CEE30" w:rsidR="008663EA" w:rsidRDefault="005B3315" w:rsidP="005B3315">
      <w:pPr>
        <w:ind w:firstLine="720"/>
        <w:jc w:val="both"/>
        <w:rPr>
          <w:rFonts w:ascii="Arial" w:hAnsi="Arial" w:cs="Arial"/>
        </w:rPr>
      </w:pPr>
      <w:r w:rsidRPr="005B3315">
        <w:rPr>
          <w:rFonts w:ascii="Arial" w:hAnsi="Arial" w:cs="Arial"/>
        </w:rPr>
        <w:t>The acquisition was subject to regulatory review in multiple major jurisdictions</w:t>
      </w:r>
      <w:r>
        <w:rPr>
          <w:rFonts w:ascii="Arial" w:hAnsi="Arial" w:cs="Arial" w:hint="eastAsia"/>
        </w:rPr>
        <w:t xml:space="preserve">, specifically, the European </w:t>
      </w:r>
      <w:r>
        <w:rPr>
          <w:rFonts w:ascii="Arial" w:hAnsi="Arial" w:cs="Arial"/>
        </w:rPr>
        <w:t>Commission</w:t>
      </w:r>
      <w:r>
        <w:rPr>
          <w:rFonts w:ascii="Arial" w:hAnsi="Arial" w:cs="Arial" w:hint="eastAsia"/>
        </w:rPr>
        <w:t xml:space="preserve"> for European Union (</w:t>
      </w:r>
      <w:r w:rsidRPr="00235839">
        <w:rPr>
          <w:rFonts w:ascii="Arial" w:hAnsi="Arial" w:cs="Arial" w:hint="eastAsia"/>
        </w:rPr>
        <w:t>European</w:t>
      </w:r>
      <w:r>
        <w:rPr>
          <w:rFonts w:ascii="Arial" w:hAnsi="Arial" w:cs="Arial" w:hint="eastAsia"/>
        </w:rPr>
        <w:t xml:space="preserve"> Commission</w:t>
      </w:r>
      <w:r>
        <w:rPr>
          <w:rFonts w:ascii="Arial" w:hAnsi="Arial" w:cs="Arial" w:hint="eastAsia"/>
        </w:rPr>
        <w:t>, 2016)</w:t>
      </w:r>
      <w:r w:rsidR="00F535D1">
        <w:rPr>
          <w:rFonts w:ascii="Arial" w:hAnsi="Arial" w:cs="Arial" w:hint="eastAsia"/>
        </w:rPr>
        <w:t>.</w:t>
      </w:r>
      <w:r w:rsidR="006942EB">
        <w:rPr>
          <w:rFonts w:ascii="Arial" w:hAnsi="Arial" w:cs="Arial" w:hint="eastAsia"/>
        </w:rPr>
        <w:t xml:space="preserve"> </w:t>
      </w:r>
      <w:r w:rsidR="006942EB" w:rsidRPr="006942EB">
        <w:rPr>
          <w:rFonts w:ascii="Arial" w:hAnsi="Arial" w:cs="Arial"/>
        </w:rPr>
        <w:t>The primary regulatory concerns revolved around</w:t>
      </w:r>
      <w:r w:rsidR="006942EB">
        <w:rPr>
          <w:rFonts w:ascii="Arial" w:hAnsi="Arial" w:cs="Arial" w:hint="eastAsia"/>
        </w:rPr>
        <w:t xml:space="preserve"> the m</w:t>
      </w:r>
      <w:r w:rsidR="006942EB" w:rsidRPr="006942EB">
        <w:rPr>
          <w:rFonts w:ascii="Arial" w:hAnsi="Arial" w:cs="Arial"/>
        </w:rPr>
        <w:t xml:space="preserve">arket </w:t>
      </w:r>
      <w:r w:rsidR="006942EB">
        <w:rPr>
          <w:rFonts w:ascii="Arial" w:hAnsi="Arial" w:cs="Arial" w:hint="eastAsia"/>
        </w:rPr>
        <w:t>c</w:t>
      </w:r>
      <w:r w:rsidR="006942EB" w:rsidRPr="006942EB">
        <w:rPr>
          <w:rFonts w:ascii="Arial" w:hAnsi="Arial" w:cs="Arial"/>
        </w:rPr>
        <w:t xml:space="preserve">oncentration and </w:t>
      </w:r>
      <w:r w:rsidR="006942EB">
        <w:rPr>
          <w:rFonts w:ascii="Arial" w:hAnsi="Arial" w:cs="Arial" w:hint="eastAsia"/>
        </w:rPr>
        <w:t>c</w:t>
      </w:r>
      <w:r w:rsidR="006942EB" w:rsidRPr="006942EB">
        <w:rPr>
          <w:rFonts w:ascii="Arial" w:hAnsi="Arial" w:cs="Arial"/>
        </w:rPr>
        <w:t>ompetition</w:t>
      </w:r>
      <w:r w:rsidR="006942EB">
        <w:rPr>
          <w:rFonts w:ascii="Arial" w:hAnsi="Arial" w:cs="Arial" w:hint="eastAsia"/>
        </w:rPr>
        <w:t>, d</w:t>
      </w:r>
      <w:r w:rsidR="006942EB" w:rsidRPr="006942EB">
        <w:rPr>
          <w:rFonts w:ascii="Arial" w:hAnsi="Arial" w:cs="Arial"/>
        </w:rPr>
        <w:t xml:space="preserve">ata </w:t>
      </w:r>
      <w:r w:rsidR="006942EB">
        <w:rPr>
          <w:rFonts w:ascii="Arial" w:hAnsi="Arial" w:cs="Arial" w:hint="eastAsia"/>
        </w:rPr>
        <w:t>p</w:t>
      </w:r>
      <w:r w:rsidR="006942EB" w:rsidRPr="006942EB">
        <w:rPr>
          <w:rFonts w:ascii="Arial" w:hAnsi="Arial" w:cs="Arial"/>
        </w:rPr>
        <w:t xml:space="preserve">rivacy and </w:t>
      </w:r>
      <w:r w:rsidR="006942EB">
        <w:rPr>
          <w:rFonts w:ascii="Arial" w:hAnsi="Arial" w:cs="Arial" w:hint="eastAsia"/>
        </w:rPr>
        <w:t>u</w:t>
      </w:r>
      <w:r w:rsidR="006942EB" w:rsidRPr="006942EB">
        <w:rPr>
          <w:rFonts w:ascii="Arial" w:hAnsi="Arial" w:cs="Arial"/>
        </w:rPr>
        <w:t>se</w:t>
      </w:r>
      <w:r w:rsidR="006942EB">
        <w:rPr>
          <w:rFonts w:ascii="Arial" w:hAnsi="Arial" w:cs="Arial" w:hint="eastAsia"/>
        </w:rPr>
        <w:t>, and b</w:t>
      </w:r>
      <w:r w:rsidR="006942EB" w:rsidRPr="006942EB">
        <w:rPr>
          <w:rFonts w:ascii="Arial" w:hAnsi="Arial" w:cs="Arial"/>
        </w:rPr>
        <w:t xml:space="preserve">undling and </w:t>
      </w:r>
      <w:r w:rsidR="006942EB">
        <w:rPr>
          <w:rFonts w:ascii="Arial" w:hAnsi="Arial" w:cs="Arial" w:hint="eastAsia"/>
        </w:rPr>
        <w:t>p</w:t>
      </w:r>
      <w:r w:rsidR="006942EB" w:rsidRPr="006942EB">
        <w:rPr>
          <w:rFonts w:ascii="Arial" w:hAnsi="Arial" w:cs="Arial"/>
        </w:rPr>
        <w:t xml:space="preserve">referential </w:t>
      </w:r>
      <w:r w:rsidR="006942EB">
        <w:rPr>
          <w:rFonts w:ascii="Arial" w:hAnsi="Arial" w:cs="Arial" w:hint="eastAsia"/>
        </w:rPr>
        <w:t>t</w:t>
      </w:r>
      <w:r w:rsidR="006942EB" w:rsidRPr="006942EB">
        <w:rPr>
          <w:rFonts w:ascii="Arial" w:hAnsi="Arial" w:cs="Arial"/>
        </w:rPr>
        <w:t>reatment</w:t>
      </w:r>
      <w:r w:rsidR="006942EB">
        <w:rPr>
          <w:rFonts w:ascii="Arial" w:hAnsi="Arial" w:cs="Arial" w:hint="eastAsia"/>
        </w:rPr>
        <w:t>. They considered the p</w:t>
      </w:r>
      <w:r w:rsidR="006942EB" w:rsidRPr="006942EB">
        <w:rPr>
          <w:rFonts w:ascii="Arial" w:hAnsi="Arial" w:cs="Arial"/>
        </w:rPr>
        <w:t>otential for Microsoft to abuse its dominant position in productivity software and cloud services</w:t>
      </w:r>
      <w:r w:rsidR="006942EB">
        <w:rPr>
          <w:rFonts w:ascii="Arial" w:hAnsi="Arial" w:cs="Arial" w:hint="eastAsia"/>
        </w:rPr>
        <w:t>, the i</w:t>
      </w:r>
      <w:r w:rsidR="006942EB" w:rsidRPr="006942EB">
        <w:rPr>
          <w:rFonts w:ascii="Arial" w:hAnsi="Arial" w:cs="Arial"/>
        </w:rPr>
        <w:t xml:space="preserve">ntegration of LinkedIn’s data with Microsoft’s existing data ecosystem </w:t>
      </w:r>
      <w:r w:rsidR="006942EB">
        <w:rPr>
          <w:rFonts w:ascii="Arial" w:hAnsi="Arial" w:cs="Arial" w:hint="eastAsia"/>
        </w:rPr>
        <w:t>which could raise</w:t>
      </w:r>
      <w:r w:rsidR="006942EB" w:rsidRPr="006942EB">
        <w:rPr>
          <w:rFonts w:ascii="Arial" w:hAnsi="Arial" w:cs="Arial"/>
        </w:rPr>
        <w:t xml:space="preserve"> red flags related to user privacy and potential for unfair competitive advantage</w:t>
      </w:r>
      <w:r w:rsidR="006942EB">
        <w:rPr>
          <w:rFonts w:ascii="Arial" w:hAnsi="Arial" w:cs="Arial" w:hint="eastAsia"/>
        </w:rPr>
        <w:t>, and the f</w:t>
      </w:r>
      <w:r w:rsidR="006942EB" w:rsidRPr="006942EB">
        <w:rPr>
          <w:rFonts w:ascii="Arial" w:hAnsi="Arial" w:cs="Arial"/>
        </w:rPr>
        <w:t>ears that Microsoft could tie LinkedIn services with Windows or Office products</w:t>
      </w:r>
      <w:r w:rsidR="008A742A">
        <w:rPr>
          <w:rFonts w:ascii="Arial" w:hAnsi="Arial" w:cs="Arial" w:hint="eastAsia"/>
        </w:rPr>
        <w:t xml:space="preserve"> (</w:t>
      </w:r>
      <w:r w:rsidR="008A742A" w:rsidRPr="00235839">
        <w:rPr>
          <w:rFonts w:ascii="Arial" w:hAnsi="Arial" w:cs="Arial" w:hint="eastAsia"/>
        </w:rPr>
        <w:t>European</w:t>
      </w:r>
      <w:r w:rsidR="008A742A">
        <w:rPr>
          <w:rFonts w:ascii="Arial" w:hAnsi="Arial" w:cs="Arial" w:hint="eastAsia"/>
        </w:rPr>
        <w:t xml:space="preserve"> Commission, 2016</w:t>
      </w:r>
      <w:r w:rsidR="008A742A">
        <w:rPr>
          <w:rFonts w:ascii="Arial" w:hAnsi="Arial" w:cs="Arial" w:hint="eastAsia"/>
        </w:rPr>
        <w:t>)</w:t>
      </w:r>
      <w:r w:rsidR="006942EB" w:rsidRPr="006942EB">
        <w:rPr>
          <w:rFonts w:ascii="Arial" w:hAnsi="Arial" w:cs="Arial"/>
        </w:rPr>
        <w:t>.</w:t>
      </w:r>
    </w:p>
    <w:p w14:paraId="7ACA9922" w14:textId="4B9D4678" w:rsidR="00505589" w:rsidRDefault="00505589" w:rsidP="005B3315">
      <w:pPr>
        <w:ind w:firstLine="720"/>
        <w:jc w:val="both"/>
        <w:rPr>
          <w:rFonts w:ascii="Arial" w:hAnsi="Arial" w:cs="Arial"/>
        </w:rPr>
      </w:pPr>
      <w:r>
        <w:rPr>
          <w:rFonts w:ascii="Arial" w:hAnsi="Arial" w:cs="Arial" w:hint="eastAsia"/>
        </w:rPr>
        <w:t xml:space="preserve">As a result, </w:t>
      </w:r>
      <w:r w:rsidRPr="00505589">
        <w:rPr>
          <w:rFonts w:ascii="Arial" w:hAnsi="Arial" w:cs="Arial"/>
        </w:rPr>
        <w:t>Microsoft made a number of concessions,</w:t>
      </w:r>
      <w:r>
        <w:rPr>
          <w:rFonts w:ascii="Arial" w:hAnsi="Arial" w:cs="Arial" w:hint="eastAsia"/>
        </w:rPr>
        <w:t xml:space="preserve"> </w:t>
      </w:r>
      <w:r w:rsidRPr="00505589">
        <w:rPr>
          <w:rFonts w:ascii="Arial" w:hAnsi="Arial" w:cs="Arial"/>
        </w:rPr>
        <w:t>particularly to the European Commission</w:t>
      </w:r>
      <w:r>
        <w:rPr>
          <w:rFonts w:ascii="Arial" w:hAnsi="Arial" w:cs="Arial" w:hint="eastAsia"/>
        </w:rPr>
        <w:t xml:space="preserve"> (2016), including a</w:t>
      </w:r>
      <w:r w:rsidRPr="00505589">
        <w:rPr>
          <w:rFonts w:ascii="Arial" w:hAnsi="Arial" w:cs="Arial"/>
        </w:rPr>
        <w:t>llowing LinkedIn competitors to access Microsoft Office add-ins</w:t>
      </w:r>
      <w:r>
        <w:rPr>
          <w:rFonts w:ascii="Arial" w:hAnsi="Arial" w:cs="Arial" w:hint="eastAsia"/>
        </w:rPr>
        <w:t>, n</w:t>
      </w:r>
      <w:r w:rsidRPr="00505589">
        <w:rPr>
          <w:rFonts w:ascii="Arial" w:hAnsi="Arial" w:cs="Arial"/>
        </w:rPr>
        <w:t>ot requiring OEMs and PC manufacturers to pre-install LinkedIn on Windows</w:t>
      </w:r>
      <w:r>
        <w:rPr>
          <w:rFonts w:ascii="Arial" w:hAnsi="Arial" w:cs="Arial" w:hint="eastAsia"/>
        </w:rPr>
        <w:t>, and n</w:t>
      </w:r>
      <w:r w:rsidRPr="00505589">
        <w:rPr>
          <w:rFonts w:ascii="Arial" w:hAnsi="Arial" w:cs="Arial"/>
        </w:rPr>
        <w:t>ot engaging in exclusive agreements that would limit LinkedIn competitors' access to Microsoft’s platforms.</w:t>
      </w:r>
      <w:r w:rsidR="00FE67BF">
        <w:rPr>
          <w:rFonts w:ascii="Arial" w:hAnsi="Arial" w:cs="Arial" w:hint="eastAsia"/>
        </w:rPr>
        <w:t xml:space="preserve"> </w:t>
      </w:r>
      <w:r w:rsidR="00FE67BF" w:rsidRPr="00FE67BF">
        <w:rPr>
          <w:rFonts w:ascii="Arial" w:hAnsi="Arial" w:cs="Arial"/>
        </w:rPr>
        <w:t>These commitments were set to last for five years and were seen as a measured response to regulatory concerns.</w:t>
      </w:r>
      <w:r w:rsidR="00F35E2A">
        <w:rPr>
          <w:rFonts w:ascii="Arial" w:hAnsi="Arial" w:cs="Arial" w:hint="eastAsia"/>
        </w:rPr>
        <w:t xml:space="preserve"> However, although </w:t>
      </w:r>
      <w:r w:rsidR="00F35E2A" w:rsidRPr="00F35E2A">
        <w:rPr>
          <w:rFonts w:ascii="Arial" w:hAnsi="Arial" w:cs="Arial"/>
        </w:rPr>
        <w:t>Microsoft has maintained compliance with the regulatory obligations imposed at the time of acquisition</w:t>
      </w:r>
      <w:r w:rsidR="00F35E2A">
        <w:rPr>
          <w:rFonts w:ascii="Arial" w:hAnsi="Arial" w:cs="Arial" w:hint="eastAsia"/>
        </w:rPr>
        <w:t xml:space="preserve">, </w:t>
      </w:r>
      <w:r w:rsidR="00F35E2A">
        <w:rPr>
          <w:rFonts w:ascii="Arial" w:hAnsi="Arial" w:cs="Arial" w:hint="eastAsia"/>
        </w:rPr>
        <w:lastRenderedPageBreak/>
        <w:t>n</w:t>
      </w:r>
      <w:r w:rsidR="00F35E2A" w:rsidRPr="00F35E2A">
        <w:rPr>
          <w:rFonts w:ascii="Arial" w:hAnsi="Arial" w:cs="Arial"/>
        </w:rPr>
        <w:t xml:space="preserve">ew regulations such as the </w:t>
      </w:r>
      <w:r w:rsidR="00F35E2A">
        <w:rPr>
          <w:rFonts w:ascii="Arial" w:hAnsi="Arial" w:cs="Arial"/>
        </w:rPr>
        <w:t>Digital Market Act</w:t>
      </w:r>
      <w:r w:rsidR="00F35E2A" w:rsidRPr="00F35E2A">
        <w:rPr>
          <w:rFonts w:ascii="Arial" w:hAnsi="Arial" w:cs="Arial"/>
        </w:rPr>
        <w:t xml:space="preserve"> may impose additional obligations on Microsoft-LinkedIn, especially around data sharing and platform neutrality</w:t>
      </w:r>
      <w:r w:rsidR="00F35E2A">
        <w:rPr>
          <w:rFonts w:ascii="Arial" w:hAnsi="Arial" w:cs="Arial" w:hint="eastAsia"/>
        </w:rPr>
        <w:t xml:space="preserve"> (</w:t>
      </w:r>
      <w:r w:rsidR="00F35E2A" w:rsidRPr="00064A48">
        <w:rPr>
          <w:rFonts w:ascii="Arial" w:hAnsi="Arial" w:cs="Arial"/>
        </w:rPr>
        <w:t>Digital Markets Act</w:t>
      </w:r>
      <w:r w:rsidR="00F35E2A">
        <w:rPr>
          <w:rFonts w:ascii="Arial" w:hAnsi="Arial" w:cs="Arial" w:hint="eastAsia"/>
        </w:rPr>
        <w:t>, 2023).</w:t>
      </w:r>
      <w:r w:rsidR="00EA12FD">
        <w:rPr>
          <w:rFonts w:ascii="Arial" w:hAnsi="Arial" w:cs="Arial" w:hint="eastAsia"/>
        </w:rPr>
        <w:t xml:space="preserve"> </w:t>
      </w:r>
      <w:r w:rsidR="00EA12FD" w:rsidRPr="00EA12FD">
        <w:rPr>
          <w:rFonts w:ascii="Arial" w:hAnsi="Arial" w:cs="Arial"/>
        </w:rPr>
        <w:t>From a regulatory perspective, the Microsoft-LinkedIn acquisition was well-executed, with Microsoft proactively addressing concerns to secure approvals across jurisdictions. Post-acquisition, the firm has remained compliant while achieving key strategic objectives. Although future regulatory frameworks such as the DMA and AI regulations may pose new challenges, the acquisition has proven resilient and beneficial to Microsoft's long-term cloud and productivity strategy.</w:t>
      </w:r>
    </w:p>
    <w:p w14:paraId="63C6E343" w14:textId="2528161E" w:rsidR="000F6339" w:rsidRPr="000F6339" w:rsidRDefault="000F6339" w:rsidP="000F6339">
      <w:pPr>
        <w:pStyle w:val="Heading2"/>
        <w:rPr>
          <w:rFonts w:ascii="Arial" w:hAnsi="Arial" w:cs="Arial" w:hint="eastAsia"/>
          <w:color w:val="000000" w:themeColor="text1"/>
          <w:sz w:val="24"/>
          <w:szCs w:val="24"/>
        </w:rPr>
      </w:pPr>
      <w:bookmarkStart w:id="5" w:name="_Toc194703108"/>
      <w:r w:rsidRPr="000F6339">
        <w:rPr>
          <w:rFonts w:ascii="Arial" w:hAnsi="Arial" w:cs="Arial" w:hint="eastAsia"/>
          <w:color w:val="000000" w:themeColor="text1"/>
          <w:sz w:val="24"/>
          <w:szCs w:val="24"/>
        </w:rPr>
        <w:t>Shareholder Wealth</w:t>
      </w:r>
      <w:bookmarkEnd w:id="5"/>
    </w:p>
    <w:p w14:paraId="2CDACCB1" w14:textId="37E7365B" w:rsidR="00913E5A" w:rsidRDefault="00333966" w:rsidP="00333966">
      <w:pPr>
        <w:ind w:firstLine="720"/>
        <w:jc w:val="both"/>
        <w:rPr>
          <w:rFonts w:ascii="Arial" w:hAnsi="Arial" w:cs="Arial"/>
        </w:rPr>
      </w:pPr>
      <w:r w:rsidRPr="00333966">
        <w:rPr>
          <w:rFonts w:ascii="Arial" w:hAnsi="Arial" w:cs="Arial"/>
        </w:rPr>
        <w:t xml:space="preserve">At the time of the acquisition, there was </w:t>
      </w:r>
      <w:r>
        <w:rPr>
          <w:rFonts w:ascii="Arial" w:hAnsi="Arial" w:cs="Arial"/>
        </w:rPr>
        <w:t>scepticism</w:t>
      </w:r>
      <w:r w:rsidRPr="00333966">
        <w:rPr>
          <w:rFonts w:ascii="Arial" w:hAnsi="Arial" w:cs="Arial"/>
        </w:rPr>
        <w:t xml:space="preserve"> about the high price Microsoft paid for LinkedIn, especially considering LinkedIn's relatively modest revenue </w:t>
      </w:r>
      <w:r>
        <w:rPr>
          <w:rFonts w:ascii="Arial" w:hAnsi="Arial" w:cs="Arial" w:hint="eastAsia"/>
        </w:rPr>
        <w:t xml:space="preserve">($2.99 billion) </w:t>
      </w:r>
      <w:r w:rsidRPr="00333966">
        <w:rPr>
          <w:rFonts w:ascii="Arial" w:hAnsi="Arial" w:cs="Arial"/>
        </w:rPr>
        <w:t xml:space="preserve">and profitability </w:t>
      </w:r>
      <w:r w:rsidR="00481714">
        <w:rPr>
          <w:rFonts w:ascii="Arial" w:hAnsi="Arial" w:cs="Arial" w:hint="eastAsia"/>
        </w:rPr>
        <w:t xml:space="preserve">(losses of $164k) </w:t>
      </w:r>
      <w:r w:rsidRPr="00333966">
        <w:rPr>
          <w:rFonts w:ascii="Arial" w:hAnsi="Arial" w:cs="Arial"/>
        </w:rPr>
        <w:t>profile. However, the long-term value creation has outweighed initial concerns. LinkedIn’s revenue has grown substantially since the acquisition—from around $</w:t>
      </w:r>
      <w:r w:rsidR="00481714">
        <w:rPr>
          <w:rFonts w:ascii="Arial" w:hAnsi="Arial" w:cs="Arial" w:hint="eastAsia"/>
        </w:rPr>
        <w:t>2.99</w:t>
      </w:r>
      <w:r w:rsidRPr="00333966">
        <w:rPr>
          <w:rFonts w:ascii="Arial" w:hAnsi="Arial" w:cs="Arial"/>
        </w:rPr>
        <w:t xml:space="preserve"> billion in 201</w:t>
      </w:r>
      <w:r w:rsidR="00481714">
        <w:rPr>
          <w:rFonts w:ascii="Arial" w:hAnsi="Arial" w:cs="Arial" w:hint="eastAsia"/>
        </w:rPr>
        <w:t>5 (LinkedIn Corporation, 2016)</w:t>
      </w:r>
      <w:r w:rsidRPr="00333966">
        <w:rPr>
          <w:rFonts w:ascii="Arial" w:hAnsi="Arial" w:cs="Arial"/>
        </w:rPr>
        <w:t xml:space="preserve"> to over $15 billion by fiscal year 2024</w:t>
      </w:r>
      <w:r w:rsidR="00481714">
        <w:rPr>
          <w:rFonts w:ascii="Arial" w:hAnsi="Arial" w:cs="Arial" w:hint="eastAsia"/>
        </w:rPr>
        <w:t xml:space="preserve"> (Microsoft Corporation, 2024)</w:t>
      </w:r>
      <w:r w:rsidRPr="00333966">
        <w:rPr>
          <w:rFonts w:ascii="Arial" w:hAnsi="Arial" w:cs="Arial"/>
        </w:rPr>
        <w:t xml:space="preserve">. More importantly, it has transitioned from being a cost </w:t>
      </w:r>
      <w:r w:rsidR="00481714">
        <w:rPr>
          <w:rFonts w:ascii="Arial" w:hAnsi="Arial" w:cs="Arial"/>
        </w:rPr>
        <w:t>centre</w:t>
      </w:r>
      <w:r w:rsidRPr="00333966">
        <w:rPr>
          <w:rFonts w:ascii="Arial" w:hAnsi="Arial" w:cs="Arial"/>
        </w:rPr>
        <w:t xml:space="preserve"> to a profitable and integral part of Microsoft’s broader Productivity and Business Processes segment.</w:t>
      </w:r>
      <w:r w:rsidR="00980429">
        <w:rPr>
          <w:rFonts w:ascii="Arial" w:hAnsi="Arial" w:cs="Arial" w:hint="eastAsia"/>
        </w:rPr>
        <w:t xml:space="preserve"> </w:t>
      </w:r>
      <w:r w:rsidR="00980429" w:rsidRPr="00980429">
        <w:rPr>
          <w:rFonts w:ascii="Arial" w:hAnsi="Arial" w:cs="Arial"/>
        </w:rPr>
        <w:t>This financial growth has contributed directly to Microsoft’s earnings per share, which has consistently increased</w:t>
      </w:r>
      <w:r w:rsidR="00980429">
        <w:rPr>
          <w:rFonts w:ascii="Arial" w:hAnsi="Arial" w:cs="Arial" w:hint="eastAsia"/>
        </w:rPr>
        <w:t xml:space="preserve"> </w:t>
      </w:r>
      <w:r w:rsidR="00980429">
        <w:rPr>
          <w:rFonts w:ascii="Arial" w:hAnsi="Arial" w:cs="Arial"/>
        </w:rPr>
        <w:t xml:space="preserve">by </w:t>
      </w:r>
      <w:r w:rsidR="00980429">
        <w:rPr>
          <w:rFonts w:ascii="Arial" w:hAnsi="Arial" w:cs="Arial" w:hint="eastAsia"/>
        </w:rPr>
        <w:t>about 16%</w:t>
      </w:r>
      <w:r w:rsidR="00980429" w:rsidRPr="00980429">
        <w:rPr>
          <w:rFonts w:ascii="Arial" w:hAnsi="Arial" w:cs="Arial"/>
        </w:rPr>
        <w:t xml:space="preserve"> over the past several years</w:t>
      </w:r>
      <w:r w:rsidR="00980429">
        <w:rPr>
          <w:rFonts w:ascii="Arial" w:hAnsi="Arial" w:cs="Arial" w:hint="eastAsia"/>
        </w:rPr>
        <w:t xml:space="preserve"> (</w:t>
      </w:r>
      <w:r w:rsidR="00980429">
        <w:rPr>
          <w:rFonts w:ascii="Arial" w:hAnsi="Arial" w:cs="Arial" w:hint="eastAsia"/>
        </w:rPr>
        <w:t>Microsoft Corporation, 2024</w:t>
      </w:r>
      <w:r w:rsidR="00980429">
        <w:rPr>
          <w:rFonts w:ascii="Arial" w:hAnsi="Arial" w:cs="Arial" w:hint="eastAsia"/>
        </w:rPr>
        <w:t>)</w:t>
      </w:r>
      <w:r w:rsidR="00980429" w:rsidRPr="00980429">
        <w:rPr>
          <w:rFonts w:ascii="Arial" w:hAnsi="Arial" w:cs="Arial"/>
        </w:rPr>
        <w:t xml:space="preserve">. As LinkedIn became profitable and continued to scale, its margins improved, helping to elevate Microsoft’s overall financial performance. Strong EPS growth is a critical metric </w:t>
      </w:r>
      <w:r w:rsidR="00980429" w:rsidRPr="00980429">
        <w:rPr>
          <w:rFonts w:ascii="Arial" w:hAnsi="Arial" w:cs="Arial"/>
        </w:rPr>
        <w:lastRenderedPageBreak/>
        <w:t>for shareholders, as it often correlates with stock price appreciation and dividend growth</w:t>
      </w:r>
      <w:r w:rsidR="00980429">
        <w:rPr>
          <w:rFonts w:ascii="Arial" w:hAnsi="Arial" w:cs="Arial" w:hint="eastAsia"/>
        </w:rPr>
        <w:t xml:space="preserve"> (</w:t>
      </w:r>
      <w:r w:rsidR="00980429" w:rsidRPr="00980429">
        <w:rPr>
          <w:rFonts w:ascii="Arial" w:hAnsi="Arial" w:cs="Arial"/>
        </w:rPr>
        <w:t>McEnroe</w:t>
      </w:r>
      <w:r w:rsidR="00980429">
        <w:rPr>
          <w:rFonts w:ascii="Arial" w:hAnsi="Arial" w:cs="Arial" w:hint="eastAsia"/>
        </w:rPr>
        <w:t xml:space="preserve"> </w:t>
      </w:r>
      <w:r w:rsidR="00980429" w:rsidRPr="00980429">
        <w:rPr>
          <w:rFonts w:ascii="Arial" w:hAnsi="Arial" w:cs="Arial"/>
        </w:rPr>
        <w:t xml:space="preserve">and Mindak, </w:t>
      </w:r>
      <w:r w:rsidR="00980429">
        <w:rPr>
          <w:rFonts w:ascii="Arial" w:hAnsi="Arial" w:cs="Arial" w:hint="eastAsia"/>
        </w:rPr>
        <w:t>2020).</w:t>
      </w:r>
    </w:p>
    <w:p w14:paraId="36312596" w14:textId="5484BF78" w:rsidR="00980429" w:rsidRDefault="00980429" w:rsidP="00333966">
      <w:pPr>
        <w:ind w:firstLine="720"/>
        <w:jc w:val="both"/>
        <w:rPr>
          <w:rFonts w:ascii="Arial" w:hAnsi="Arial" w:cs="Arial"/>
        </w:rPr>
      </w:pPr>
      <w:r w:rsidRPr="00980429">
        <w:rPr>
          <w:rFonts w:ascii="Arial" w:hAnsi="Arial" w:cs="Arial"/>
        </w:rPr>
        <w:t xml:space="preserve">The most visible impact on shareholder wealth can be observed in Microsoft’s stock performance. In June 2016, when the deal was announced, Microsoft’s stock was trading at approximately $51. As of </w:t>
      </w:r>
      <w:r>
        <w:rPr>
          <w:rFonts w:ascii="Arial" w:hAnsi="Arial" w:cs="Arial" w:hint="eastAsia"/>
        </w:rPr>
        <w:t>December</w:t>
      </w:r>
      <w:r w:rsidRPr="00980429">
        <w:rPr>
          <w:rFonts w:ascii="Arial" w:hAnsi="Arial" w:cs="Arial"/>
        </w:rPr>
        <w:t xml:space="preserve"> 202</w:t>
      </w:r>
      <w:r>
        <w:rPr>
          <w:rFonts w:ascii="Arial" w:hAnsi="Arial" w:cs="Arial" w:hint="eastAsia"/>
        </w:rPr>
        <w:t>4</w:t>
      </w:r>
      <w:r w:rsidRPr="00980429">
        <w:rPr>
          <w:rFonts w:ascii="Arial" w:hAnsi="Arial" w:cs="Arial"/>
        </w:rPr>
        <w:t>, the stock is trading above $42</w:t>
      </w:r>
      <w:r>
        <w:rPr>
          <w:rFonts w:ascii="Arial" w:hAnsi="Arial" w:cs="Arial" w:hint="eastAsia"/>
        </w:rPr>
        <w:t xml:space="preserve">0m, </w:t>
      </w:r>
      <w:r w:rsidRPr="00980429">
        <w:rPr>
          <w:rFonts w:ascii="Arial" w:hAnsi="Arial" w:cs="Arial"/>
        </w:rPr>
        <w:t>an increase of over 700%</w:t>
      </w:r>
      <w:r>
        <w:rPr>
          <w:rFonts w:ascii="Arial" w:hAnsi="Arial" w:cs="Arial" w:hint="eastAsia"/>
        </w:rPr>
        <w:t xml:space="preserve"> </w:t>
      </w:r>
      <w:r>
        <w:rPr>
          <w:rFonts w:ascii="Arial" w:hAnsi="Arial" w:cs="Arial" w:hint="eastAsia"/>
        </w:rPr>
        <w:t>(Microsoft Corporation, 2024)</w:t>
      </w:r>
      <w:r w:rsidRPr="00980429">
        <w:rPr>
          <w:rFonts w:ascii="Arial" w:hAnsi="Arial" w:cs="Arial"/>
        </w:rPr>
        <w:t>. While multiple factors have contributed to this growt</w:t>
      </w:r>
      <w:r w:rsidR="005319CE">
        <w:rPr>
          <w:rFonts w:ascii="Arial" w:hAnsi="Arial" w:cs="Arial" w:hint="eastAsia"/>
        </w:rPr>
        <w:t xml:space="preserve">h, </w:t>
      </w:r>
      <w:r w:rsidRPr="00980429">
        <w:rPr>
          <w:rFonts w:ascii="Arial" w:hAnsi="Arial" w:cs="Arial"/>
        </w:rPr>
        <w:t>such as the expansion of Azure and the rise of AI capabilitie</w:t>
      </w:r>
      <w:r w:rsidR="005319CE">
        <w:rPr>
          <w:rFonts w:ascii="Arial" w:hAnsi="Arial" w:cs="Arial" w:hint="eastAsia"/>
        </w:rPr>
        <w:t xml:space="preserve">s, </w:t>
      </w:r>
      <w:r w:rsidRPr="00980429">
        <w:rPr>
          <w:rFonts w:ascii="Arial" w:hAnsi="Arial" w:cs="Arial"/>
        </w:rPr>
        <w:t>the LinkedIn acquisition played a key role in strengthening Microsoft’s ecosystem, brand, and long-term growth potential. This ecosystem effect has translated into a competitive moat that enhances investor confidence and supports long-term value</w:t>
      </w:r>
      <w:r w:rsidR="00D10B21">
        <w:rPr>
          <w:rFonts w:ascii="Arial" w:hAnsi="Arial" w:cs="Arial" w:hint="eastAsia"/>
        </w:rPr>
        <w:t xml:space="preserve"> (</w:t>
      </w:r>
      <w:r w:rsidR="00D10B21" w:rsidRPr="006C066A">
        <w:rPr>
          <w:rFonts w:ascii="Arial" w:hAnsi="Arial" w:cs="Arial"/>
        </w:rPr>
        <w:t>Bloomberg</w:t>
      </w:r>
      <w:r w:rsidR="00D10B21">
        <w:rPr>
          <w:rFonts w:ascii="Arial" w:hAnsi="Arial" w:cs="Arial" w:hint="eastAsia"/>
        </w:rPr>
        <w:t>, 2018)</w:t>
      </w:r>
      <w:r w:rsidRPr="00980429">
        <w:rPr>
          <w:rFonts w:ascii="Arial" w:hAnsi="Arial" w:cs="Arial"/>
        </w:rPr>
        <w:t>.</w:t>
      </w:r>
    </w:p>
    <w:p w14:paraId="506CBC8B" w14:textId="3768FCB5" w:rsidR="008222CF" w:rsidRDefault="008222CF" w:rsidP="00333966">
      <w:pPr>
        <w:ind w:firstLine="720"/>
        <w:jc w:val="both"/>
        <w:rPr>
          <w:rFonts w:ascii="Arial" w:hAnsi="Arial" w:cs="Arial"/>
        </w:rPr>
      </w:pPr>
      <w:r w:rsidRPr="008222CF">
        <w:rPr>
          <w:rFonts w:ascii="Arial" w:hAnsi="Arial" w:cs="Arial"/>
        </w:rPr>
        <w:t xml:space="preserve">Additionally, the acquisition brought about intangible benefits that indirectly </w:t>
      </w:r>
      <w:r>
        <w:rPr>
          <w:rFonts w:ascii="Arial" w:hAnsi="Arial" w:cs="Arial" w:hint="eastAsia"/>
        </w:rPr>
        <w:t>increased</w:t>
      </w:r>
      <w:r w:rsidRPr="008222CF">
        <w:rPr>
          <w:rFonts w:ascii="Arial" w:hAnsi="Arial" w:cs="Arial"/>
        </w:rPr>
        <w:t xml:space="preserve"> shareholder wealth. LinkedIn’s vast professional network of over one billion users provided Microsoft with unique data advantages. These insights have been used to enrich products like Dynamics 365 and Office 365, improving customer retention and upsell opportunities.</w:t>
      </w:r>
      <w:r w:rsidR="001351C6">
        <w:rPr>
          <w:rFonts w:ascii="Arial" w:hAnsi="Arial" w:cs="Arial" w:hint="eastAsia"/>
        </w:rPr>
        <w:t xml:space="preserve"> I</w:t>
      </w:r>
      <w:r w:rsidRPr="008222CF">
        <w:rPr>
          <w:rFonts w:ascii="Arial" w:hAnsi="Arial" w:cs="Arial"/>
        </w:rPr>
        <w:t xml:space="preserve">ntegrations with Microsoft Teams and Outlook deepened user engagement across platforms, creating synergies that continue to unlock </w:t>
      </w:r>
      <w:r w:rsidR="00A11B9B" w:rsidRPr="008222CF">
        <w:rPr>
          <w:rFonts w:ascii="Arial" w:hAnsi="Arial" w:cs="Arial"/>
        </w:rPr>
        <w:t>value,</w:t>
      </w:r>
      <w:r w:rsidR="001351C6">
        <w:rPr>
          <w:rFonts w:ascii="Arial" w:hAnsi="Arial" w:cs="Arial" w:hint="eastAsia"/>
        </w:rPr>
        <w:t xml:space="preserve"> and</w:t>
      </w:r>
      <w:r w:rsidRPr="008222CF">
        <w:rPr>
          <w:rFonts w:ascii="Arial" w:hAnsi="Arial" w:cs="Arial"/>
        </w:rPr>
        <w:t xml:space="preserve"> the deal demonstrated strong capital allocation discipline. Microsoft used its ample cash reserves rather than issuing equity, avoiding shareholder dilution. The acquisition has also generated a return on invested capital that exceeds Microsoft’s cost of capital</w:t>
      </w:r>
      <w:r w:rsidR="00DE156F">
        <w:rPr>
          <w:rFonts w:ascii="Arial" w:hAnsi="Arial" w:cs="Arial" w:hint="eastAsia"/>
        </w:rPr>
        <w:t xml:space="preserve">, which is </w:t>
      </w:r>
      <w:r w:rsidRPr="008222CF">
        <w:rPr>
          <w:rFonts w:ascii="Arial" w:hAnsi="Arial" w:cs="Arial"/>
        </w:rPr>
        <w:t>an important indicator that the deal created economic value</w:t>
      </w:r>
      <w:r w:rsidR="005D086A">
        <w:rPr>
          <w:rFonts w:ascii="Arial" w:hAnsi="Arial" w:cs="Arial" w:hint="eastAsia"/>
        </w:rPr>
        <w:t xml:space="preserve"> (</w:t>
      </w:r>
      <w:r w:rsidR="005D086A" w:rsidRPr="005D086A">
        <w:rPr>
          <w:rFonts w:ascii="Arial" w:hAnsi="Arial" w:cs="Arial"/>
        </w:rPr>
        <w:t xml:space="preserve">Green, </w:t>
      </w:r>
      <w:r w:rsidR="005D086A">
        <w:rPr>
          <w:rFonts w:ascii="Arial" w:hAnsi="Arial" w:cs="Arial" w:hint="eastAsia"/>
        </w:rPr>
        <w:t>2020)</w:t>
      </w:r>
      <w:r w:rsidRPr="008222CF">
        <w:rPr>
          <w:rFonts w:ascii="Arial" w:hAnsi="Arial" w:cs="Arial"/>
        </w:rPr>
        <w:t>.</w:t>
      </w:r>
    </w:p>
    <w:p w14:paraId="264508D6" w14:textId="76C16260" w:rsidR="00DA4191" w:rsidRDefault="00421600" w:rsidP="005D086A">
      <w:pPr>
        <w:ind w:firstLine="720"/>
        <w:jc w:val="both"/>
        <w:rPr>
          <w:rFonts w:ascii="Arial" w:hAnsi="Arial" w:cs="Arial"/>
        </w:rPr>
      </w:pPr>
      <w:r>
        <w:rPr>
          <w:rFonts w:ascii="Arial" w:hAnsi="Arial" w:cs="Arial" w:hint="eastAsia"/>
        </w:rPr>
        <w:lastRenderedPageBreak/>
        <w:t xml:space="preserve">Overall, </w:t>
      </w:r>
      <w:r w:rsidRPr="00421600">
        <w:rPr>
          <w:rFonts w:ascii="Arial" w:hAnsi="Arial" w:cs="Arial"/>
        </w:rPr>
        <w:t>the Microsoft-LinkedIn acquisition has significantly enhanced shareholder wealth.</w:t>
      </w:r>
      <w:r>
        <w:rPr>
          <w:rFonts w:ascii="Arial" w:hAnsi="Arial" w:cs="Arial" w:hint="eastAsia"/>
        </w:rPr>
        <w:t xml:space="preserve"> </w:t>
      </w:r>
      <w:r w:rsidRPr="00421600">
        <w:rPr>
          <w:rFonts w:ascii="Arial" w:hAnsi="Arial" w:cs="Arial"/>
        </w:rPr>
        <w:t>Through revenue growth, improved profitability, synergies, and a dramatic rise in stock price, the deal has delivered tangible and sustained value to investors. It stands as a prime example of how a strategic acquisition, if well-executed, can serve as a powerful driver of long-term shareholder returns.</w:t>
      </w:r>
    </w:p>
    <w:p w14:paraId="2612B7F2" w14:textId="47B545BA" w:rsidR="005D086A" w:rsidRDefault="005D086A">
      <w:pPr>
        <w:spacing w:line="278" w:lineRule="auto"/>
        <w:rPr>
          <w:rFonts w:ascii="Arial" w:hAnsi="Arial" w:cs="Arial"/>
        </w:rPr>
      </w:pPr>
      <w:r>
        <w:rPr>
          <w:rFonts w:ascii="Arial" w:hAnsi="Arial" w:cs="Arial"/>
        </w:rPr>
        <w:br w:type="page"/>
      </w:r>
    </w:p>
    <w:p w14:paraId="2CC3A9EF" w14:textId="44C2C6FF" w:rsidR="00D76A29" w:rsidRDefault="00D76A29" w:rsidP="00D76A29">
      <w:pPr>
        <w:pStyle w:val="Heading1"/>
        <w:rPr>
          <w:rFonts w:ascii="Arial" w:hAnsi="Arial" w:cs="Arial"/>
          <w:color w:val="auto"/>
          <w:sz w:val="24"/>
          <w:szCs w:val="24"/>
        </w:rPr>
      </w:pPr>
      <w:bookmarkStart w:id="6" w:name="_Toc194703109"/>
      <w:r w:rsidRPr="00D76A29">
        <w:rPr>
          <w:rFonts w:ascii="Arial" w:hAnsi="Arial" w:cs="Arial"/>
          <w:color w:val="auto"/>
          <w:sz w:val="24"/>
          <w:szCs w:val="24"/>
        </w:rPr>
        <w:lastRenderedPageBreak/>
        <w:t>Conclusion</w:t>
      </w:r>
      <w:bookmarkEnd w:id="6"/>
    </w:p>
    <w:p w14:paraId="2C4DB549" w14:textId="72341476" w:rsidR="005D086A" w:rsidRPr="005D086A" w:rsidRDefault="005D086A" w:rsidP="00B50065">
      <w:pPr>
        <w:ind w:firstLine="720"/>
        <w:jc w:val="both"/>
        <w:rPr>
          <w:rFonts w:ascii="Arial" w:hAnsi="Arial" w:cs="Arial"/>
        </w:rPr>
      </w:pPr>
      <w:r w:rsidRPr="005D086A">
        <w:rPr>
          <w:rFonts w:ascii="Arial" w:hAnsi="Arial" w:cs="Arial"/>
        </w:rPr>
        <w:t xml:space="preserve">The acquisition of LinkedIn by Microsoft in 2016, valued at $26.2 billion, has proven to be a strategically sound and financially successful decision over the long term. While initially met with </w:t>
      </w:r>
      <w:proofErr w:type="spellStart"/>
      <w:r w:rsidRPr="005D086A">
        <w:rPr>
          <w:rFonts w:ascii="Arial" w:hAnsi="Arial" w:cs="Arial"/>
        </w:rPr>
        <w:t>skepticism</w:t>
      </w:r>
      <w:proofErr w:type="spellEnd"/>
      <w:r w:rsidRPr="005D086A">
        <w:rPr>
          <w:rFonts w:ascii="Arial" w:hAnsi="Arial" w:cs="Arial"/>
        </w:rPr>
        <w:t xml:space="preserve"> due to LinkedIn’s modest profitability and the premium paid, the deal has resulted in meaningful improvements across Microsoft’s cost structure, operational efficiency, and market positioning. Integration of LinkedIn’s professional network with Microsoft’s cloud and productivity tools has generated measurable synergies, enabling both platforms to enhance user engagement and streamline business operations.</w:t>
      </w:r>
      <w:r w:rsidR="00B50065">
        <w:rPr>
          <w:rFonts w:ascii="Arial" w:hAnsi="Arial" w:cs="Arial" w:hint="eastAsia"/>
        </w:rPr>
        <w:t xml:space="preserve"> </w:t>
      </w:r>
      <w:r w:rsidRPr="005D086A">
        <w:rPr>
          <w:rFonts w:ascii="Arial" w:hAnsi="Arial" w:cs="Arial"/>
        </w:rPr>
        <w:t>From a financial perspective, LinkedIn’s revenue growth has been substantial, supported by economies of scale, cross-platform integration, and aggressive investment in product development. Though cost efficiency gains were delayed by LinkedIn’s growth-focused strategy, the long-term benefits</w:t>
      </w:r>
      <w:r w:rsidR="00B50065">
        <w:rPr>
          <w:rFonts w:ascii="Arial" w:hAnsi="Arial" w:cs="Arial" w:hint="eastAsia"/>
        </w:rPr>
        <w:t xml:space="preserve">, </w:t>
      </w:r>
      <w:r w:rsidRPr="005D086A">
        <w:rPr>
          <w:rFonts w:ascii="Arial" w:hAnsi="Arial" w:cs="Arial"/>
        </w:rPr>
        <w:t>including diversified income streams, expanded market power, and deeper data capabilities</w:t>
      </w:r>
      <w:r w:rsidR="00B50065">
        <w:rPr>
          <w:rFonts w:ascii="Arial" w:hAnsi="Arial" w:cs="Arial" w:hint="eastAsia"/>
        </w:rPr>
        <w:t xml:space="preserve">, </w:t>
      </w:r>
      <w:r w:rsidRPr="005D086A">
        <w:rPr>
          <w:rFonts w:ascii="Arial" w:hAnsi="Arial" w:cs="Arial"/>
        </w:rPr>
        <w:t>have far outweighed the initial investment. Microsoft’s strategic use of surplus overseas cash to fund the acquisition also minimized financial risk and preserved shareholder value.</w:t>
      </w:r>
    </w:p>
    <w:p w14:paraId="299665AE" w14:textId="51657102" w:rsidR="005D086A" w:rsidRPr="005D086A" w:rsidRDefault="00B50065" w:rsidP="00F70679">
      <w:pPr>
        <w:jc w:val="both"/>
        <w:rPr>
          <w:rFonts w:ascii="Arial" w:hAnsi="Arial" w:cs="Arial"/>
        </w:rPr>
      </w:pPr>
      <w:r>
        <w:rPr>
          <w:rFonts w:ascii="Arial" w:hAnsi="Arial" w:cs="Arial" w:hint="eastAsia"/>
        </w:rPr>
        <w:t>In addition</w:t>
      </w:r>
      <w:r w:rsidR="005D086A" w:rsidRPr="005D086A">
        <w:rPr>
          <w:rFonts w:ascii="Arial" w:hAnsi="Arial" w:cs="Arial"/>
        </w:rPr>
        <w:t>, the acquisition has enabled Microsoft to strengthen its ecosystem, diversify beyond traditional software products, and become a more vertically integrated player across enterprise services. Regulatory concerns were proactively addressed through concessions and ongoing compliance, allowing Microsoft to navigate evolving legal frameworks effectively.</w:t>
      </w:r>
      <w:r>
        <w:rPr>
          <w:rFonts w:ascii="Arial" w:hAnsi="Arial" w:cs="Arial" w:hint="eastAsia"/>
        </w:rPr>
        <w:t xml:space="preserve"> T</w:t>
      </w:r>
      <w:r w:rsidR="005D086A" w:rsidRPr="005D086A">
        <w:rPr>
          <w:rFonts w:ascii="Arial" w:hAnsi="Arial" w:cs="Arial"/>
        </w:rPr>
        <w:t xml:space="preserve">he acquisition has </w:t>
      </w:r>
      <w:r>
        <w:rPr>
          <w:rFonts w:ascii="Arial" w:hAnsi="Arial" w:cs="Arial" w:hint="eastAsia"/>
        </w:rPr>
        <w:t xml:space="preserve">also </w:t>
      </w:r>
      <w:r w:rsidR="005D086A" w:rsidRPr="005D086A">
        <w:rPr>
          <w:rFonts w:ascii="Arial" w:hAnsi="Arial" w:cs="Arial"/>
        </w:rPr>
        <w:t xml:space="preserve">created substantial shareholder wealth. With LinkedIn now a profitable and integral part of Microsoft’s business, the deal has supported consistent EPS </w:t>
      </w:r>
      <w:r w:rsidR="005D086A" w:rsidRPr="005D086A">
        <w:rPr>
          <w:rFonts w:ascii="Arial" w:hAnsi="Arial" w:cs="Arial"/>
        </w:rPr>
        <w:lastRenderedPageBreak/>
        <w:t xml:space="preserve">growth and contributed to a remarkable increase in Microsoft’s stock price. </w:t>
      </w:r>
      <w:r>
        <w:rPr>
          <w:rFonts w:ascii="Arial" w:hAnsi="Arial" w:cs="Arial" w:hint="eastAsia"/>
        </w:rPr>
        <w:t>In conclusion, t</w:t>
      </w:r>
      <w:r w:rsidR="005D086A" w:rsidRPr="005D086A">
        <w:rPr>
          <w:rFonts w:ascii="Arial" w:hAnsi="Arial" w:cs="Arial"/>
        </w:rPr>
        <w:t>he LinkedIn acquisition exemplifies how a well-planned and executed merger can deliver long-term strategic and financial value, reinforcing Microsoft’s leadership in the enterprise and professional networking landscape</w:t>
      </w:r>
      <w:r w:rsidR="005D086A" w:rsidRPr="005D086A">
        <w:t>.</w:t>
      </w:r>
    </w:p>
    <w:p w14:paraId="71CCBD6E" w14:textId="7AF89858" w:rsidR="00EF0F47" w:rsidRDefault="00EF0F47" w:rsidP="005D086A"/>
    <w:p w14:paraId="66C0BCA7" w14:textId="77777777" w:rsidR="00EF0F47" w:rsidRDefault="00EF0F47">
      <w:pPr>
        <w:spacing w:line="278" w:lineRule="auto"/>
      </w:pPr>
      <w:r>
        <w:br w:type="page"/>
      </w:r>
    </w:p>
    <w:p w14:paraId="7D5CE228" w14:textId="6F5D173C" w:rsidR="00046E6A" w:rsidRDefault="00D76A29" w:rsidP="00046E6A">
      <w:pPr>
        <w:pStyle w:val="Heading1"/>
        <w:rPr>
          <w:rFonts w:ascii="Arial" w:hAnsi="Arial" w:cs="Arial"/>
          <w:color w:val="auto"/>
          <w:sz w:val="24"/>
          <w:szCs w:val="24"/>
        </w:rPr>
      </w:pPr>
      <w:bookmarkStart w:id="7" w:name="_Toc194703110"/>
      <w:r w:rsidRPr="00D76A29">
        <w:rPr>
          <w:rFonts w:ascii="Arial" w:hAnsi="Arial" w:cs="Arial"/>
          <w:color w:val="auto"/>
          <w:sz w:val="24"/>
          <w:szCs w:val="24"/>
        </w:rPr>
        <w:lastRenderedPageBreak/>
        <w:t>Reference</w:t>
      </w:r>
      <w:bookmarkEnd w:id="7"/>
    </w:p>
    <w:p w14:paraId="34691CE6" w14:textId="0C5C71C0" w:rsidR="00E70CCC" w:rsidRDefault="00E70CCC" w:rsidP="00E70CCC">
      <w:pPr>
        <w:ind w:left="720" w:hanging="720"/>
        <w:rPr>
          <w:rFonts w:ascii="Arial" w:hAnsi="Arial" w:cs="Arial"/>
        </w:rPr>
      </w:pPr>
      <w:r w:rsidRPr="00E70CCC">
        <w:rPr>
          <w:rFonts w:ascii="Arial" w:hAnsi="Arial" w:cs="Arial"/>
        </w:rPr>
        <w:t xml:space="preserve">Aleksandrov, I., Fedorova, M. and </w:t>
      </w:r>
      <w:proofErr w:type="spellStart"/>
      <w:r w:rsidRPr="00E70CCC">
        <w:rPr>
          <w:rFonts w:ascii="Arial" w:hAnsi="Arial" w:cs="Arial"/>
        </w:rPr>
        <w:t>Parshukov</w:t>
      </w:r>
      <w:proofErr w:type="spellEnd"/>
      <w:r w:rsidRPr="00E70CCC">
        <w:rPr>
          <w:rFonts w:ascii="Arial" w:hAnsi="Arial" w:cs="Arial"/>
        </w:rPr>
        <w:t xml:space="preserve">, A. (2020) ‘Evaluating the effectiveness of mergers and acquisitions for agribusiness companies’, in E3S web of conferences. </w:t>
      </w:r>
      <w:r w:rsidRPr="00E70CCC">
        <w:rPr>
          <w:rFonts w:ascii="Arial" w:hAnsi="Arial" w:cs="Arial"/>
          <w:i/>
          <w:iCs/>
        </w:rPr>
        <w:t>Les Ulis: EDP Sciences</w:t>
      </w:r>
      <w:r w:rsidRPr="00E70CCC">
        <w:rPr>
          <w:rFonts w:ascii="Arial" w:hAnsi="Arial" w:cs="Arial"/>
        </w:rPr>
        <w:t xml:space="preserve">, pp. 5016-. Available at: </w:t>
      </w:r>
      <w:hyperlink r:id="rId8" w:history="1">
        <w:r w:rsidR="00086987" w:rsidRPr="00E70CCC">
          <w:rPr>
            <w:rStyle w:val="Hyperlink"/>
            <w:rFonts w:ascii="Arial" w:hAnsi="Arial" w:cs="Arial"/>
          </w:rPr>
          <w:t>https://doi.org/10.1051/e3sconf/202020305016</w:t>
        </w:r>
      </w:hyperlink>
      <w:r w:rsidRPr="00E70CCC">
        <w:rPr>
          <w:rFonts w:ascii="Arial" w:hAnsi="Arial" w:cs="Arial"/>
        </w:rPr>
        <w:t>.</w:t>
      </w:r>
    </w:p>
    <w:p w14:paraId="48A53FD0" w14:textId="3D7EF38A" w:rsidR="006C066A" w:rsidRPr="006C066A" w:rsidRDefault="006C066A" w:rsidP="006C066A">
      <w:pPr>
        <w:ind w:left="720" w:hanging="720"/>
        <w:rPr>
          <w:rFonts w:ascii="Arial" w:hAnsi="Arial" w:cs="Arial" w:hint="eastAsia"/>
        </w:rPr>
      </w:pPr>
      <w:r w:rsidRPr="006C066A">
        <w:rPr>
          <w:rFonts w:ascii="Arial" w:hAnsi="Arial" w:cs="Arial"/>
        </w:rPr>
        <w:t xml:space="preserve">Bloomberg (2018) </w:t>
      </w:r>
      <w:r w:rsidRPr="006C066A">
        <w:rPr>
          <w:rFonts w:ascii="Arial" w:hAnsi="Arial" w:cs="Arial"/>
          <w:i/>
          <w:iCs/>
        </w:rPr>
        <w:t>LinkedIn Will Allow Economics Researchers to Mine Its Data</w:t>
      </w:r>
      <w:r w:rsidRPr="006C066A">
        <w:rPr>
          <w:rFonts w:ascii="Arial" w:hAnsi="Arial" w:cs="Arial"/>
        </w:rPr>
        <w:t xml:space="preserve">, </w:t>
      </w:r>
      <w:r w:rsidRPr="006C066A">
        <w:rPr>
          <w:rFonts w:ascii="Arial" w:hAnsi="Arial" w:cs="Arial"/>
          <w:i/>
          <w:iCs/>
        </w:rPr>
        <w:t>Windows IT Pro</w:t>
      </w:r>
      <w:r w:rsidRPr="006C066A">
        <w:rPr>
          <w:rFonts w:ascii="Arial" w:hAnsi="Arial" w:cs="Arial"/>
        </w:rPr>
        <w:t>. Chicago: Informa.</w:t>
      </w:r>
      <w:r>
        <w:rPr>
          <w:rFonts w:ascii="Arial" w:hAnsi="Arial" w:cs="Arial" w:hint="eastAsia"/>
        </w:rPr>
        <w:t xml:space="preserve"> Available at: </w:t>
      </w:r>
      <w:hyperlink r:id="rId9" w:history="1">
        <w:r w:rsidRPr="00F92343">
          <w:rPr>
            <w:rStyle w:val="Hyperlink"/>
            <w:rFonts w:ascii="Arial" w:hAnsi="Arial" w:cs="Arial"/>
          </w:rPr>
          <w:t>https://librarysearch.uwtsd.ac.uk/view/action/uresolver.do?operation=resolveService&amp;package_service_id=11660031970002421&amp;institutionId=2421&amp;customerId=2415&amp;VE=true</w:t>
        </w:r>
      </w:hyperlink>
      <w:r>
        <w:rPr>
          <w:rFonts w:ascii="Arial" w:hAnsi="Arial" w:cs="Arial" w:hint="eastAsia"/>
        </w:rPr>
        <w:t xml:space="preserve"> (Accessed: </w:t>
      </w:r>
      <w:r>
        <w:rPr>
          <w:rFonts w:ascii="Arial" w:hAnsi="Arial" w:cs="Arial"/>
        </w:rPr>
        <w:t>4 April 2025</w:t>
      </w:r>
      <w:r>
        <w:rPr>
          <w:rFonts w:ascii="Arial" w:hAnsi="Arial" w:cs="Arial" w:hint="eastAsia"/>
        </w:rPr>
        <w:t>).</w:t>
      </w:r>
    </w:p>
    <w:p w14:paraId="4E8A95D6" w14:textId="15C05364" w:rsidR="00064A48" w:rsidRPr="00064A48" w:rsidRDefault="00064A48" w:rsidP="00E70CCC">
      <w:pPr>
        <w:ind w:left="720" w:hanging="720"/>
        <w:rPr>
          <w:rFonts w:ascii="Arial" w:hAnsi="Arial" w:cs="Arial" w:hint="eastAsia"/>
        </w:rPr>
      </w:pPr>
      <w:r w:rsidRPr="00064A48">
        <w:rPr>
          <w:rFonts w:ascii="Arial" w:hAnsi="Arial" w:cs="Arial"/>
        </w:rPr>
        <w:t>Digital Markets Act</w:t>
      </w:r>
      <w:r>
        <w:rPr>
          <w:rFonts w:ascii="Arial" w:hAnsi="Arial" w:cs="Arial" w:hint="eastAsia"/>
        </w:rPr>
        <w:t xml:space="preserve"> (2023) </w:t>
      </w:r>
      <w:r w:rsidRPr="00835CE6">
        <w:rPr>
          <w:rFonts w:ascii="Arial" w:hAnsi="Arial" w:cs="Arial" w:hint="eastAsia"/>
          <w:i/>
          <w:iCs/>
        </w:rPr>
        <w:t>European Commission</w:t>
      </w:r>
      <w:r>
        <w:rPr>
          <w:rFonts w:ascii="Arial" w:hAnsi="Arial" w:cs="Arial" w:hint="eastAsia"/>
        </w:rPr>
        <w:t xml:space="preserve">. Available at: </w:t>
      </w:r>
      <w:hyperlink r:id="rId10" w:history="1">
        <w:r w:rsidRPr="00F92343">
          <w:rPr>
            <w:rStyle w:val="Hyperlink"/>
            <w:rFonts w:ascii="Arial" w:hAnsi="Arial" w:cs="Arial"/>
          </w:rPr>
          <w:t>https://digital-markets-act.ec.europa.eu/index_en</w:t>
        </w:r>
      </w:hyperlink>
      <w:r>
        <w:rPr>
          <w:rFonts w:ascii="Arial" w:hAnsi="Arial" w:cs="Arial" w:hint="eastAsia"/>
        </w:rPr>
        <w:t xml:space="preserve"> (Accessed: </w:t>
      </w:r>
      <w:r>
        <w:rPr>
          <w:rFonts w:ascii="Arial" w:hAnsi="Arial" w:cs="Arial"/>
        </w:rPr>
        <w:t>4 April 2025</w:t>
      </w:r>
      <w:r>
        <w:rPr>
          <w:rFonts w:ascii="Arial" w:hAnsi="Arial" w:cs="Arial" w:hint="eastAsia"/>
        </w:rPr>
        <w:t>).</w:t>
      </w:r>
    </w:p>
    <w:p w14:paraId="776CF6CC" w14:textId="77777777" w:rsidR="007B01D5" w:rsidRDefault="00C455C9" w:rsidP="00235839">
      <w:pPr>
        <w:ind w:left="720" w:hanging="720"/>
        <w:rPr>
          <w:rFonts w:ascii="Arial" w:hAnsi="Arial" w:cs="Arial"/>
        </w:rPr>
      </w:pPr>
      <w:r w:rsidRPr="00C455C9">
        <w:rPr>
          <w:rFonts w:ascii="Arial" w:hAnsi="Arial" w:cs="Arial"/>
        </w:rPr>
        <w:t>Dixon</w:t>
      </w:r>
      <w:r>
        <w:rPr>
          <w:rFonts w:ascii="Arial" w:hAnsi="Arial" w:cs="Arial" w:hint="eastAsia"/>
        </w:rPr>
        <w:t xml:space="preserve">, S. J. (2025) </w:t>
      </w:r>
      <w:r>
        <w:rPr>
          <w:rFonts w:ascii="Arial" w:hAnsi="Arial" w:cs="Arial"/>
        </w:rPr>
        <w:t>‘</w:t>
      </w:r>
      <w:r w:rsidRPr="00C455C9">
        <w:rPr>
          <w:rFonts w:ascii="Arial" w:hAnsi="Arial" w:cs="Arial"/>
        </w:rPr>
        <w:t>Number of LinkedIn users in the United Kingdom (UK) from March 2020 to January 2025</w:t>
      </w:r>
      <w:r>
        <w:rPr>
          <w:rFonts w:ascii="Arial" w:hAnsi="Arial" w:cs="Arial"/>
        </w:rPr>
        <w:t>’</w:t>
      </w:r>
      <w:r>
        <w:rPr>
          <w:rFonts w:ascii="Arial" w:hAnsi="Arial" w:cs="Arial" w:hint="eastAsia"/>
        </w:rPr>
        <w:t xml:space="preserve">, </w:t>
      </w:r>
      <w:r w:rsidRPr="00C455C9">
        <w:rPr>
          <w:rFonts w:ascii="Arial" w:hAnsi="Arial" w:cs="Arial" w:hint="eastAsia"/>
          <w:i/>
          <w:iCs/>
        </w:rPr>
        <w:t>Statistica</w:t>
      </w:r>
      <w:r>
        <w:rPr>
          <w:rFonts w:ascii="Arial" w:hAnsi="Arial" w:cs="Arial" w:hint="eastAsia"/>
          <w:i/>
          <w:iCs/>
        </w:rPr>
        <w:t xml:space="preserve">, </w:t>
      </w:r>
      <w:r>
        <w:rPr>
          <w:rFonts w:ascii="Arial" w:hAnsi="Arial" w:cs="Arial" w:hint="eastAsia"/>
        </w:rPr>
        <w:t xml:space="preserve">Available at: </w:t>
      </w:r>
      <w:hyperlink r:id="rId11" w:history="1">
        <w:r w:rsidRPr="00F92343">
          <w:rPr>
            <w:rStyle w:val="Hyperlink"/>
            <w:rFonts w:ascii="Arial" w:hAnsi="Arial" w:cs="Arial"/>
          </w:rPr>
          <w:t>https://www.statista.com/statistics/1314310/uk-linkedin-users/#:~:text=In%20January%202025%2C%20there%20were,in%20users%20since%20November%202023</w:t>
        </w:r>
      </w:hyperlink>
      <w:r>
        <w:rPr>
          <w:rFonts w:ascii="Arial" w:hAnsi="Arial" w:cs="Arial" w:hint="eastAsia"/>
        </w:rPr>
        <w:t xml:space="preserve"> (Accessed: </w:t>
      </w:r>
      <w:r>
        <w:rPr>
          <w:rFonts w:ascii="Arial" w:hAnsi="Arial" w:cs="Arial"/>
        </w:rPr>
        <w:t>4 April 2025</w:t>
      </w:r>
      <w:r>
        <w:rPr>
          <w:rFonts w:ascii="Arial" w:hAnsi="Arial" w:cs="Arial" w:hint="eastAsia"/>
        </w:rPr>
        <w:t>)</w:t>
      </w:r>
      <w:r w:rsidRPr="00C455C9">
        <w:rPr>
          <w:rFonts w:ascii="Arial" w:hAnsi="Arial" w:cs="Arial"/>
        </w:rPr>
        <w:t>.</w:t>
      </w:r>
    </w:p>
    <w:p w14:paraId="75655906" w14:textId="06C050E5" w:rsidR="009D25C4" w:rsidRDefault="009D25C4" w:rsidP="009D25C4">
      <w:pPr>
        <w:ind w:left="720" w:hanging="720"/>
        <w:rPr>
          <w:rFonts w:ascii="Arial" w:hAnsi="Arial" w:cs="Arial"/>
        </w:rPr>
      </w:pPr>
      <w:r w:rsidRPr="009D25C4">
        <w:rPr>
          <w:rFonts w:ascii="Arial" w:hAnsi="Arial" w:cs="Arial"/>
        </w:rPr>
        <w:t xml:space="preserve">Du, X. (2020) ‘Embedding LinkedIn Learning MOOCs to Enhance Students’ Educational Experience and Employability’, in </w:t>
      </w:r>
      <w:r w:rsidRPr="009D25C4">
        <w:rPr>
          <w:rFonts w:ascii="Arial" w:hAnsi="Arial" w:cs="Arial"/>
          <w:i/>
          <w:iCs/>
        </w:rPr>
        <w:t xml:space="preserve">Proceedings of the ... European </w:t>
      </w:r>
      <w:r w:rsidR="002B292B">
        <w:rPr>
          <w:rFonts w:ascii="Arial" w:hAnsi="Arial" w:cs="Arial" w:hint="eastAsia"/>
          <w:i/>
          <w:iCs/>
        </w:rPr>
        <w:t>C</w:t>
      </w:r>
      <w:r w:rsidRPr="009D25C4">
        <w:rPr>
          <w:rFonts w:ascii="Arial" w:hAnsi="Arial" w:cs="Arial"/>
          <w:i/>
          <w:iCs/>
        </w:rPr>
        <w:t>onference on e-</w:t>
      </w:r>
      <w:r w:rsidR="002B292B">
        <w:rPr>
          <w:rFonts w:ascii="Arial" w:hAnsi="Arial" w:cs="Arial" w:hint="eastAsia"/>
          <w:i/>
          <w:iCs/>
        </w:rPr>
        <w:t>L</w:t>
      </w:r>
      <w:r w:rsidRPr="009D25C4">
        <w:rPr>
          <w:rFonts w:ascii="Arial" w:hAnsi="Arial" w:cs="Arial"/>
          <w:i/>
          <w:iCs/>
        </w:rPr>
        <w:t>earning (Online)</w:t>
      </w:r>
      <w:r w:rsidRPr="009D25C4">
        <w:rPr>
          <w:rFonts w:ascii="Arial" w:hAnsi="Arial" w:cs="Arial"/>
        </w:rPr>
        <w:t xml:space="preserve">. </w:t>
      </w:r>
      <w:proofErr w:type="spellStart"/>
      <w:r w:rsidRPr="009D25C4">
        <w:rPr>
          <w:rFonts w:ascii="Arial" w:hAnsi="Arial" w:cs="Arial"/>
        </w:rPr>
        <w:t>Kidmore</w:t>
      </w:r>
      <w:proofErr w:type="spellEnd"/>
      <w:r w:rsidRPr="009D25C4">
        <w:rPr>
          <w:rFonts w:ascii="Arial" w:hAnsi="Arial" w:cs="Arial"/>
        </w:rPr>
        <w:t xml:space="preserve"> End: Academic Conferences International Limited, pp. 163–XIV. Available at: </w:t>
      </w:r>
      <w:hyperlink r:id="rId12" w:history="1">
        <w:r w:rsidRPr="009D25C4">
          <w:rPr>
            <w:rStyle w:val="Hyperlink"/>
            <w:rFonts w:ascii="Arial" w:hAnsi="Arial" w:cs="Arial"/>
          </w:rPr>
          <w:t>https://doi.org/10.34190/EEL.20.082</w:t>
        </w:r>
      </w:hyperlink>
    </w:p>
    <w:p w14:paraId="62DFC35C" w14:textId="04EF9D2A" w:rsidR="00235839" w:rsidRDefault="00235839" w:rsidP="00235839">
      <w:pPr>
        <w:ind w:left="720" w:hanging="720"/>
        <w:rPr>
          <w:rFonts w:ascii="Arial" w:hAnsi="Arial" w:cs="Arial"/>
        </w:rPr>
      </w:pPr>
      <w:r w:rsidRPr="00235839">
        <w:rPr>
          <w:rFonts w:ascii="Arial" w:hAnsi="Arial" w:cs="Arial" w:hint="eastAsia"/>
        </w:rPr>
        <w:lastRenderedPageBreak/>
        <w:t>European</w:t>
      </w:r>
      <w:r>
        <w:rPr>
          <w:rFonts w:ascii="Arial" w:hAnsi="Arial" w:cs="Arial" w:hint="eastAsia"/>
        </w:rPr>
        <w:t xml:space="preserve"> Commission (2016) </w:t>
      </w:r>
      <w:r w:rsidRPr="00235839">
        <w:rPr>
          <w:rFonts w:ascii="Arial" w:hAnsi="Arial" w:cs="Arial"/>
          <w:i/>
          <w:iCs/>
        </w:rPr>
        <w:t>Case M.8124 – Microsoft / LinkedIn</w:t>
      </w:r>
      <w:r>
        <w:rPr>
          <w:rFonts w:ascii="Arial" w:hAnsi="Arial" w:cs="Arial" w:hint="eastAsia"/>
          <w:i/>
          <w:iCs/>
        </w:rPr>
        <w:t xml:space="preserve"> </w:t>
      </w:r>
      <w:r w:rsidRPr="00235839">
        <w:rPr>
          <w:rFonts w:ascii="Arial" w:hAnsi="Arial" w:cs="Arial"/>
          <w:i/>
          <w:iCs/>
        </w:rPr>
        <w:t>REGULATION (EC) No 139/2004 MERGER PROCEDURE</w:t>
      </w:r>
      <w:r>
        <w:rPr>
          <w:rFonts w:ascii="Arial" w:hAnsi="Arial" w:cs="Arial" w:hint="eastAsia"/>
          <w:i/>
          <w:iCs/>
        </w:rPr>
        <w:t xml:space="preserve">. </w:t>
      </w:r>
      <w:r w:rsidRPr="00235839">
        <w:rPr>
          <w:rFonts w:ascii="Arial" w:hAnsi="Arial" w:cs="Arial"/>
        </w:rPr>
        <w:t>Brussels</w:t>
      </w:r>
      <w:r w:rsidRPr="00235839">
        <w:rPr>
          <w:rFonts w:ascii="Arial" w:hAnsi="Arial" w:cs="Arial" w:hint="eastAsia"/>
        </w:rPr>
        <w:t xml:space="preserve">: </w:t>
      </w:r>
      <w:r w:rsidRPr="00235839">
        <w:rPr>
          <w:rFonts w:ascii="Arial" w:hAnsi="Arial" w:cs="Arial"/>
        </w:rPr>
        <w:t>DG Competition</w:t>
      </w:r>
      <w:r>
        <w:rPr>
          <w:rFonts w:ascii="Arial" w:hAnsi="Arial" w:cs="Arial" w:hint="eastAsia"/>
        </w:rPr>
        <w:t>.</w:t>
      </w:r>
    </w:p>
    <w:p w14:paraId="59A09F2D" w14:textId="51B1B045" w:rsidR="005226E8" w:rsidRDefault="005226E8" w:rsidP="005226E8">
      <w:pPr>
        <w:ind w:left="720" w:hanging="720"/>
        <w:rPr>
          <w:rFonts w:ascii="Arial" w:hAnsi="Arial" w:cs="Arial"/>
        </w:rPr>
      </w:pPr>
      <w:proofErr w:type="spellStart"/>
      <w:r w:rsidRPr="005226E8">
        <w:rPr>
          <w:rFonts w:ascii="Arial" w:hAnsi="Arial" w:cs="Arial"/>
        </w:rPr>
        <w:t>Filotto</w:t>
      </w:r>
      <w:proofErr w:type="spellEnd"/>
      <w:r w:rsidRPr="005226E8">
        <w:rPr>
          <w:rFonts w:ascii="Arial" w:hAnsi="Arial" w:cs="Arial"/>
        </w:rPr>
        <w:t xml:space="preserve">, U., </w:t>
      </w:r>
      <w:proofErr w:type="spellStart"/>
      <w:r w:rsidRPr="005226E8">
        <w:rPr>
          <w:rFonts w:ascii="Arial" w:hAnsi="Arial" w:cs="Arial"/>
        </w:rPr>
        <w:t>Sgrulletti</w:t>
      </w:r>
      <w:proofErr w:type="spellEnd"/>
      <w:r w:rsidRPr="005226E8">
        <w:rPr>
          <w:rFonts w:ascii="Arial" w:hAnsi="Arial" w:cs="Arial"/>
        </w:rPr>
        <w:t xml:space="preserve">, D. and Stella, G.P. (2023) ‘CEOs on LinkedIn, ESG Communication and Listed SMEs Stock Performance During COVID-19 Pandemic’, </w:t>
      </w:r>
      <w:r w:rsidRPr="005226E8">
        <w:rPr>
          <w:rFonts w:ascii="Arial" w:hAnsi="Arial" w:cs="Arial"/>
          <w:i/>
          <w:iCs/>
        </w:rPr>
        <w:t xml:space="preserve">Global </w:t>
      </w:r>
      <w:r>
        <w:rPr>
          <w:rFonts w:ascii="Arial" w:hAnsi="Arial" w:cs="Arial" w:hint="eastAsia"/>
          <w:i/>
          <w:iCs/>
        </w:rPr>
        <w:t>B</w:t>
      </w:r>
      <w:r w:rsidRPr="005226E8">
        <w:rPr>
          <w:rFonts w:ascii="Arial" w:hAnsi="Arial" w:cs="Arial"/>
          <w:i/>
          <w:iCs/>
        </w:rPr>
        <w:t xml:space="preserve">usiness </w:t>
      </w:r>
      <w:r>
        <w:rPr>
          <w:rFonts w:ascii="Arial" w:hAnsi="Arial" w:cs="Arial" w:hint="eastAsia"/>
          <w:i/>
          <w:iCs/>
        </w:rPr>
        <w:t>R</w:t>
      </w:r>
      <w:r w:rsidRPr="005226E8">
        <w:rPr>
          <w:rFonts w:ascii="Arial" w:hAnsi="Arial" w:cs="Arial"/>
          <w:i/>
          <w:iCs/>
        </w:rPr>
        <w:t>eview</w:t>
      </w:r>
      <w:r w:rsidRPr="005226E8">
        <w:rPr>
          <w:rFonts w:ascii="Arial" w:hAnsi="Arial" w:cs="Arial"/>
        </w:rPr>
        <w:t xml:space="preserve">. Available at: </w:t>
      </w:r>
      <w:hyperlink r:id="rId13" w:history="1">
        <w:r w:rsidRPr="005226E8">
          <w:rPr>
            <w:rStyle w:val="Hyperlink"/>
            <w:rFonts w:ascii="Arial" w:hAnsi="Arial" w:cs="Arial"/>
          </w:rPr>
          <w:t>https://doi.org/10.1177/09721509231192174</w:t>
        </w:r>
      </w:hyperlink>
    </w:p>
    <w:p w14:paraId="319F4CAF" w14:textId="0590C78D" w:rsidR="005D086A" w:rsidRDefault="005D086A" w:rsidP="005D086A">
      <w:pPr>
        <w:ind w:left="720" w:hanging="720"/>
        <w:rPr>
          <w:rFonts w:ascii="Arial" w:hAnsi="Arial" w:cs="Arial"/>
        </w:rPr>
      </w:pPr>
      <w:r w:rsidRPr="005D086A">
        <w:rPr>
          <w:rFonts w:ascii="Arial" w:hAnsi="Arial" w:cs="Arial"/>
        </w:rPr>
        <w:t xml:space="preserve">Green, D. (2020) </w:t>
      </w:r>
      <w:r w:rsidRPr="005D086A">
        <w:rPr>
          <w:rFonts w:ascii="Arial" w:hAnsi="Arial" w:cs="Arial"/>
          <w:i/>
          <w:iCs/>
        </w:rPr>
        <w:t>E-Leadership: The Transformation of Traditional Leaders in Financial Servicing: An Exploratory Case Study</w:t>
      </w:r>
      <w:r w:rsidRPr="005D086A">
        <w:rPr>
          <w:rFonts w:ascii="Arial" w:hAnsi="Arial" w:cs="Arial"/>
        </w:rPr>
        <w:t>. ProQuest Dissertations &amp; Theses.</w:t>
      </w:r>
    </w:p>
    <w:p w14:paraId="1B33AC7E" w14:textId="5389336B" w:rsidR="00555B28" w:rsidRDefault="00555B28" w:rsidP="00555B28">
      <w:pPr>
        <w:ind w:left="720" w:hanging="720"/>
        <w:rPr>
          <w:rFonts w:ascii="Arial" w:hAnsi="Arial" w:cs="Arial"/>
        </w:rPr>
      </w:pPr>
      <w:r w:rsidRPr="00555B28">
        <w:rPr>
          <w:rFonts w:ascii="Arial" w:hAnsi="Arial" w:cs="Arial"/>
        </w:rPr>
        <w:t>Hutchinson, A. (2022) ‘LinkedIn Continues to See “Record Levels” of Engagement, Revenue Up 34’</w:t>
      </w:r>
      <w:r>
        <w:rPr>
          <w:rFonts w:ascii="Arial" w:hAnsi="Arial" w:cs="Arial" w:hint="eastAsia"/>
        </w:rPr>
        <w:t>,</w:t>
      </w:r>
      <w:r w:rsidRPr="00555B28">
        <w:rPr>
          <w:rFonts w:ascii="Arial" w:hAnsi="Arial" w:cs="Arial"/>
        </w:rPr>
        <w:t xml:space="preserve"> </w:t>
      </w:r>
      <w:r w:rsidRPr="00555B28">
        <w:rPr>
          <w:rFonts w:ascii="Arial" w:hAnsi="Arial" w:cs="Arial"/>
          <w:i/>
          <w:iCs/>
        </w:rPr>
        <w:t>Social Media Today</w:t>
      </w:r>
      <w:r>
        <w:rPr>
          <w:rFonts w:ascii="Arial" w:hAnsi="Arial" w:cs="Arial" w:hint="eastAsia"/>
        </w:rPr>
        <w:t xml:space="preserve">. Available at: </w:t>
      </w:r>
      <w:hyperlink r:id="rId14" w:history="1">
        <w:r w:rsidRPr="00F92343">
          <w:rPr>
            <w:rStyle w:val="Hyperlink"/>
            <w:rFonts w:ascii="Arial" w:hAnsi="Arial" w:cs="Arial"/>
          </w:rPr>
          <w:t>https://www.proquest.com/docview/2658991805?accountid=130472&amp;parentSessionId=lJQiNPCvFNf8a0QkFJJd2MHv6QQu%2BIMcbsdvDdCmIyU%3D&amp;pq-origsite=primo&amp;sourcetype=Trade%20Journals</w:t>
        </w:r>
      </w:hyperlink>
      <w:r>
        <w:rPr>
          <w:rFonts w:ascii="Arial" w:hAnsi="Arial" w:cs="Arial" w:hint="eastAsia"/>
        </w:rPr>
        <w:t xml:space="preserve"> (Accessed: 4 April 2025).</w:t>
      </w:r>
    </w:p>
    <w:p w14:paraId="10968C1F" w14:textId="21445D49" w:rsidR="002A7630" w:rsidRPr="00555B28" w:rsidRDefault="002A7630" w:rsidP="002A7630">
      <w:pPr>
        <w:ind w:left="720" w:hanging="720"/>
        <w:rPr>
          <w:rFonts w:ascii="Arial" w:hAnsi="Arial" w:cs="Arial" w:hint="eastAsia"/>
        </w:rPr>
      </w:pPr>
      <w:r w:rsidRPr="009542AD">
        <w:rPr>
          <w:rFonts w:ascii="Arial" w:hAnsi="Arial" w:cs="Arial"/>
        </w:rPr>
        <w:t xml:space="preserve">Hutchinson, A. (2023). </w:t>
      </w:r>
      <w:r>
        <w:rPr>
          <w:rFonts w:ascii="Arial" w:hAnsi="Arial" w:cs="Arial"/>
        </w:rPr>
        <w:t>‘</w:t>
      </w:r>
      <w:r w:rsidRPr="009542AD">
        <w:rPr>
          <w:rFonts w:ascii="Arial" w:hAnsi="Arial" w:cs="Arial"/>
        </w:rPr>
        <w:t>LinkedIn Integrates More Buyer Intent Signals into Sales Navigator Alerts</w:t>
      </w:r>
      <w:r>
        <w:rPr>
          <w:rFonts w:ascii="Arial" w:hAnsi="Arial" w:cs="Arial"/>
        </w:rPr>
        <w:t>’</w:t>
      </w:r>
      <w:r>
        <w:rPr>
          <w:rFonts w:ascii="Arial" w:hAnsi="Arial" w:cs="Arial" w:hint="eastAsia"/>
        </w:rPr>
        <w:t>,</w:t>
      </w:r>
      <w:r w:rsidRPr="009542AD">
        <w:rPr>
          <w:rFonts w:ascii="Arial" w:hAnsi="Arial" w:cs="Arial"/>
          <w:i/>
          <w:iCs/>
        </w:rPr>
        <w:t> Social Media Today, </w:t>
      </w:r>
      <w:r>
        <w:rPr>
          <w:rFonts w:ascii="Arial" w:hAnsi="Arial" w:cs="Arial" w:hint="eastAsia"/>
        </w:rPr>
        <w:t xml:space="preserve">Available at: </w:t>
      </w:r>
      <w:hyperlink r:id="rId15" w:history="1">
        <w:r w:rsidRPr="00F92343">
          <w:rPr>
            <w:rStyle w:val="Hyperlink"/>
            <w:rFonts w:ascii="Arial" w:hAnsi="Arial" w:cs="Arial"/>
          </w:rPr>
          <w:t>https://www.proquest.com/trade-journals/linkedin-integrates-more-buyer-intent-signals/docview/2821132177/se-2</w:t>
        </w:r>
      </w:hyperlink>
      <w:r>
        <w:rPr>
          <w:rFonts w:ascii="Arial" w:hAnsi="Arial" w:cs="Arial" w:hint="eastAsia"/>
        </w:rPr>
        <w:t xml:space="preserve"> (Accessed: </w:t>
      </w:r>
      <w:r>
        <w:rPr>
          <w:rFonts w:ascii="Arial" w:hAnsi="Arial" w:cs="Arial"/>
        </w:rPr>
        <w:t>4 April 2025</w:t>
      </w:r>
      <w:r>
        <w:rPr>
          <w:rFonts w:ascii="Arial" w:hAnsi="Arial" w:cs="Arial" w:hint="eastAsia"/>
        </w:rPr>
        <w:t>).</w:t>
      </w:r>
    </w:p>
    <w:p w14:paraId="76232F1D" w14:textId="749B703B" w:rsidR="00F2635E" w:rsidRDefault="00F2635E" w:rsidP="00F2635E">
      <w:pPr>
        <w:ind w:left="720" w:hanging="720"/>
        <w:rPr>
          <w:rFonts w:ascii="Arial" w:hAnsi="Arial" w:cs="Arial"/>
        </w:rPr>
      </w:pPr>
      <w:r w:rsidRPr="00F2635E">
        <w:rPr>
          <w:rFonts w:ascii="Arial" w:hAnsi="Arial" w:cs="Arial"/>
        </w:rPr>
        <w:lastRenderedPageBreak/>
        <w:t>LinkedIn Corporation</w:t>
      </w:r>
      <w:r>
        <w:rPr>
          <w:rFonts w:ascii="Arial" w:hAnsi="Arial" w:cs="Arial"/>
        </w:rPr>
        <w:t xml:space="preserve"> (2016) </w:t>
      </w:r>
      <w:r w:rsidRPr="00F2635E">
        <w:rPr>
          <w:rFonts w:ascii="Arial" w:hAnsi="Arial" w:cs="Arial"/>
          <w:i/>
          <w:iCs/>
        </w:rPr>
        <w:t>FORM 10-K</w:t>
      </w:r>
      <w:r>
        <w:rPr>
          <w:rFonts w:ascii="Arial" w:hAnsi="Arial" w:cs="Arial"/>
          <w:i/>
          <w:iCs/>
        </w:rPr>
        <w:t xml:space="preserve">. </w:t>
      </w:r>
      <w:r>
        <w:rPr>
          <w:rFonts w:ascii="Arial" w:hAnsi="Arial" w:cs="Arial"/>
        </w:rPr>
        <w:t xml:space="preserve">Available at: </w:t>
      </w:r>
      <w:hyperlink r:id="rId16" w:history="1">
        <w:r w:rsidRPr="00F07B46">
          <w:rPr>
            <w:rStyle w:val="Hyperlink"/>
            <w:rFonts w:ascii="Arial" w:hAnsi="Arial" w:cs="Arial"/>
          </w:rPr>
          <w:t>https://www.sec.gov/Archives/edgar/data/1271024/000127102416000035/0001271024-16-000035-index.htm</w:t>
        </w:r>
      </w:hyperlink>
      <w:r>
        <w:rPr>
          <w:rFonts w:ascii="Arial" w:hAnsi="Arial" w:cs="Arial"/>
        </w:rPr>
        <w:t xml:space="preserve"> (Accessed: 4 April 2025).</w:t>
      </w:r>
    </w:p>
    <w:p w14:paraId="331A8C55" w14:textId="7C1AEC93" w:rsidR="00980429" w:rsidRDefault="00980429" w:rsidP="00980429">
      <w:pPr>
        <w:ind w:left="720" w:hanging="720"/>
        <w:rPr>
          <w:rFonts w:ascii="Arial" w:hAnsi="Arial" w:cs="Arial"/>
        </w:rPr>
      </w:pPr>
      <w:r w:rsidRPr="00980429">
        <w:rPr>
          <w:rFonts w:ascii="Arial" w:hAnsi="Arial" w:cs="Arial"/>
        </w:rPr>
        <w:t xml:space="preserve">McEnroe, J.E. and Mindak, M. (2020) ‘An empirical analysis of an application of an alternative measurement model on international accounting standard 33, earnings per share’, </w:t>
      </w:r>
      <w:r w:rsidRPr="00980429">
        <w:rPr>
          <w:rFonts w:ascii="Arial" w:hAnsi="Arial" w:cs="Arial"/>
          <w:i/>
          <w:iCs/>
        </w:rPr>
        <w:t>Accounting research journal</w:t>
      </w:r>
      <w:r w:rsidRPr="00980429">
        <w:rPr>
          <w:rFonts w:ascii="Arial" w:hAnsi="Arial" w:cs="Arial"/>
        </w:rPr>
        <w:t xml:space="preserve">, 33(2), pp. 381–390. Available at: </w:t>
      </w:r>
      <w:hyperlink r:id="rId17" w:history="1">
        <w:r w:rsidRPr="00980429">
          <w:rPr>
            <w:rStyle w:val="Hyperlink"/>
            <w:rFonts w:ascii="Arial" w:hAnsi="Arial" w:cs="Arial"/>
          </w:rPr>
          <w:t>https://doi.org/10.1108/ARJ-01-2019-0002</w:t>
        </w:r>
      </w:hyperlink>
    </w:p>
    <w:p w14:paraId="03F65E9F" w14:textId="433CBFD8" w:rsidR="00046E6A" w:rsidRDefault="00046E6A" w:rsidP="00F2635E">
      <w:pPr>
        <w:ind w:left="720" w:hanging="720"/>
        <w:rPr>
          <w:rFonts w:ascii="Arial" w:hAnsi="Arial" w:cs="Arial"/>
        </w:rPr>
      </w:pPr>
      <w:r>
        <w:rPr>
          <w:rFonts w:ascii="Arial" w:hAnsi="Arial" w:cs="Arial"/>
        </w:rPr>
        <w:t xml:space="preserve">Microsoft Corporation (2016) </w:t>
      </w:r>
      <w:r w:rsidRPr="00046E6A">
        <w:rPr>
          <w:rFonts w:ascii="Arial" w:hAnsi="Arial" w:cs="Arial"/>
          <w:i/>
          <w:iCs/>
        </w:rPr>
        <w:t>FORM 10-K.</w:t>
      </w:r>
      <w:r>
        <w:rPr>
          <w:rFonts w:ascii="Arial" w:hAnsi="Arial" w:cs="Arial"/>
          <w:i/>
          <w:iCs/>
        </w:rPr>
        <w:t xml:space="preserve"> </w:t>
      </w:r>
      <w:r>
        <w:rPr>
          <w:rFonts w:ascii="Arial" w:hAnsi="Arial" w:cs="Arial"/>
        </w:rPr>
        <w:t xml:space="preserve">Available at: </w:t>
      </w:r>
      <w:hyperlink r:id="rId18" w:history="1">
        <w:r w:rsidRPr="00F07B46">
          <w:rPr>
            <w:rStyle w:val="Hyperlink"/>
            <w:rFonts w:ascii="Arial" w:hAnsi="Arial" w:cs="Arial"/>
          </w:rPr>
          <w:t>https://www.sec.gov/Archives/edg</w:t>
        </w:r>
        <w:r w:rsidRPr="00F07B46">
          <w:rPr>
            <w:rStyle w:val="Hyperlink"/>
            <w:rFonts w:ascii="Arial" w:hAnsi="Arial" w:cs="Arial"/>
          </w:rPr>
          <w:t>a</w:t>
        </w:r>
        <w:r w:rsidRPr="00F07B46">
          <w:rPr>
            <w:rStyle w:val="Hyperlink"/>
            <w:rFonts w:ascii="Arial" w:hAnsi="Arial" w:cs="Arial"/>
          </w:rPr>
          <w:t>r/data/789019/000119312516662209/0001193125-16-662209-index.htm</w:t>
        </w:r>
      </w:hyperlink>
      <w:r>
        <w:t xml:space="preserve"> </w:t>
      </w:r>
      <w:r>
        <w:rPr>
          <w:rFonts w:ascii="Arial" w:hAnsi="Arial" w:cs="Arial"/>
        </w:rPr>
        <w:t>(Accessed: 4 April 2025).</w:t>
      </w:r>
    </w:p>
    <w:p w14:paraId="48B5964F" w14:textId="7DF24D62" w:rsidR="00046E6A" w:rsidRDefault="00046E6A" w:rsidP="00046E6A">
      <w:pPr>
        <w:ind w:left="720" w:hanging="720"/>
        <w:rPr>
          <w:rFonts w:ascii="Arial" w:hAnsi="Arial" w:cs="Arial"/>
        </w:rPr>
      </w:pPr>
      <w:r>
        <w:rPr>
          <w:rFonts w:ascii="Arial" w:hAnsi="Arial" w:cs="Arial"/>
        </w:rPr>
        <w:t xml:space="preserve">Microsoft Corporation (2017) </w:t>
      </w:r>
      <w:r w:rsidRPr="00046E6A">
        <w:rPr>
          <w:rFonts w:ascii="Arial" w:hAnsi="Arial" w:cs="Arial"/>
          <w:i/>
          <w:iCs/>
        </w:rPr>
        <w:t>FORM 10-K.</w:t>
      </w:r>
      <w:r>
        <w:rPr>
          <w:rFonts w:ascii="Arial" w:hAnsi="Arial" w:cs="Arial"/>
          <w:i/>
          <w:iCs/>
        </w:rPr>
        <w:t xml:space="preserve"> </w:t>
      </w:r>
      <w:r>
        <w:rPr>
          <w:rFonts w:ascii="Arial" w:hAnsi="Arial" w:cs="Arial"/>
        </w:rPr>
        <w:t xml:space="preserve">Available at: </w:t>
      </w:r>
      <w:hyperlink r:id="rId19" w:history="1">
        <w:r w:rsidRPr="00F07B46">
          <w:rPr>
            <w:rStyle w:val="Hyperlink"/>
            <w:rFonts w:ascii="Arial" w:hAnsi="Arial" w:cs="Arial"/>
          </w:rPr>
          <w:t>https://www.sec.gov/Archives/edgar/data/789019/000156459017014900/0001564590-17-014900-index.htm</w:t>
        </w:r>
      </w:hyperlink>
      <w:r>
        <w:rPr>
          <w:rFonts w:ascii="Arial" w:hAnsi="Arial" w:cs="Arial"/>
        </w:rPr>
        <w:t xml:space="preserve"> (Accessed: 4 April 2025).</w:t>
      </w:r>
    </w:p>
    <w:p w14:paraId="415A0893" w14:textId="0665B2D7" w:rsidR="00031884" w:rsidRDefault="00031884" w:rsidP="00046E6A">
      <w:pPr>
        <w:ind w:left="720" w:hanging="720"/>
        <w:rPr>
          <w:rFonts w:ascii="Arial" w:hAnsi="Arial" w:cs="Arial"/>
        </w:rPr>
      </w:pPr>
      <w:r>
        <w:rPr>
          <w:rFonts w:ascii="Arial" w:hAnsi="Arial" w:cs="Arial"/>
        </w:rPr>
        <w:t xml:space="preserve">Microsoft Corporation (2024) </w:t>
      </w:r>
      <w:r w:rsidRPr="00046E6A">
        <w:rPr>
          <w:rFonts w:ascii="Arial" w:hAnsi="Arial" w:cs="Arial"/>
          <w:i/>
          <w:iCs/>
        </w:rPr>
        <w:t>FORM 10-K.</w:t>
      </w:r>
      <w:r>
        <w:rPr>
          <w:rFonts w:ascii="Arial" w:hAnsi="Arial" w:cs="Arial"/>
          <w:i/>
          <w:iCs/>
        </w:rPr>
        <w:t xml:space="preserve"> </w:t>
      </w:r>
      <w:r>
        <w:rPr>
          <w:rFonts w:ascii="Arial" w:hAnsi="Arial" w:cs="Arial"/>
        </w:rPr>
        <w:t xml:space="preserve">Available at: </w:t>
      </w:r>
      <w:hyperlink r:id="rId20" w:history="1">
        <w:r w:rsidRPr="00F07B46">
          <w:rPr>
            <w:rStyle w:val="Hyperlink"/>
            <w:rFonts w:ascii="Arial" w:hAnsi="Arial" w:cs="Arial"/>
          </w:rPr>
          <w:t>https://www.sec.gov/Arc</w:t>
        </w:r>
        <w:r w:rsidRPr="00F07B46">
          <w:rPr>
            <w:rStyle w:val="Hyperlink"/>
            <w:rFonts w:ascii="Arial" w:hAnsi="Arial" w:cs="Arial"/>
          </w:rPr>
          <w:t>h</w:t>
        </w:r>
        <w:r w:rsidRPr="00F07B46">
          <w:rPr>
            <w:rStyle w:val="Hyperlink"/>
            <w:rFonts w:ascii="Arial" w:hAnsi="Arial" w:cs="Arial"/>
          </w:rPr>
          <w:t>ives/edgar/data/789019/000095017024087843/0000950170-24-087843-index.htm</w:t>
        </w:r>
      </w:hyperlink>
      <w:r>
        <w:rPr>
          <w:rFonts w:ascii="Arial" w:hAnsi="Arial" w:cs="Arial"/>
        </w:rPr>
        <w:t xml:space="preserve"> (Accessed: 4 April 2025).</w:t>
      </w:r>
    </w:p>
    <w:p w14:paraId="35B1A79F" w14:textId="46A229CF" w:rsidR="008A3EBD" w:rsidRDefault="008A3EBD" w:rsidP="008A3EBD">
      <w:pPr>
        <w:ind w:left="720" w:hanging="720"/>
        <w:rPr>
          <w:rFonts w:ascii="Arial" w:hAnsi="Arial" w:cs="Arial"/>
        </w:rPr>
      </w:pPr>
      <w:proofErr w:type="spellStart"/>
      <w:r w:rsidRPr="008A3EBD">
        <w:rPr>
          <w:rFonts w:ascii="Arial" w:hAnsi="Arial" w:cs="Arial"/>
        </w:rPr>
        <w:t>Nurmala</w:t>
      </w:r>
      <w:proofErr w:type="spellEnd"/>
      <w:r w:rsidRPr="008A3EBD">
        <w:rPr>
          <w:rFonts w:ascii="Arial" w:hAnsi="Arial" w:cs="Arial"/>
        </w:rPr>
        <w:t xml:space="preserve">, P., </w:t>
      </w:r>
      <w:proofErr w:type="spellStart"/>
      <w:r w:rsidRPr="008A3EBD">
        <w:rPr>
          <w:rFonts w:ascii="Arial" w:hAnsi="Arial" w:cs="Arial"/>
        </w:rPr>
        <w:t>Febianti</w:t>
      </w:r>
      <w:proofErr w:type="spellEnd"/>
      <w:r w:rsidRPr="008A3EBD">
        <w:rPr>
          <w:rFonts w:ascii="Arial" w:hAnsi="Arial" w:cs="Arial"/>
        </w:rPr>
        <w:t xml:space="preserve">, T.D. and </w:t>
      </w:r>
      <w:proofErr w:type="spellStart"/>
      <w:r w:rsidRPr="008A3EBD">
        <w:rPr>
          <w:rFonts w:ascii="Arial" w:hAnsi="Arial" w:cs="Arial"/>
        </w:rPr>
        <w:t>Adiwibowo</w:t>
      </w:r>
      <w:proofErr w:type="spellEnd"/>
      <w:r w:rsidRPr="008A3EBD">
        <w:rPr>
          <w:rFonts w:ascii="Arial" w:hAnsi="Arial" w:cs="Arial"/>
        </w:rPr>
        <w:t xml:space="preserve">, A.S. (2024) ‘Business Strategy, Multinational Companies, Integrated Reporting, and Tax Avoidance’, </w:t>
      </w:r>
      <w:r w:rsidRPr="008A3EBD">
        <w:rPr>
          <w:rFonts w:ascii="Arial" w:hAnsi="Arial" w:cs="Arial"/>
          <w:i/>
          <w:iCs/>
        </w:rPr>
        <w:t>JAK (</w:t>
      </w:r>
      <w:proofErr w:type="spellStart"/>
      <w:r w:rsidRPr="008A3EBD">
        <w:rPr>
          <w:rFonts w:ascii="Arial" w:hAnsi="Arial" w:cs="Arial"/>
          <w:i/>
          <w:iCs/>
        </w:rPr>
        <w:t>Jurnal</w:t>
      </w:r>
      <w:proofErr w:type="spellEnd"/>
      <w:r w:rsidRPr="008A3EBD">
        <w:rPr>
          <w:rFonts w:ascii="Arial" w:hAnsi="Arial" w:cs="Arial"/>
          <w:i/>
          <w:iCs/>
        </w:rPr>
        <w:t xml:space="preserve"> </w:t>
      </w:r>
      <w:proofErr w:type="spellStart"/>
      <w:r w:rsidRPr="008A3EBD">
        <w:rPr>
          <w:rFonts w:ascii="Arial" w:hAnsi="Arial" w:cs="Arial"/>
          <w:i/>
          <w:iCs/>
        </w:rPr>
        <w:t>Akuntansi</w:t>
      </w:r>
      <w:proofErr w:type="spellEnd"/>
      <w:r w:rsidRPr="008A3EBD">
        <w:rPr>
          <w:rFonts w:ascii="Arial" w:hAnsi="Arial" w:cs="Arial"/>
          <w:i/>
          <w:iCs/>
        </w:rPr>
        <w:t>) (Online) (Banten)</w:t>
      </w:r>
      <w:r w:rsidRPr="008A3EBD">
        <w:rPr>
          <w:rFonts w:ascii="Arial" w:hAnsi="Arial" w:cs="Arial"/>
        </w:rPr>
        <w:t xml:space="preserve">, 11(2), pp. 398–407. Available at: </w:t>
      </w:r>
      <w:hyperlink r:id="rId21" w:history="1">
        <w:r w:rsidRPr="008A3EBD">
          <w:rPr>
            <w:rStyle w:val="Hyperlink"/>
            <w:rFonts w:ascii="Arial" w:hAnsi="Arial" w:cs="Arial"/>
          </w:rPr>
          <w:t>https://doi.org/10.30656/jak.v11i2.6913</w:t>
        </w:r>
      </w:hyperlink>
    </w:p>
    <w:p w14:paraId="10105B3E" w14:textId="5A1D9F71" w:rsidR="00F273D7" w:rsidRDefault="00F273D7" w:rsidP="00F273D7">
      <w:pPr>
        <w:ind w:left="720" w:hanging="720"/>
        <w:rPr>
          <w:rFonts w:ascii="Arial" w:hAnsi="Arial" w:cs="Arial"/>
        </w:rPr>
      </w:pPr>
      <w:r w:rsidRPr="00F273D7">
        <w:rPr>
          <w:rFonts w:ascii="Arial" w:hAnsi="Arial" w:cs="Arial"/>
        </w:rPr>
        <w:t xml:space="preserve">Reis, B.B. (2018) </w:t>
      </w:r>
      <w:proofErr w:type="spellStart"/>
      <w:r w:rsidRPr="00F273D7">
        <w:rPr>
          <w:rFonts w:ascii="Arial" w:hAnsi="Arial" w:cs="Arial"/>
          <w:i/>
          <w:iCs/>
        </w:rPr>
        <w:t>Linkedin</w:t>
      </w:r>
      <w:proofErr w:type="spellEnd"/>
      <w:r w:rsidRPr="00F273D7">
        <w:rPr>
          <w:rFonts w:ascii="Arial" w:hAnsi="Arial" w:cs="Arial"/>
          <w:i/>
          <w:iCs/>
        </w:rPr>
        <w:t xml:space="preserve"> as a Marketing Tool for Lead Generation in B2B Organizations: Defining a Strategy for Pegasus Consultancy</w:t>
      </w:r>
      <w:r w:rsidRPr="00F273D7">
        <w:rPr>
          <w:rFonts w:ascii="Arial" w:hAnsi="Arial" w:cs="Arial"/>
        </w:rPr>
        <w:t>. ProQuest Dissertations &amp; Theses.</w:t>
      </w:r>
    </w:p>
    <w:p w14:paraId="42421EB6" w14:textId="30103130" w:rsidR="002D1135" w:rsidRPr="002D1135" w:rsidRDefault="002D1135" w:rsidP="008A3EBD">
      <w:pPr>
        <w:ind w:left="720" w:hanging="720"/>
        <w:rPr>
          <w:rFonts w:ascii="Arial" w:hAnsi="Arial" w:cs="Arial" w:hint="eastAsia"/>
        </w:rPr>
      </w:pPr>
      <w:r w:rsidRPr="002D1135">
        <w:rPr>
          <w:rFonts w:ascii="Arial" w:hAnsi="Arial" w:cs="Arial"/>
        </w:rPr>
        <w:lastRenderedPageBreak/>
        <w:t>Statista Market Insights</w:t>
      </w:r>
      <w:r>
        <w:rPr>
          <w:rFonts w:ascii="Arial" w:hAnsi="Arial" w:cs="Arial" w:hint="eastAsia"/>
        </w:rPr>
        <w:t xml:space="preserve"> (2024) </w:t>
      </w:r>
      <w:r w:rsidRPr="002D1135">
        <w:rPr>
          <w:rFonts w:ascii="Arial" w:hAnsi="Arial" w:cs="Arial"/>
          <w:i/>
          <w:iCs/>
        </w:rPr>
        <w:t xml:space="preserve">Social Networking </w:t>
      </w:r>
      <w:r>
        <w:rPr>
          <w:rFonts w:ascii="Arial" w:hAnsi="Arial" w:cs="Arial"/>
          <w:i/>
          <w:iCs/>
        </w:rPr>
        <w:t>–</w:t>
      </w:r>
      <w:r w:rsidRPr="002D1135">
        <w:rPr>
          <w:rFonts w:ascii="Arial" w:hAnsi="Arial" w:cs="Arial"/>
          <w:i/>
          <w:iCs/>
        </w:rPr>
        <w:t xml:space="preserve"> Worldwide</w:t>
      </w:r>
      <w:r>
        <w:rPr>
          <w:rFonts w:ascii="Arial" w:hAnsi="Arial" w:cs="Arial" w:hint="eastAsia"/>
          <w:i/>
          <w:iCs/>
        </w:rPr>
        <w:t xml:space="preserve">. </w:t>
      </w:r>
      <w:r>
        <w:rPr>
          <w:rFonts w:ascii="Arial" w:hAnsi="Arial" w:cs="Arial" w:hint="eastAsia"/>
        </w:rPr>
        <w:t xml:space="preserve">Available at: </w:t>
      </w:r>
      <w:hyperlink r:id="rId22" w:history="1">
        <w:r w:rsidRPr="00F92343">
          <w:rPr>
            <w:rStyle w:val="Hyperlink"/>
            <w:rFonts w:ascii="Arial" w:hAnsi="Arial" w:cs="Arial"/>
          </w:rPr>
          <w:t>https://www.statista.com/outlook/amo/app/social-networking/worldwide</w:t>
        </w:r>
      </w:hyperlink>
      <w:r>
        <w:rPr>
          <w:rFonts w:ascii="Arial" w:hAnsi="Arial" w:cs="Arial" w:hint="eastAsia"/>
        </w:rPr>
        <w:t xml:space="preserve"> (Accessed: </w:t>
      </w:r>
      <w:r>
        <w:rPr>
          <w:rFonts w:ascii="Arial" w:hAnsi="Arial" w:cs="Arial"/>
        </w:rPr>
        <w:t>4 April 2025</w:t>
      </w:r>
      <w:r>
        <w:rPr>
          <w:rFonts w:ascii="Arial" w:hAnsi="Arial" w:cs="Arial" w:hint="eastAsia"/>
        </w:rPr>
        <w:t>).</w:t>
      </w:r>
    </w:p>
    <w:p w14:paraId="2E1F772D" w14:textId="55BE09C4" w:rsidR="00F7521C" w:rsidRDefault="00F7521C" w:rsidP="00F7521C">
      <w:pPr>
        <w:ind w:left="720" w:hanging="720"/>
        <w:rPr>
          <w:rFonts w:ascii="Arial" w:hAnsi="Arial" w:cs="Arial"/>
        </w:rPr>
      </w:pPr>
      <w:r w:rsidRPr="00F7521C">
        <w:rPr>
          <w:rFonts w:ascii="Arial" w:hAnsi="Arial" w:cs="Arial"/>
        </w:rPr>
        <w:t xml:space="preserve">Suresh Kumar, K., Srihari, P. and Raman, C.J. (2024) ‘AI for Career Growth: Advanced Resume Analysis and LinkedIn Scraping for Personalized Job Recommendations’, in </w:t>
      </w:r>
      <w:r w:rsidRPr="00F7521C">
        <w:rPr>
          <w:rFonts w:ascii="Arial" w:hAnsi="Arial" w:cs="Arial"/>
          <w:i/>
          <w:iCs/>
        </w:rPr>
        <w:t>2024 2nd International Conference on Self Sustainable Artificial Intelligence Systems (ICSSAS)</w:t>
      </w:r>
      <w:r w:rsidRPr="00F7521C">
        <w:rPr>
          <w:rFonts w:ascii="Arial" w:hAnsi="Arial" w:cs="Arial"/>
        </w:rPr>
        <w:t xml:space="preserve">. IEEE, pp. 1287–1293. Available at: </w:t>
      </w:r>
      <w:hyperlink r:id="rId23" w:history="1">
        <w:r w:rsidRPr="00F7521C">
          <w:rPr>
            <w:rStyle w:val="Hyperlink"/>
            <w:rFonts w:ascii="Arial" w:hAnsi="Arial" w:cs="Arial"/>
          </w:rPr>
          <w:t>https://doi.org/10.1109/ICSSAS64001.2024.10760972</w:t>
        </w:r>
      </w:hyperlink>
      <w:r w:rsidRPr="00F7521C">
        <w:rPr>
          <w:rFonts w:ascii="Arial" w:hAnsi="Arial" w:cs="Arial"/>
        </w:rPr>
        <w:t>.</w:t>
      </w:r>
    </w:p>
    <w:p w14:paraId="4B6B0B0E" w14:textId="1628C19A" w:rsidR="00D76A29" w:rsidRPr="00D76A29" w:rsidRDefault="00D76A29" w:rsidP="00410D95">
      <w:pPr>
        <w:ind w:left="720" w:hanging="720"/>
        <w:rPr>
          <w:rFonts w:ascii="Arial" w:hAnsi="Arial" w:cs="Arial"/>
        </w:rPr>
      </w:pPr>
      <w:r w:rsidRPr="00D76A29">
        <w:rPr>
          <w:rFonts w:ascii="Arial" w:hAnsi="Arial" w:cs="Arial"/>
        </w:rPr>
        <w:t>Wingfield, N. (2016</w:t>
      </w:r>
      <w:r>
        <w:rPr>
          <w:rFonts w:ascii="Arial" w:hAnsi="Arial" w:cs="Arial"/>
        </w:rPr>
        <w:t>) ‘</w:t>
      </w:r>
      <w:r w:rsidRPr="00D76A29">
        <w:rPr>
          <w:rFonts w:ascii="Arial" w:hAnsi="Arial" w:cs="Arial"/>
        </w:rPr>
        <w:t>Microsoft Buys LinkedIn for $26.2 Billion, Reasserting Its Muscle</w:t>
      </w:r>
      <w:r>
        <w:rPr>
          <w:rFonts w:ascii="Arial" w:hAnsi="Arial" w:cs="Arial"/>
        </w:rPr>
        <w:t xml:space="preserve">’, </w:t>
      </w:r>
      <w:r w:rsidRPr="00410D95">
        <w:rPr>
          <w:rFonts w:ascii="Arial" w:hAnsi="Arial" w:cs="Arial"/>
          <w:i/>
          <w:iCs/>
        </w:rPr>
        <w:t>The New York Times</w:t>
      </w:r>
      <w:r>
        <w:rPr>
          <w:rFonts w:ascii="Arial" w:hAnsi="Arial" w:cs="Arial"/>
        </w:rPr>
        <w:t xml:space="preserve">, 13 June. Available at: </w:t>
      </w:r>
      <w:hyperlink r:id="rId24" w:history="1">
        <w:r w:rsidRPr="001F2D63">
          <w:rPr>
            <w:rStyle w:val="Hyperlink"/>
            <w:rFonts w:ascii="Arial" w:hAnsi="Arial" w:cs="Arial"/>
          </w:rPr>
          <w:t>https://www.nytimes.com/2016/06/14/business/dealbook/microsoft-to-buy-linkedin-for-26-2-billion.html</w:t>
        </w:r>
      </w:hyperlink>
      <w:r>
        <w:rPr>
          <w:rFonts w:ascii="Arial" w:hAnsi="Arial" w:cs="Arial"/>
        </w:rPr>
        <w:t xml:space="preserve"> (Accessed: 4 April 2025).</w:t>
      </w:r>
    </w:p>
    <w:sectPr w:rsidR="00D76A29" w:rsidRPr="00D76A29" w:rsidSect="00F6612A">
      <w:pgSz w:w="11906" w:h="16838"/>
      <w:pgMar w:top="1440" w:right="1800" w:bottom="1440" w:left="1800" w:header="851" w:footer="992" w:gutter="0"/>
      <w:pgNumType w:start="1"/>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5A0C8" w14:textId="77777777" w:rsidR="00626DB9" w:rsidRDefault="00626DB9" w:rsidP="00F6612A">
      <w:pPr>
        <w:spacing w:after="0" w:line="240" w:lineRule="auto"/>
      </w:pPr>
      <w:r>
        <w:separator/>
      </w:r>
    </w:p>
  </w:endnote>
  <w:endnote w:type="continuationSeparator" w:id="0">
    <w:p w14:paraId="20AEE2F6" w14:textId="77777777" w:rsidR="00626DB9" w:rsidRDefault="00626DB9" w:rsidP="00F66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F8B2B" w14:textId="480FC615" w:rsidR="00F6612A" w:rsidRDefault="00F6612A">
    <w:pPr>
      <w:pStyle w:val="Footer"/>
      <w:jc w:val="center"/>
    </w:pPr>
  </w:p>
  <w:p w14:paraId="2F3D40E3" w14:textId="77777777" w:rsidR="00F6612A" w:rsidRDefault="00F661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4290912"/>
      <w:docPartObj>
        <w:docPartGallery w:val="Page Numbers (Bottom of Page)"/>
        <w:docPartUnique/>
      </w:docPartObj>
    </w:sdtPr>
    <w:sdtEndPr>
      <w:rPr>
        <w:noProof/>
      </w:rPr>
    </w:sdtEndPr>
    <w:sdtContent>
      <w:p w14:paraId="426DFDA5" w14:textId="6F506C00" w:rsidR="00F6612A" w:rsidRDefault="00F6612A">
        <w:pPr>
          <w:pStyle w:val="Footer"/>
          <w:jc w:val="center"/>
        </w:pPr>
        <w:r>
          <w:rPr>
            <w:rFonts w:hint="eastAsia"/>
          </w:rPr>
          <w:t>1</w:t>
        </w:r>
      </w:p>
    </w:sdtContent>
  </w:sdt>
  <w:p w14:paraId="0BC2922A" w14:textId="77777777" w:rsidR="00F6612A" w:rsidRDefault="00F66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6B323" w14:textId="77777777" w:rsidR="00626DB9" w:rsidRDefault="00626DB9" w:rsidP="00F6612A">
      <w:pPr>
        <w:spacing w:after="0" w:line="240" w:lineRule="auto"/>
      </w:pPr>
      <w:r>
        <w:separator/>
      </w:r>
    </w:p>
  </w:footnote>
  <w:footnote w:type="continuationSeparator" w:id="0">
    <w:p w14:paraId="36994A8F" w14:textId="77777777" w:rsidR="00626DB9" w:rsidRDefault="00626DB9" w:rsidP="00F661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E26"/>
    <w:rsid w:val="00031884"/>
    <w:rsid w:val="00040AEC"/>
    <w:rsid w:val="00046E6A"/>
    <w:rsid w:val="00053E27"/>
    <w:rsid w:val="00064A48"/>
    <w:rsid w:val="00064B45"/>
    <w:rsid w:val="00086987"/>
    <w:rsid w:val="00093DDF"/>
    <w:rsid w:val="000E32B9"/>
    <w:rsid w:val="000F41DF"/>
    <w:rsid w:val="000F6339"/>
    <w:rsid w:val="00117F07"/>
    <w:rsid w:val="001326F1"/>
    <w:rsid w:val="001351C6"/>
    <w:rsid w:val="00155F31"/>
    <w:rsid w:val="001B57B7"/>
    <w:rsid w:val="001E1F48"/>
    <w:rsid w:val="001E4F57"/>
    <w:rsid w:val="002339ED"/>
    <w:rsid w:val="00235839"/>
    <w:rsid w:val="00237D8C"/>
    <w:rsid w:val="00241009"/>
    <w:rsid w:val="00267E29"/>
    <w:rsid w:val="0028563F"/>
    <w:rsid w:val="002A7630"/>
    <w:rsid w:val="002B292B"/>
    <w:rsid w:val="002B2FAD"/>
    <w:rsid w:val="002C0CCC"/>
    <w:rsid w:val="002D1135"/>
    <w:rsid w:val="002E6275"/>
    <w:rsid w:val="002F3EDB"/>
    <w:rsid w:val="00302C9A"/>
    <w:rsid w:val="00333966"/>
    <w:rsid w:val="0037574F"/>
    <w:rsid w:val="00383735"/>
    <w:rsid w:val="003C4F7A"/>
    <w:rsid w:val="00410D95"/>
    <w:rsid w:val="00421600"/>
    <w:rsid w:val="00480F90"/>
    <w:rsid w:val="00481714"/>
    <w:rsid w:val="004958F5"/>
    <w:rsid w:val="004A72F9"/>
    <w:rsid w:val="004D4007"/>
    <w:rsid w:val="004E638A"/>
    <w:rsid w:val="005031FC"/>
    <w:rsid w:val="00505589"/>
    <w:rsid w:val="005226E8"/>
    <w:rsid w:val="005319CE"/>
    <w:rsid w:val="00546574"/>
    <w:rsid w:val="00555B28"/>
    <w:rsid w:val="00560A98"/>
    <w:rsid w:val="005768DF"/>
    <w:rsid w:val="0058117E"/>
    <w:rsid w:val="005B3315"/>
    <w:rsid w:val="005C747F"/>
    <w:rsid w:val="005D0406"/>
    <w:rsid w:val="005D086A"/>
    <w:rsid w:val="005F1FE7"/>
    <w:rsid w:val="00616AD1"/>
    <w:rsid w:val="00626DB9"/>
    <w:rsid w:val="006309CB"/>
    <w:rsid w:val="00631925"/>
    <w:rsid w:val="00637548"/>
    <w:rsid w:val="006914B2"/>
    <w:rsid w:val="00691A7E"/>
    <w:rsid w:val="006942EB"/>
    <w:rsid w:val="006A40DF"/>
    <w:rsid w:val="006B21DE"/>
    <w:rsid w:val="006C066A"/>
    <w:rsid w:val="006C2345"/>
    <w:rsid w:val="006D237E"/>
    <w:rsid w:val="006F6A8A"/>
    <w:rsid w:val="00762318"/>
    <w:rsid w:val="007B01D5"/>
    <w:rsid w:val="008078BC"/>
    <w:rsid w:val="008222CF"/>
    <w:rsid w:val="00823633"/>
    <w:rsid w:val="00835CE6"/>
    <w:rsid w:val="00861825"/>
    <w:rsid w:val="008663EA"/>
    <w:rsid w:val="00881D42"/>
    <w:rsid w:val="008A3EBD"/>
    <w:rsid w:val="008A742A"/>
    <w:rsid w:val="008D3646"/>
    <w:rsid w:val="008E7EC1"/>
    <w:rsid w:val="008F0893"/>
    <w:rsid w:val="00902BD5"/>
    <w:rsid w:val="00903D04"/>
    <w:rsid w:val="00913E5A"/>
    <w:rsid w:val="00924A49"/>
    <w:rsid w:val="009542AD"/>
    <w:rsid w:val="00980429"/>
    <w:rsid w:val="009A1C12"/>
    <w:rsid w:val="009A5DDA"/>
    <w:rsid w:val="009B0727"/>
    <w:rsid w:val="009D25C4"/>
    <w:rsid w:val="009E67AD"/>
    <w:rsid w:val="00A11B9B"/>
    <w:rsid w:val="00A128D7"/>
    <w:rsid w:val="00A454C8"/>
    <w:rsid w:val="00A63061"/>
    <w:rsid w:val="00A67B31"/>
    <w:rsid w:val="00A723F7"/>
    <w:rsid w:val="00A76A58"/>
    <w:rsid w:val="00A83801"/>
    <w:rsid w:val="00A874E3"/>
    <w:rsid w:val="00A90EB3"/>
    <w:rsid w:val="00AA7B38"/>
    <w:rsid w:val="00AE527D"/>
    <w:rsid w:val="00B303E9"/>
    <w:rsid w:val="00B36CD3"/>
    <w:rsid w:val="00B50065"/>
    <w:rsid w:val="00B55E26"/>
    <w:rsid w:val="00BA1E06"/>
    <w:rsid w:val="00BC5684"/>
    <w:rsid w:val="00C16D69"/>
    <w:rsid w:val="00C22F49"/>
    <w:rsid w:val="00C3288E"/>
    <w:rsid w:val="00C32F0D"/>
    <w:rsid w:val="00C455C9"/>
    <w:rsid w:val="00C6145D"/>
    <w:rsid w:val="00C6223F"/>
    <w:rsid w:val="00C8731F"/>
    <w:rsid w:val="00CC460C"/>
    <w:rsid w:val="00CD291D"/>
    <w:rsid w:val="00D10B21"/>
    <w:rsid w:val="00D6580E"/>
    <w:rsid w:val="00D70D51"/>
    <w:rsid w:val="00D75EC8"/>
    <w:rsid w:val="00D76A29"/>
    <w:rsid w:val="00D76D20"/>
    <w:rsid w:val="00D857A4"/>
    <w:rsid w:val="00DA4191"/>
    <w:rsid w:val="00DA714E"/>
    <w:rsid w:val="00DB6527"/>
    <w:rsid w:val="00DE156F"/>
    <w:rsid w:val="00DE3458"/>
    <w:rsid w:val="00DE45AB"/>
    <w:rsid w:val="00DE734C"/>
    <w:rsid w:val="00E01BA5"/>
    <w:rsid w:val="00E507DF"/>
    <w:rsid w:val="00E65B02"/>
    <w:rsid w:val="00E70CCC"/>
    <w:rsid w:val="00E763D1"/>
    <w:rsid w:val="00E97325"/>
    <w:rsid w:val="00EA12FD"/>
    <w:rsid w:val="00EA1436"/>
    <w:rsid w:val="00EA3940"/>
    <w:rsid w:val="00EA4B61"/>
    <w:rsid w:val="00EC728B"/>
    <w:rsid w:val="00EE6EE3"/>
    <w:rsid w:val="00EF0F47"/>
    <w:rsid w:val="00F2635E"/>
    <w:rsid w:val="00F273D7"/>
    <w:rsid w:val="00F3286F"/>
    <w:rsid w:val="00F35E2A"/>
    <w:rsid w:val="00F535D1"/>
    <w:rsid w:val="00F6612A"/>
    <w:rsid w:val="00F70679"/>
    <w:rsid w:val="00F7521C"/>
    <w:rsid w:val="00F823E8"/>
    <w:rsid w:val="00F8610B"/>
    <w:rsid w:val="00FE1586"/>
    <w:rsid w:val="00FE67B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DDF9B9"/>
  <w15:chartTrackingRefBased/>
  <w15:docId w15:val="{37120F31-8E6F-484D-9556-DABD34D9D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pPr>
  </w:style>
  <w:style w:type="paragraph" w:styleId="Heading1">
    <w:name w:val="heading 1"/>
    <w:basedOn w:val="Normal"/>
    <w:next w:val="Normal"/>
    <w:link w:val="Heading1Char"/>
    <w:uiPriority w:val="9"/>
    <w:qFormat/>
    <w:rsid w:val="00B55E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5E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E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5E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E26"/>
    <w:rPr>
      <w:rFonts w:eastAsiaTheme="majorEastAsia" w:cstheme="majorBidi"/>
      <w:color w:val="272727" w:themeColor="text1" w:themeTint="D8"/>
    </w:rPr>
  </w:style>
  <w:style w:type="paragraph" w:styleId="Title">
    <w:name w:val="Title"/>
    <w:basedOn w:val="Normal"/>
    <w:next w:val="Normal"/>
    <w:link w:val="TitleChar"/>
    <w:uiPriority w:val="10"/>
    <w:qFormat/>
    <w:rsid w:val="00B55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E26"/>
    <w:pPr>
      <w:spacing w:before="160"/>
      <w:jc w:val="center"/>
    </w:pPr>
    <w:rPr>
      <w:i/>
      <w:iCs/>
      <w:color w:val="404040" w:themeColor="text1" w:themeTint="BF"/>
    </w:rPr>
  </w:style>
  <w:style w:type="character" w:customStyle="1" w:styleId="QuoteChar">
    <w:name w:val="Quote Char"/>
    <w:basedOn w:val="DefaultParagraphFont"/>
    <w:link w:val="Quote"/>
    <w:uiPriority w:val="29"/>
    <w:rsid w:val="00B55E26"/>
    <w:rPr>
      <w:i/>
      <w:iCs/>
      <w:color w:val="404040" w:themeColor="text1" w:themeTint="BF"/>
    </w:rPr>
  </w:style>
  <w:style w:type="paragraph" w:styleId="ListParagraph">
    <w:name w:val="List Paragraph"/>
    <w:basedOn w:val="Normal"/>
    <w:uiPriority w:val="34"/>
    <w:qFormat/>
    <w:rsid w:val="00B55E26"/>
    <w:pPr>
      <w:ind w:left="720"/>
      <w:contextualSpacing/>
    </w:pPr>
  </w:style>
  <w:style w:type="character" w:styleId="IntenseEmphasis">
    <w:name w:val="Intense Emphasis"/>
    <w:basedOn w:val="DefaultParagraphFont"/>
    <w:uiPriority w:val="21"/>
    <w:qFormat/>
    <w:rsid w:val="00B55E26"/>
    <w:rPr>
      <w:i/>
      <w:iCs/>
      <w:color w:val="0F4761" w:themeColor="accent1" w:themeShade="BF"/>
    </w:rPr>
  </w:style>
  <w:style w:type="paragraph" w:styleId="IntenseQuote">
    <w:name w:val="Intense Quote"/>
    <w:basedOn w:val="Normal"/>
    <w:next w:val="Normal"/>
    <w:link w:val="IntenseQuoteChar"/>
    <w:uiPriority w:val="30"/>
    <w:qFormat/>
    <w:rsid w:val="00B55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E26"/>
    <w:rPr>
      <w:i/>
      <w:iCs/>
      <w:color w:val="0F4761" w:themeColor="accent1" w:themeShade="BF"/>
    </w:rPr>
  </w:style>
  <w:style w:type="character" w:styleId="IntenseReference">
    <w:name w:val="Intense Reference"/>
    <w:basedOn w:val="DefaultParagraphFont"/>
    <w:uiPriority w:val="32"/>
    <w:qFormat/>
    <w:rsid w:val="00B55E26"/>
    <w:rPr>
      <w:b/>
      <w:bCs/>
      <w:smallCaps/>
      <w:color w:val="0F4761" w:themeColor="accent1" w:themeShade="BF"/>
      <w:spacing w:val="5"/>
    </w:rPr>
  </w:style>
  <w:style w:type="paragraph" w:styleId="NoSpacing">
    <w:name w:val="No Spacing"/>
    <w:link w:val="NoSpacingChar"/>
    <w:uiPriority w:val="1"/>
    <w:qFormat/>
    <w:rsid w:val="00D76A29"/>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D76A29"/>
    <w:rPr>
      <w:sz w:val="22"/>
      <w:szCs w:val="22"/>
      <w:lang w:val="en-US" w:eastAsia="en-US"/>
    </w:rPr>
  </w:style>
  <w:style w:type="paragraph" w:styleId="TOCHeading">
    <w:name w:val="TOC Heading"/>
    <w:basedOn w:val="Heading1"/>
    <w:next w:val="Normal"/>
    <w:uiPriority w:val="39"/>
    <w:unhideWhenUsed/>
    <w:qFormat/>
    <w:rsid w:val="00D76A29"/>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D76A29"/>
    <w:pPr>
      <w:spacing w:after="100"/>
    </w:pPr>
  </w:style>
  <w:style w:type="character" w:styleId="Hyperlink">
    <w:name w:val="Hyperlink"/>
    <w:basedOn w:val="DefaultParagraphFont"/>
    <w:uiPriority w:val="99"/>
    <w:unhideWhenUsed/>
    <w:rsid w:val="00D76A29"/>
    <w:rPr>
      <w:color w:val="467886" w:themeColor="hyperlink"/>
      <w:u w:val="single"/>
    </w:rPr>
  </w:style>
  <w:style w:type="character" w:styleId="UnresolvedMention">
    <w:name w:val="Unresolved Mention"/>
    <w:basedOn w:val="DefaultParagraphFont"/>
    <w:uiPriority w:val="99"/>
    <w:semiHidden/>
    <w:unhideWhenUsed/>
    <w:rsid w:val="00D76A29"/>
    <w:rPr>
      <w:color w:val="605E5C"/>
      <w:shd w:val="clear" w:color="auto" w:fill="E1DFDD"/>
    </w:rPr>
  </w:style>
  <w:style w:type="character" w:styleId="FollowedHyperlink">
    <w:name w:val="FollowedHyperlink"/>
    <w:basedOn w:val="DefaultParagraphFont"/>
    <w:uiPriority w:val="99"/>
    <w:semiHidden/>
    <w:unhideWhenUsed/>
    <w:rsid w:val="004E638A"/>
    <w:rPr>
      <w:color w:val="96607D" w:themeColor="followedHyperlink"/>
      <w:u w:val="single"/>
    </w:rPr>
  </w:style>
  <w:style w:type="paragraph" w:styleId="NormalWeb">
    <w:name w:val="Normal (Web)"/>
    <w:basedOn w:val="Normal"/>
    <w:uiPriority w:val="99"/>
    <w:semiHidden/>
    <w:unhideWhenUsed/>
    <w:rsid w:val="002B2FAD"/>
    <w:rPr>
      <w:rFonts w:ascii="Times New Roman" w:hAnsi="Times New Roman" w:cs="Times New Roman"/>
    </w:rPr>
  </w:style>
  <w:style w:type="paragraph" w:styleId="TOC2">
    <w:name w:val="toc 2"/>
    <w:basedOn w:val="Normal"/>
    <w:next w:val="Normal"/>
    <w:autoRedefine/>
    <w:uiPriority w:val="39"/>
    <w:unhideWhenUsed/>
    <w:rsid w:val="00F6612A"/>
    <w:pPr>
      <w:spacing w:after="100"/>
      <w:ind w:left="240"/>
    </w:pPr>
  </w:style>
  <w:style w:type="paragraph" w:styleId="Header">
    <w:name w:val="header"/>
    <w:basedOn w:val="Normal"/>
    <w:link w:val="HeaderChar"/>
    <w:uiPriority w:val="99"/>
    <w:unhideWhenUsed/>
    <w:rsid w:val="00F6612A"/>
    <w:pPr>
      <w:tabs>
        <w:tab w:val="center" w:pos="4153"/>
        <w:tab w:val="right" w:pos="8306"/>
      </w:tabs>
      <w:spacing w:after="0" w:line="240" w:lineRule="auto"/>
    </w:pPr>
  </w:style>
  <w:style w:type="character" w:customStyle="1" w:styleId="HeaderChar">
    <w:name w:val="Header Char"/>
    <w:basedOn w:val="DefaultParagraphFont"/>
    <w:link w:val="Header"/>
    <w:uiPriority w:val="99"/>
    <w:rsid w:val="00F6612A"/>
  </w:style>
  <w:style w:type="paragraph" w:styleId="Footer">
    <w:name w:val="footer"/>
    <w:basedOn w:val="Normal"/>
    <w:link w:val="FooterChar"/>
    <w:uiPriority w:val="99"/>
    <w:unhideWhenUsed/>
    <w:rsid w:val="00F6612A"/>
    <w:pPr>
      <w:tabs>
        <w:tab w:val="center" w:pos="4153"/>
        <w:tab w:val="right" w:pos="8306"/>
      </w:tabs>
      <w:spacing w:after="0" w:line="240" w:lineRule="auto"/>
    </w:pPr>
  </w:style>
  <w:style w:type="character" w:customStyle="1" w:styleId="FooterChar">
    <w:name w:val="Footer Char"/>
    <w:basedOn w:val="DefaultParagraphFont"/>
    <w:link w:val="Footer"/>
    <w:uiPriority w:val="99"/>
    <w:rsid w:val="00F66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4685">
      <w:bodyDiv w:val="1"/>
      <w:marLeft w:val="0"/>
      <w:marRight w:val="0"/>
      <w:marTop w:val="0"/>
      <w:marBottom w:val="0"/>
      <w:divBdr>
        <w:top w:val="none" w:sz="0" w:space="0" w:color="auto"/>
        <w:left w:val="none" w:sz="0" w:space="0" w:color="auto"/>
        <w:bottom w:val="none" w:sz="0" w:space="0" w:color="auto"/>
        <w:right w:val="none" w:sz="0" w:space="0" w:color="auto"/>
      </w:divBdr>
      <w:divsChild>
        <w:div w:id="1740443249">
          <w:marLeft w:val="0"/>
          <w:marRight w:val="0"/>
          <w:marTop w:val="0"/>
          <w:marBottom w:val="0"/>
          <w:divBdr>
            <w:top w:val="none" w:sz="0" w:space="0" w:color="auto"/>
            <w:left w:val="none" w:sz="0" w:space="0" w:color="auto"/>
            <w:bottom w:val="none" w:sz="0" w:space="0" w:color="auto"/>
            <w:right w:val="none" w:sz="0" w:space="0" w:color="auto"/>
          </w:divBdr>
          <w:divsChild>
            <w:div w:id="184582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48564">
      <w:bodyDiv w:val="1"/>
      <w:marLeft w:val="0"/>
      <w:marRight w:val="0"/>
      <w:marTop w:val="0"/>
      <w:marBottom w:val="0"/>
      <w:divBdr>
        <w:top w:val="none" w:sz="0" w:space="0" w:color="auto"/>
        <w:left w:val="none" w:sz="0" w:space="0" w:color="auto"/>
        <w:bottom w:val="none" w:sz="0" w:space="0" w:color="auto"/>
        <w:right w:val="none" w:sz="0" w:space="0" w:color="auto"/>
      </w:divBdr>
      <w:divsChild>
        <w:div w:id="805663842">
          <w:marLeft w:val="0"/>
          <w:marRight w:val="0"/>
          <w:marTop w:val="0"/>
          <w:marBottom w:val="0"/>
          <w:divBdr>
            <w:top w:val="none" w:sz="0" w:space="0" w:color="auto"/>
            <w:left w:val="none" w:sz="0" w:space="0" w:color="auto"/>
            <w:bottom w:val="none" w:sz="0" w:space="0" w:color="auto"/>
            <w:right w:val="none" w:sz="0" w:space="0" w:color="auto"/>
          </w:divBdr>
          <w:divsChild>
            <w:div w:id="712273422">
              <w:marLeft w:val="0"/>
              <w:marRight w:val="0"/>
              <w:marTop w:val="0"/>
              <w:marBottom w:val="0"/>
              <w:divBdr>
                <w:top w:val="none" w:sz="0" w:space="0" w:color="auto"/>
                <w:left w:val="none" w:sz="0" w:space="0" w:color="auto"/>
                <w:bottom w:val="none" w:sz="0" w:space="0" w:color="auto"/>
                <w:right w:val="none" w:sz="0" w:space="0" w:color="auto"/>
              </w:divBdr>
              <w:divsChild>
                <w:div w:id="508914690">
                  <w:marLeft w:val="0"/>
                  <w:marRight w:val="0"/>
                  <w:marTop w:val="0"/>
                  <w:marBottom w:val="0"/>
                  <w:divBdr>
                    <w:top w:val="none" w:sz="0" w:space="0" w:color="auto"/>
                    <w:left w:val="none" w:sz="0" w:space="0" w:color="auto"/>
                    <w:bottom w:val="none" w:sz="0" w:space="0" w:color="auto"/>
                    <w:right w:val="none" w:sz="0" w:space="0" w:color="auto"/>
                  </w:divBdr>
                  <w:divsChild>
                    <w:div w:id="3481499">
                      <w:marLeft w:val="0"/>
                      <w:marRight w:val="0"/>
                      <w:marTop w:val="0"/>
                      <w:marBottom w:val="0"/>
                      <w:divBdr>
                        <w:top w:val="none" w:sz="0" w:space="0" w:color="auto"/>
                        <w:left w:val="none" w:sz="0" w:space="0" w:color="auto"/>
                        <w:bottom w:val="none" w:sz="0" w:space="0" w:color="auto"/>
                        <w:right w:val="none" w:sz="0" w:space="0" w:color="auto"/>
                      </w:divBdr>
                      <w:divsChild>
                        <w:div w:id="1767143331">
                          <w:marLeft w:val="0"/>
                          <w:marRight w:val="0"/>
                          <w:marTop w:val="0"/>
                          <w:marBottom w:val="0"/>
                          <w:divBdr>
                            <w:top w:val="none" w:sz="0" w:space="0" w:color="auto"/>
                            <w:left w:val="none" w:sz="0" w:space="0" w:color="auto"/>
                            <w:bottom w:val="none" w:sz="0" w:space="0" w:color="auto"/>
                            <w:right w:val="none" w:sz="0" w:space="0" w:color="auto"/>
                          </w:divBdr>
                          <w:divsChild>
                            <w:div w:id="1821455727">
                              <w:marLeft w:val="0"/>
                              <w:marRight w:val="0"/>
                              <w:marTop w:val="0"/>
                              <w:marBottom w:val="0"/>
                              <w:divBdr>
                                <w:top w:val="none" w:sz="0" w:space="0" w:color="auto"/>
                                <w:left w:val="none" w:sz="0" w:space="0" w:color="auto"/>
                                <w:bottom w:val="none" w:sz="0" w:space="0" w:color="auto"/>
                                <w:right w:val="none" w:sz="0" w:space="0" w:color="auto"/>
                              </w:divBdr>
                              <w:divsChild>
                                <w:div w:id="1047684943">
                                  <w:marLeft w:val="0"/>
                                  <w:marRight w:val="0"/>
                                  <w:marTop w:val="0"/>
                                  <w:marBottom w:val="0"/>
                                  <w:divBdr>
                                    <w:top w:val="none" w:sz="0" w:space="0" w:color="auto"/>
                                    <w:left w:val="none" w:sz="0" w:space="0" w:color="auto"/>
                                    <w:bottom w:val="none" w:sz="0" w:space="0" w:color="auto"/>
                                    <w:right w:val="none" w:sz="0" w:space="0" w:color="auto"/>
                                  </w:divBdr>
                                  <w:divsChild>
                                    <w:div w:id="204409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935050">
                          <w:marLeft w:val="0"/>
                          <w:marRight w:val="0"/>
                          <w:marTop w:val="0"/>
                          <w:marBottom w:val="0"/>
                          <w:divBdr>
                            <w:top w:val="none" w:sz="0" w:space="0" w:color="auto"/>
                            <w:left w:val="none" w:sz="0" w:space="0" w:color="auto"/>
                            <w:bottom w:val="none" w:sz="0" w:space="0" w:color="auto"/>
                            <w:right w:val="none" w:sz="0" w:space="0" w:color="auto"/>
                          </w:divBdr>
                          <w:divsChild>
                            <w:div w:id="1152453203">
                              <w:marLeft w:val="0"/>
                              <w:marRight w:val="0"/>
                              <w:marTop w:val="0"/>
                              <w:marBottom w:val="0"/>
                              <w:divBdr>
                                <w:top w:val="none" w:sz="0" w:space="0" w:color="auto"/>
                                <w:left w:val="none" w:sz="0" w:space="0" w:color="auto"/>
                                <w:bottom w:val="none" w:sz="0" w:space="0" w:color="auto"/>
                                <w:right w:val="none" w:sz="0" w:space="0" w:color="auto"/>
                              </w:divBdr>
                              <w:divsChild>
                                <w:div w:id="131367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737497">
      <w:bodyDiv w:val="1"/>
      <w:marLeft w:val="0"/>
      <w:marRight w:val="0"/>
      <w:marTop w:val="0"/>
      <w:marBottom w:val="0"/>
      <w:divBdr>
        <w:top w:val="none" w:sz="0" w:space="0" w:color="auto"/>
        <w:left w:val="none" w:sz="0" w:space="0" w:color="auto"/>
        <w:bottom w:val="none" w:sz="0" w:space="0" w:color="auto"/>
        <w:right w:val="none" w:sz="0" w:space="0" w:color="auto"/>
      </w:divBdr>
      <w:divsChild>
        <w:div w:id="155344422">
          <w:marLeft w:val="0"/>
          <w:marRight w:val="0"/>
          <w:marTop w:val="0"/>
          <w:marBottom w:val="0"/>
          <w:divBdr>
            <w:top w:val="none" w:sz="0" w:space="0" w:color="auto"/>
            <w:left w:val="none" w:sz="0" w:space="0" w:color="auto"/>
            <w:bottom w:val="none" w:sz="0" w:space="0" w:color="auto"/>
            <w:right w:val="none" w:sz="0" w:space="0" w:color="auto"/>
          </w:divBdr>
          <w:divsChild>
            <w:div w:id="211231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89170">
      <w:bodyDiv w:val="1"/>
      <w:marLeft w:val="0"/>
      <w:marRight w:val="0"/>
      <w:marTop w:val="0"/>
      <w:marBottom w:val="0"/>
      <w:divBdr>
        <w:top w:val="none" w:sz="0" w:space="0" w:color="auto"/>
        <w:left w:val="none" w:sz="0" w:space="0" w:color="auto"/>
        <w:bottom w:val="none" w:sz="0" w:space="0" w:color="auto"/>
        <w:right w:val="none" w:sz="0" w:space="0" w:color="auto"/>
      </w:divBdr>
    </w:div>
    <w:div w:id="72700979">
      <w:bodyDiv w:val="1"/>
      <w:marLeft w:val="0"/>
      <w:marRight w:val="0"/>
      <w:marTop w:val="0"/>
      <w:marBottom w:val="0"/>
      <w:divBdr>
        <w:top w:val="none" w:sz="0" w:space="0" w:color="auto"/>
        <w:left w:val="none" w:sz="0" w:space="0" w:color="auto"/>
        <w:bottom w:val="none" w:sz="0" w:space="0" w:color="auto"/>
        <w:right w:val="none" w:sz="0" w:space="0" w:color="auto"/>
      </w:divBdr>
    </w:div>
    <w:div w:id="82459600">
      <w:bodyDiv w:val="1"/>
      <w:marLeft w:val="0"/>
      <w:marRight w:val="0"/>
      <w:marTop w:val="0"/>
      <w:marBottom w:val="0"/>
      <w:divBdr>
        <w:top w:val="none" w:sz="0" w:space="0" w:color="auto"/>
        <w:left w:val="none" w:sz="0" w:space="0" w:color="auto"/>
        <w:bottom w:val="none" w:sz="0" w:space="0" w:color="auto"/>
        <w:right w:val="none" w:sz="0" w:space="0" w:color="auto"/>
      </w:divBdr>
    </w:div>
    <w:div w:id="116683751">
      <w:bodyDiv w:val="1"/>
      <w:marLeft w:val="0"/>
      <w:marRight w:val="0"/>
      <w:marTop w:val="0"/>
      <w:marBottom w:val="0"/>
      <w:divBdr>
        <w:top w:val="none" w:sz="0" w:space="0" w:color="auto"/>
        <w:left w:val="none" w:sz="0" w:space="0" w:color="auto"/>
        <w:bottom w:val="none" w:sz="0" w:space="0" w:color="auto"/>
        <w:right w:val="none" w:sz="0" w:space="0" w:color="auto"/>
      </w:divBdr>
    </w:div>
    <w:div w:id="179466643">
      <w:bodyDiv w:val="1"/>
      <w:marLeft w:val="0"/>
      <w:marRight w:val="0"/>
      <w:marTop w:val="0"/>
      <w:marBottom w:val="0"/>
      <w:divBdr>
        <w:top w:val="none" w:sz="0" w:space="0" w:color="auto"/>
        <w:left w:val="none" w:sz="0" w:space="0" w:color="auto"/>
        <w:bottom w:val="none" w:sz="0" w:space="0" w:color="auto"/>
        <w:right w:val="none" w:sz="0" w:space="0" w:color="auto"/>
      </w:divBdr>
    </w:div>
    <w:div w:id="183131334">
      <w:bodyDiv w:val="1"/>
      <w:marLeft w:val="0"/>
      <w:marRight w:val="0"/>
      <w:marTop w:val="0"/>
      <w:marBottom w:val="0"/>
      <w:divBdr>
        <w:top w:val="none" w:sz="0" w:space="0" w:color="auto"/>
        <w:left w:val="none" w:sz="0" w:space="0" w:color="auto"/>
        <w:bottom w:val="none" w:sz="0" w:space="0" w:color="auto"/>
        <w:right w:val="none" w:sz="0" w:space="0" w:color="auto"/>
      </w:divBdr>
      <w:divsChild>
        <w:div w:id="1317297809">
          <w:marLeft w:val="0"/>
          <w:marRight w:val="0"/>
          <w:marTop w:val="0"/>
          <w:marBottom w:val="0"/>
          <w:divBdr>
            <w:top w:val="none" w:sz="0" w:space="0" w:color="auto"/>
            <w:left w:val="none" w:sz="0" w:space="0" w:color="auto"/>
            <w:bottom w:val="none" w:sz="0" w:space="0" w:color="auto"/>
            <w:right w:val="none" w:sz="0" w:space="0" w:color="auto"/>
          </w:divBdr>
          <w:divsChild>
            <w:div w:id="87786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89169">
      <w:bodyDiv w:val="1"/>
      <w:marLeft w:val="0"/>
      <w:marRight w:val="0"/>
      <w:marTop w:val="0"/>
      <w:marBottom w:val="0"/>
      <w:divBdr>
        <w:top w:val="none" w:sz="0" w:space="0" w:color="auto"/>
        <w:left w:val="none" w:sz="0" w:space="0" w:color="auto"/>
        <w:bottom w:val="none" w:sz="0" w:space="0" w:color="auto"/>
        <w:right w:val="none" w:sz="0" w:space="0" w:color="auto"/>
      </w:divBdr>
    </w:div>
    <w:div w:id="371804959">
      <w:bodyDiv w:val="1"/>
      <w:marLeft w:val="0"/>
      <w:marRight w:val="0"/>
      <w:marTop w:val="0"/>
      <w:marBottom w:val="0"/>
      <w:divBdr>
        <w:top w:val="none" w:sz="0" w:space="0" w:color="auto"/>
        <w:left w:val="none" w:sz="0" w:space="0" w:color="auto"/>
        <w:bottom w:val="none" w:sz="0" w:space="0" w:color="auto"/>
        <w:right w:val="none" w:sz="0" w:space="0" w:color="auto"/>
      </w:divBdr>
      <w:divsChild>
        <w:div w:id="2078670958">
          <w:marLeft w:val="0"/>
          <w:marRight w:val="0"/>
          <w:marTop w:val="0"/>
          <w:marBottom w:val="0"/>
          <w:divBdr>
            <w:top w:val="none" w:sz="0" w:space="0" w:color="auto"/>
            <w:left w:val="none" w:sz="0" w:space="0" w:color="auto"/>
            <w:bottom w:val="none" w:sz="0" w:space="0" w:color="auto"/>
            <w:right w:val="none" w:sz="0" w:space="0" w:color="auto"/>
          </w:divBdr>
          <w:divsChild>
            <w:div w:id="140699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930579">
      <w:bodyDiv w:val="1"/>
      <w:marLeft w:val="0"/>
      <w:marRight w:val="0"/>
      <w:marTop w:val="0"/>
      <w:marBottom w:val="0"/>
      <w:divBdr>
        <w:top w:val="none" w:sz="0" w:space="0" w:color="auto"/>
        <w:left w:val="none" w:sz="0" w:space="0" w:color="auto"/>
        <w:bottom w:val="none" w:sz="0" w:space="0" w:color="auto"/>
        <w:right w:val="none" w:sz="0" w:space="0" w:color="auto"/>
      </w:divBdr>
    </w:div>
    <w:div w:id="390154657">
      <w:bodyDiv w:val="1"/>
      <w:marLeft w:val="0"/>
      <w:marRight w:val="0"/>
      <w:marTop w:val="0"/>
      <w:marBottom w:val="0"/>
      <w:divBdr>
        <w:top w:val="none" w:sz="0" w:space="0" w:color="auto"/>
        <w:left w:val="none" w:sz="0" w:space="0" w:color="auto"/>
        <w:bottom w:val="none" w:sz="0" w:space="0" w:color="auto"/>
        <w:right w:val="none" w:sz="0" w:space="0" w:color="auto"/>
      </w:divBdr>
    </w:div>
    <w:div w:id="397442065">
      <w:bodyDiv w:val="1"/>
      <w:marLeft w:val="0"/>
      <w:marRight w:val="0"/>
      <w:marTop w:val="0"/>
      <w:marBottom w:val="0"/>
      <w:divBdr>
        <w:top w:val="none" w:sz="0" w:space="0" w:color="auto"/>
        <w:left w:val="none" w:sz="0" w:space="0" w:color="auto"/>
        <w:bottom w:val="none" w:sz="0" w:space="0" w:color="auto"/>
        <w:right w:val="none" w:sz="0" w:space="0" w:color="auto"/>
      </w:divBdr>
    </w:div>
    <w:div w:id="431442017">
      <w:bodyDiv w:val="1"/>
      <w:marLeft w:val="0"/>
      <w:marRight w:val="0"/>
      <w:marTop w:val="0"/>
      <w:marBottom w:val="0"/>
      <w:divBdr>
        <w:top w:val="none" w:sz="0" w:space="0" w:color="auto"/>
        <w:left w:val="none" w:sz="0" w:space="0" w:color="auto"/>
        <w:bottom w:val="none" w:sz="0" w:space="0" w:color="auto"/>
        <w:right w:val="none" w:sz="0" w:space="0" w:color="auto"/>
      </w:divBdr>
      <w:divsChild>
        <w:div w:id="1947958715">
          <w:marLeft w:val="0"/>
          <w:marRight w:val="0"/>
          <w:marTop w:val="0"/>
          <w:marBottom w:val="0"/>
          <w:divBdr>
            <w:top w:val="none" w:sz="0" w:space="0" w:color="auto"/>
            <w:left w:val="none" w:sz="0" w:space="0" w:color="auto"/>
            <w:bottom w:val="none" w:sz="0" w:space="0" w:color="auto"/>
            <w:right w:val="none" w:sz="0" w:space="0" w:color="auto"/>
          </w:divBdr>
          <w:divsChild>
            <w:div w:id="50667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110136">
      <w:bodyDiv w:val="1"/>
      <w:marLeft w:val="0"/>
      <w:marRight w:val="0"/>
      <w:marTop w:val="0"/>
      <w:marBottom w:val="0"/>
      <w:divBdr>
        <w:top w:val="none" w:sz="0" w:space="0" w:color="auto"/>
        <w:left w:val="none" w:sz="0" w:space="0" w:color="auto"/>
        <w:bottom w:val="none" w:sz="0" w:space="0" w:color="auto"/>
        <w:right w:val="none" w:sz="0" w:space="0" w:color="auto"/>
      </w:divBdr>
    </w:div>
    <w:div w:id="507210634">
      <w:bodyDiv w:val="1"/>
      <w:marLeft w:val="0"/>
      <w:marRight w:val="0"/>
      <w:marTop w:val="0"/>
      <w:marBottom w:val="0"/>
      <w:divBdr>
        <w:top w:val="none" w:sz="0" w:space="0" w:color="auto"/>
        <w:left w:val="none" w:sz="0" w:space="0" w:color="auto"/>
        <w:bottom w:val="none" w:sz="0" w:space="0" w:color="auto"/>
        <w:right w:val="none" w:sz="0" w:space="0" w:color="auto"/>
      </w:divBdr>
      <w:divsChild>
        <w:div w:id="372583985">
          <w:marLeft w:val="0"/>
          <w:marRight w:val="0"/>
          <w:marTop w:val="0"/>
          <w:marBottom w:val="0"/>
          <w:divBdr>
            <w:top w:val="none" w:sz="0" w:space="0" w:color="auto"/>
            <w:left w:val="none" w:sz="0" w:space="0" w:color="auto"/>
            <w:bottom w:val="none" w:sz="0" w:space="0" w:color="auto"/>
            <w:right w:val="none" w:sz="0" w:space="0" w:color="auto"/>
          </w:divBdr>
          <w:divsChild>
            <w:div w:id="166678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811154">
      <w:bodyDiv w:val="1"/>
      <w:marLeft w:val="0"/>
      <w:marRight w:val="0"/>
      <w:marTop w:val="0"/>
      <w:marBottom w:val="0"/>
      <w:divBdr>
        <w:top w:val="none" w:sz="0" w:space="0" w:color="auto"/>
        <w:left w:val="none" w:sz="0" w:space="0" w:color="auto"/>
        <w:bottom w:val="none" w:sz="0" w:space="0" w:color="auto"/>
        <w:right w:val="none" w:sz="0" w:space="0" w:color="auto"/>
      </w:divBdr>
      <w:divsChild>
        <w:div w:id="1712732495">
          <w:marLeft w:val="0"/>
          <w:marRight w:val="0"/>
          <w:marTop w:val="0"/>
          <w:marBottom w:val="0"/>
          <w:divBdr>
            <w:top w:val="none" w:sz="0" w:space="0" w:color="auto"/>
            <w:left w:val="none" w:sz="0" w:space="0" w:color="auto"/>
            <w:bottom w:val="none" w:sz="0" w:space="0" w:color="auto"/>
            <w:right w:val="none" w:sz="0" w:space="0" w:color="auto"/>
          </w:divBdr>
          <w:divsChild>
            <w:div w:id="167595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099236">
      <w:bodyDiv w:val="1"/>
      <w:marLeft w:val="0"/>
      <w:marRight w:val="0"/>
      <w:marTop w:val="0"/>
      <w:marBottom w:val="0"/>
      <w:divBdr>
        <w:top w:val="none" w:sz="0" w:space="0" w:color="auto"/>
        <w:left w:val="none" w:sz="0" w:space="0" w:color="auto"/>
        <w:bottom w:val="none" w:sz="0" w:space="0" w:color="auto"/>
        <w:right w:val="none" w:sz="0" w:space="0" w:color="auto"/>
      </w:divBdr>
    </w:div>
    <w:div w:id="613295486">
      <w:bodyDiv w:val="1"/>
      <w:marLeft w:val="0"/>
      <w:marRight w:val="0"/>
      <w:marTop w:val="0"/>
      <w:marBottom w:val="0"/>
      <w:divBdr>
        <w:top w:val="none" w:sz="0" w:space="0" w:color="auto"/>
        <w:left w:val="none" w:sz="0" w:space="0" w:color="auto"/>
        <w:bottom w:val="none" w:sz="0" w:space="0" w:color="auto"/>
        <w:right w:val="none" w:sz="0" w:space="0" w:color="auto"/>
      </w:divBdr>
      <w:divsChild>
        <w:div w:id="1669140368">
          <w:marLeft w:val="0"/>
          <w:marRight w:val="0"/>
          <w:marTop w:val="0"/>
          <w:marBottom w:val="0"/>
          <w:divBdr>
            <w:top w:val="none" w:sz="0" w:space="0" w:color="auto"/>
            <w:left w:val="none" w:sz="0" w:space="0" w:color="auto"/>
            <w:bottom w:val="none" w:sz="0" w:space="0" w:color="auto"/>
            <w:right w:val="none" w:sz="0" w:space="0" w:color="auto"/>
          </w:divBdr>
          <w:divsChild>
            <w:div w:id="92703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261222">
      <w:bodyDiv w:val="1"/>
      <w:marLeft w:val="0"/>
      <w:marRight w:val="0"/>
      <w:marTop w:val="0"/>
      <w:marBottom w:val="0"/>
      <w:divBdr>
        <w:top w:val="none" w:sz="0" w:space="0" w:color="auto"/>
        <w:left w:val="none" w:sz="0" w:space="0" w:color="auto"/>
        <w:bottom w:val="none" w:sz="0" w:space="0" w:color="auto"/>
        <w:right w:val="none" w:sz="0" w:space="0" w:color="auto"/>
      </w:divBdr>
      <w:divsChild>
        <w:div w:id="392125024">
          <w:marLeft w:val="0"/>
          <w:marRight w:val="0"/>
          <w:marTop w:val="0"/>
          <w:marBottom w:val="0"/>
          <w:divBdr>
            <w:top w:val="none" w:sz="0" w:space="0" w:color="auto"/>
            <w:left w:val="none" w:sz="0" w:space="0" w:color="auto"/>
            <w:bottom w:val="none" w:sz="0" w:space="0" w:color="auto"/>
            <w:right w:val="none" w:sz="0" w:space="0" w:color="auto"/>
          </w:divBdr>
          <w:divsChild>
            <w:div w:id="72194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776619">
      <w:bodyDiv w:val="1"/>
      <w:marLeft w:val="0"/>
      <w:marRight w:val="0"/>
      <w:marTop w:val="0"/>
      <w:marBottom w:val="0"/>
      <w:divBdr>
        <w:top w:val="none" w:sz="0" w:space="0" w:color="auto"/>
        <w:left w:val="none" w:sz="0" w:space="0" w:color="auto"/>
        <w:bottom w:val="none" w:sz="0" w:space="0" w:color="auto"/>
        <w:right w:val="none" w:sz="0" w:space="0" w:color="auto"/>
      </w:divBdr>
    </w:div>
    <w:div w:id="663122123">
      <w:bodyDiv w:val="1"/>
      <w:marLeft w:val="0"/>
      <w:marRight w:val="0"/>
      <w:marTop w:val="0"/>
      <w:marBottom w:val="0"/>
      <w:divBdr>
        <w:top w:val="none" w:sz="0" w:space="0" w:color="auto"/>
        <w:left w:val="none" w:sz="0" w:space="0" w:color="auto"/>
        <w:bottom w:val="none" w:sz="0" w:space="0" w:color="auto"/>
        <w:right w:val="none" w:sz="0" w:space="0" w:color="auto"/>
      </w:divBdr>
    </w:div>
    <w:div w:id="708920031">
      <w:bodyDiv w:val="1"/>
      <w:marLeft w:val="0"/>
      <w:marRight w:val="0"/>
      <w:marTop w:val="0"/>
      <w:marBottom w:val="0"/>
      <w:divBdr>
        <w:top w:val="none" w:sz="0" w:space="0" w:color="auto"/>
        <w:left w:val="none" w:sz="0" w:space="0" w:color="auto"/>
        <w:bottom w:val="none" w:sz="0" w:space="0" w:color="auto"/>
        <w:right w:val="none" w:sz="0" w:space="0" w:color="auto"/>
      </w:divBdr>
      <w:divsChild>
        <w:div w:id="1513489176">
          <w:marLeft w:val="0"/>
          <w:marRight w:val="0"/>
          <w:marTop w:val="0"/>
          <w:marBottom w:val="0"/>
          <w:divBdr>
            <w:top w:val="none" w:sz="0" w:space="0" w:color="auto"/>
            <w:left w:val="none" w:sz="0" w:space="0" w:color="auto"/>
            <w:bottom w:val="none" w:sz="0" w:space="0" w:color="auto"/>
            <w:right w:val="none" w:sz="0" w:space="0" w:color="auto"/>
          </w:divBdr>
          <w:divsChild>
            <w:div w:id="176692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788184">
      <w:bodyDiv w:val="1"/>
      <w:marLeft w:val="0"/>
      <w:marRight w:val="0"/>
      <w:marTop w:val="0"/>
      <w:marBottom w:val="0"/>
      <w:divBdr>
        <w:top w:val="none" w:sz="0" w:space="0" w:color="auto"/>
        <w:left w:val="none" w:sz="0" w:space="0" w:color="auto"/>
        <w:bottom w:val="none" w:sz="0" w:space="0" w:color="auto"/>
        <w:right w:val="none" w:sz="0" w:space="0" w:color="auto"/>
      </w:divBdr>
    </w:div>
    <w:div w:id="767892409">
      <w:bodyDiv w:val="1"/>
      <w:marLeft w:val="0"/>
      <w:marRight w:val="0"/>
      <w:marTop w:val="0"/>
      <w:marBottom w:val="0"/>
      <w:divBdr>
        <w:top w:val="none" w:sz="0" w:space="0" w:color="auto"/>
        <w:left w:val="none" w:sz="0" w:space="0" w:color="auto"/>
        <w:bottom w:val="none" w:sz="0" w:space="0" w:color="auto"/>
        <w:right w:val="none" w:sz="0" w:space="0" w:color="auto"/>
      </w:divBdr>
      <w:divsChild>
        <w:div w:id="1334801741">
          <w:marLeft w:val="0"/>
          <w:marRight w:val="0"/>
          <w:marTop w:val="0"/>
          <w:marBottom w:val="0"/>
          <w:divBdr>
            <w:top w:val="none" w:sz="0" w:space="0" w:color="auto"/>
            <w:left w:val="none" w:sz="0" w:space="0" w:color="auto"/>
            <w:bottom w:val="none" w:sz="0" w:space="0" w:color="auto"/>
            <w:right w:val="none" w:sz="0" w:space="0" w:color="auto"/>
          </w:divBdr>
          <w:divsChild>
            <w:div w:id="1712340081">
              <w:marLeft w:val="0"/>
              <w:marRight w:val="0"/>
              <w:marTop w:val="0"/>
              <w:marBottom w:val="0"/>
              <w:divBdr>
                <w:top w:val="none" w:sz="0" w:space="0" w:color="auto"/>
                <w:left w:val="none" w:sz="0" w:space="0" w:color="auto"/>
                <w:bottom w:val="none" w:sz="0" w:space="0" w:color="auto"/>
                <w:right w:val="none" w:sz="0" w:space="0" w:color="auto"/>
              </w:divBdr>
              <w:divsChild>
                <w:div w:id="150105989">
                  <w:marLeft w:val="0"/>
                  <w:marRight w:val="0"/>
                  <w:marTop w:val="0"/>
                  <w:marBottom w:val="0"/>
                  <w:divBdr>
                    <w:top w:val="none" w:sz="0" w:space="0" w:color="auto"/>
                    <w:left w:val="none" w:sz="0" w:space="0" w:color="auto"/>
                    <w:bottom w:val="none" w:sz="0" w:space="0" w:color="auto"/>
                    <w:right w:val="none" w:sz="0" w:space="0" w:color="auto"/>
                  </w:divBdr>
                  <w:divsChild>
                    <w:div w:id="1293943071">
                      <w:marLeft w:val="0"/>
                      <w:marRight w:val="0"/>
                      <w:marTop w:val="0"/>
                      <w:marBottom w:val="0"/>
                      <w:divBdr>
                        <w:top w:val="none" w:sz="0" w:space="0" w:color="auto"/>
                        <w:left w:val="none" w:sz="0" w:space="0" w:color="auto"/>
                        <w:bottom w:val="none" w:sz="0" w:space="0" w:color="auto"/>
                        <w:right w:val="none" w:sz="0" w:space="0" w:color="auto"/>
                      </w:divBdr>
                      <w:divsChild>
                        <w:div w:id="2057268267">
                          <w:marLeft w:val="0"/>
                          <w:marRight w:val="0"/>
                          <w:marTop w:val="0"/>
                          <w:marBottom w:val="0"/>
                          <w:divBdr>
                            <w:top w:val="none" w:sz="0" w:space="0" w:color="auto"/>
                            <w:left w:val="none" w:sz="0" w:space="0" w:color="auto"/>
                            <w:bottom w:val="none" w:sz="0" w:space="0" w:color="auto"/>
                            <w:right w:val="none" w:sz="0" w:space="0" w:color="auto"/>
                          </w:divBdr>
                          <w:divsChild>
                            <w:div w:id="915558569">
                              <w:marLeft w:val="0"/>
                              <w:marRight w:val="0"/>
                              <w:marTop w:val="0"/>
                              <w:marBottom w:val="0"/>
                              <w:divBdr>
                                <w:top w:val="none" w:sz="0" w:space="0" w:color="auto"/>
                                <w:left w:val="none" w:sz="0" w:space="0" w:color="auto"/>
                                <w:bottom w:val="none" w:sz="0" w:space="0" w:color="auto"/>
                                <w:right w:val="none" w:sz="0" w:space="0" w:color="auto"/>
                              </w:divBdr>
                              <w:divsChild>
                                <w:div w:id="1269123298">
                                  <w:marLeft w:val="0"/>
                                  <w:marRight w:val="0"/>
                                  <w:marTop w:val="0"/>
                                  <w:marBottom w:val="0"/>
                                  <w:divBdr>
                                    <w:top w:val="none" w:sz="0" w:space="0" w:color="auto"/>
                                    <w:left w:val="none" w:sz="0" w:space="0" w:color="auto"/>
                                    <w:bottom w:val="none" w:sz="0" w:space="0" w:color="auto"/>
                                    <w:right w:val="none" w:sz="0" w:space="0" w:color="auto"/>
                                  </w:divBdr>
                                  <w:divsChild>
                                    <w:div w:id="22526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731529">
                          <w:marLeft w:val="0"/>
                          <w:marRight w:val="0"/>
                          <w:marTop w:val="0"/>
                          <w:marBottom w:val="0"/>
                          <w:divBdr>
                            <w:top w:val="none" w:sz="0" w:space="0" w:color="auto"/>
                            <w:left w:val="none" w:sz="0" w:space="0" w:color="auto"/>
                            <w:bottom w:val="none" w:sz="0" w:space="0" w:color="auto"/>
                            <w:right w:val="none" w:sz="0" w:space="0" w:color="auto"/>
                          </w:divBdr>
                          <w:divsChild>
                            <w:div w:id="104622645">
                              <w:marLeft w:val="0"/>
                              <w:marRight w:val="0"/>
                              <w:marTop w:val="0"/>
                              <w:marBottom w:val="0"/>
                              <w:divBdr>
                                <w:top w:val="none" w:sz="0" w:space="0" w:color="auto"/>
                                <w:left w:val="none" w:sz="0" w:space="0" w:color="auto"/>
                                <w:bottom w:val="none" w:sz="0" w:space="0" w:color="auto"/>
                                <w:right w:val="none" w:sz="0" w:space="0" w:color="auto"/>
                              </w:divBdr>
                              <w:divsChild>
                                <w:div w:id="156456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7235574">
      <w:bodyDiv w:val="1"/>
      <w:marLeft w:val="0"/>
      <w:marRight w:val="0"/>
      <w:marTop w:val="0"/>
      <w:marBottom w:val="0"/>
      <w:divBdr>
        <w:top w:val="none" w:sz="0" w:space="0" w:color="auto"/>
        <w:left w:val="none" w:sz="0" w:space="0" w:color="auto"/>
        <w:bottom w:val="none" w:sz="0" w:space="0" w:color="auto"/>
        <w:right w:val="none" w:sz="0" w:space="0" w:color="auto"/>
      </w:divBdr>
    </w:div>
    <w:div w:id="796410114">
      <w:bodyDiv w:val="1"/>
      <w:marLeft w:val="0"/>
      <w:marRight w:val="0"/>
      <w:marTop w:val="0"/>
      <w:marBottom w:val="0"/>
      <w:divBdr>
        <w:top w:val="none" w:sz="0" w:space="0" w:color="auto"/>
        <w:left w:val="none" w:sz="0" w:space="0" w:color="auto"/>
        <w:bottom w:val="none" w:sz="0" w:space="0" w:color="auto"/>
        <w:right w:val="none" w:sz="0" w:space="0" w:color="auto"/>
      </w:divBdr>
      <w:divsChild>
        <w:div w:id="136461244">
          <w:marLeft w:val="0"/>
          <w:marRight w:val="0"/>
          <w:marTop w:val="0"/>
          <w:marBottom w:val="0"/>
          <w:divBdr>
            <w:top w:val="none" w:sz="0" w:space="0" w:color="auto"/>
            <w:left w:val="none" w:sz="0" w:space="0" w:color="auto"/>
            <w:bottom w:val="none" w:sz="0" w:space="0" w:color="auto"/>
            <w:right w:val="none" w:sz="0" w:space="0" w:color="auto"/>
          </w:divBdr>
          <w:divsChild>
            <w:div w:id="15629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692212">
      <w:bodyDiv w:val="1"/>
      <w:marLeft w:val="0"/>
      <w:marRight w:val="0"/>
      <w:marTop w:val="0"/>
      <w:marBottom w:val="0"/>
      <w:divBdr>
        <w:top w:val="none" w:sz="0" w:space="0" w:color="auto"/>
        <w:left w:val="none" w:sz="0" w:space="0" w:color="auto"/>
        <w:bottom w:val="none" w:sz="0" w:space="0" w:color="auto"/>
        <w:right w:val="none" w:sz="0" w:space="0" w:color="auto"/>
      </w:divBdr>
    </w:div>
    <w:div w:id="834564836">
      <w:bodyDiv w:val="1"/>
      <w:marLeft w:val="0"/>
      <w:marRight w:val="0"/>
      <w:marTop w:val="0"/>
      <w:marBottom w:val="0"/>
      <w:divBdr>
        <w:top w:val="none" w:sz="0" w:space="0" w:color="auto"/>
        <w:left w:val="none" w:sz="0" w:space="0" w:color="auto"/>
        <w:bottom w:val="none" w:sz="0" w:space="0" w:color="auto"/>
        <w:right w:val="none" w:sz="0" w:space="0" w:color="auto"/>
      </w:divBdr>
    </w:div>
    <w:div w:id="983660774">
      <w:bodyDiv w:val="1"/>
      <w:marLeft w:val="0"/>
      <w:marRight w:val="0"/>
      <w:marTop w:val="0"/>
      <w:marBottom w:val="0"/>
      <w:divBdr>
        <w:top w:val="none" w:sz="0" w:space="0" w:color="auto"/>
        <w:left w:val="none" w:sz="0" w:space="0" w:color="auto"/>
        <w:bottom w:val="none" w:sz="0" w:space="0" w:color="auto"/>
        <w:right w:val="none" w:sz="0" w:space="0" w:color="auto"/>
      </w:divBdr>
    </w:div>
    <w:div w:id="1025208572">
      <w:bodyDiv w:val="1"/>
      <w:marLeft w:val="0"/>
      <w:marRight w:val="0"/>
      <w:marTop w:val="0"/>
      <w:marBottom w:val="0"/>
      <w:divBdr>
        <w:top w:val="none" w:sz="0" w:space="0" w:color="auto"/>
        <w:left w:val="none" w:sz="0" w:space="0" w:color="auto"/>
        <w:bottom w:val="none" w:sz="0" w:space="0" w:color="auto"/>
        <w:right w:val="none" w:sz="0" w:space="0" w:color="auto"/>
      </w:divBdr>
    </w:div>
    <w:div w:id="1093673201">
      <w:bodyDiv w:val="1"/>
      <w:marLeft w:val="0"/>
      <w:marRight w:val="0"/>
      <w:marTop w:val="0"/>
      <w:marBottom w:val="0"/>
      <w:divBdr>
        <w:top w:val="none" w:sz="0" w:space="0" w:color="auto"/>
        <w:left w:val="none" w:sz="0" w:space="0" w:color="auto"/>
        <w:bottom w:val="none" w:sz="0" w:space="0" w:color="auto"/>
        <w:right w:val="none" w:sz="0" w:space="0" w:color="auto"/>
      </w:divBdr>
      <w:divsChild>
        <w:div w:id="1353875083">
          <w:marLeft w:val="0"/>
          <w:marRight w:val="0"/>
          <w:marTop w:val="0"/>
          <w:marBottom w:val="0"/>
          <w:divBdr>
            <w:top w:val="none" w:sz="0" w:space="0" w:color="auto"/>
            <w:left w:val="none" w:sz="0" w:space="0" w:color="auto"/>
            <w:bottom w:val="none" w:sz="0" w:space="0" w:color="auto"/>
            <w:right w:val="none" w:sz="0" w:space="0" w:color="auto"/>
          </w:divBdr>
          <w:divsChild>
            <w:div w:id="161350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82988">
      <w:bodyDiv w:val="1"/>
      <w:marLeft w:val="0"/>
      <w:marRight w:val="0"/>
      <w:marTop w:val="0"/>
      <w:marBottom w:val="0"/>
      <w:divBdr>
        <w:top w:val="none" w:sz="0" w:space="0" w:color="auto"/>
        <w:left w:val="none" w:sz="0" w:space="0" w:color="auto"/>
        <w:bottom w:val="none" w:sz="0" w:space="0" w:color="auto"/>
        <w:right w:val="none" w:sz="0" w:space="0" w:color="auto"/>
      </w:divBdr>
    </w:div>
    <w:div w:id="1178157288">
      <w:bodyDiv w:val="1"/>
      <w:marLeft w:val="0"/>
      <w:marRight w:val="0"/>
      <w:marTop w:val="0"/>
      <w:marBottom w:val="0"/>
      <w:divBdr>
        <w:top w:val="none" w:sz="0" w:space="0" w:color="auto"/>
        <w:left w:val="none" w:sz="0" w:space="0" w:color="auto"/>
        <w:bottom w:val="none" w:sz="0" w:space="0" w:color="auto"/>
        <w:right w:val="none" w:sz="0" w:space="0" w:color="auto"/>
      </w:divBdr>
    </w:div>
    <w:div w:id="1203443951">
      <w:bodyDiv w:val="1"/>
      <w:marLeft w:val="0"/>
      <w:marRight w:val="0"/>
      <w:marTop w:val="0"/>
      <w:marBottom w:val="0"/>
      <w:divBdr>
        <w:top w:val="none" w:sz="0" w:space="0" w:color="auto"/>
        <w:left w:val="none" w:sz="0" w:space="0" w:color="auto"/>
        <w:bottom w:val="none" w:sz="0" w:space="0" w:color="auto"/>
        <w:right w:val="none" w:sz="0" w:space="0" w:color="auto"/>
      </w:divBdr>
      <w:divsChild>
        <w:div w:id="1463382546">
          <w:marLeft w:val="0"/>
          <w:marRight w:val="0"/>
          <w:marTop w:val="0"/>
          <w:marBottom w:val="0"/>
          <w:divBdr>
            <w:top w:val="none" w:sz="0" w:space="0" w:color="auto"/>
            <w:left w:val="none" w:sz="0" w:space="0" w:color="auto"/>
            <w:bottom w:val="none" w:sz="0" w:space="0" w:color="auto"/>
            <w:right w:val="none" w:sz="0" w:space="0" w:color="auto"/>
          </w:divBdr>
          <w:divsChild>
            <w:div w:id="38445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081964">
      <w:bodyDiv w:val="1"/>
      <w:marLeft w:val="0"/>
      <w:marRight w:val="0"/>
      <w:marTop w:val="0"/>
      <w:marBottom w:val="0"/>
      <w:divBdr>
        <w:top w:val="none" w:sz="0" w:space="0" w:color="auto"/>
        <w:left w:val="none" w:sz="0" w:space="0" w:color="auto"/>
        <w:bottom w:val="none" w:sz="0" w:space="0" w:color="auto"/>
        <w:right w:val="none" w:sz="0" w:space="0" w:color="auto"/>
      </w:divBdr>
    </w:div>
    <w:div w:id="1438062357">
      <w:bodyDiv w:val="1"/>
      <w:marLeft w:val="0"/>
      <w:marRight w:val="0"/>
      <w:marTop w:val="0"/>
      <w:marBottom w:val="0"/>
      <w:divBdr>
        <w:top w:val="none" w:sz="0" w:space="0" w:color="auto"/>
        <w:left w:val="none" w:sz="0" w:space="0" w:color="auto"/>
        <w:bottom w:val="none" w:sz="0" w:space="0" w:color="auto"/>
        <w:right w:val="none" w:sz="0" w:space="0" w:color="auto"/>
      </w:divBdr>
    </w:div>
    <w:div w:id="1456362149">
      <w:bodyDiv w:val="1"/>
      <w:marLeft w:val="0"/>
      <w:marRight w:val="0"/>
      <w:marTop w:val="0"/>
      <w:marBottom w:val="0"/>
      <w:divBdr>
        <w:top w:val="none" w:sz="0" w:space="0" w:color="auto"/>
        <w:left w:val="none" w:sz="0" w:space="0" w:color="auto"/>
        <w:bottom w:val="none" w:sz="0" w:space="0" w:color="auto"/>
        <w:right w:val="none" w:sz="0" w:space="0" w:color="auto"/>
      </w:divBdr>
    </w:div>
    <w:div w:id="1461263648">
      <w:bodyDiv w:val="1"/>
      <w:marLeft w:val="0"/>
      <w:marRight w:val="0"/>
      <w:marTop w:val="0"/>
      <w:marBottom w:val="0"/>
      <w:divBdr>
        <w:top w:val="none" w:sz="0" w:space="0" w:color="auto"/>
        <w:left w:val="none" w:sz="0" w:space="0" w:color="auto"/>
        <w:bottom w:val="none" w:sz="0" w:space="0" w:color="auto"/>
        <w:right w:val="none" w:sz="0" w:space="0" w:color="auto"/>
      </w:divBdr>
    </w:div>
    <w:div w:id="1504003841">
      <w:bodyDiv w:val="1"/>
      <w:marLeft w:val="0"/>
      <w:marRight w:val="0"/>
      <w:marTop w:val="0"/>
      <w:marBottom w:val="0"/>
      <w:divBdr>
        <w:top w:val="none" w:sz="0" w:space="0" w:color="auto"/>
        <w:left w:val="none" w:sz="0" w:space="0" w:color="auto"/>
        <w:bottom w:val="none" w:sz="0" w:space="0" w:color="auto"/>
        <w:right w:val="none" w:sz="0" w:space="0" w:color="auto"/>
      </w:divBdr>
      <w:divsChild>
        <w:div w:id="1095713645">
          <w:marLeft w:val="0"/>
          <w:marRight w:val="0"/>
          <w:marTop w:val="0"/>
          <w:marBottom w:val="0"/>
          <w:divBdr>
            <w:top w:val="none" w:sz="0" w:space="0" w:color="auto"/>
            <w:left w:val="none" w:sz="0" w:space="0" w:color="auto"/>
            <w:bottom w:val="none" w:sz="0" w:space="0" w:color="auto"/>
            <w:right w:val="none" w:sz="0" w:space="0" w:color="auto"/>
          </w:divBdr>
          <w:divsChild>
            <w:div w:id="15218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248738">
      <w:bodyDiv w:val="1"/>
      <w:marLeft w:val="0"/>
      <w:marRight w:val="0"/>
      <w:marTop w:val="0"/>
      <w:marBottom w:val="0"/>
      <w:divBdr>
        <w:top w:val="none" w:sz="0" w:space="0" w:color="auto"/>
        <w:left w:val="none" w:sz="0" w:space="0" w:color="auto"/>
        <w:bottom w:val="none" w:sz="0" w:space="0" w:color="auto"/>
        <w:right w:val="none" w:sz="0" w:space="0" w:color="auto"/>
      </w:divBdr>
    </w:div>
    <w:div w:id="1573201207">
      <w:bodyDiv w:val="1"/>
      <w:marLeft w:val="0"/>
      <w:marRight w:val="0"/>
      <w:marTop w:val="0"/>
      <w:marBottom w:val="0"/>
      <w:divBdr>
        <w:top w:val="none" w:sz="0" w:space="0" w:color="auto"/>
        <w:left w:val="none" w:sz="0" w:space="0" w:color="auto"/>
        <w:bottom w:val="none" w:sz="0" w:space="0" w:color="auto"/>
        <w:right w:val="none" w:sz="0" w:space="0" w:color="auto"/>
      </w:divBdr>
    </w:div>
    <w:div w:id="1583179508">
      <w:bodyDiv w:val="1"/>
      <w:marLeft w:val="0"/>
      <w:marRight w:val="0"/>
      <w:marTop w:val="0"/>
      <w:marBottom w:val="0"/>
      <w:divBdr>
        <w:top w:val="none" w:sz="0" w:space="0" w:color="auto"/>
        <w:left w:val="none" w:sz="0" w:space="0" w:color="auto"/>
        <w:bottom w:val="none" w:sz="0" w:space="0" w:color="auto"/>
        <w:right w:val="none" w:sz="0" w:space="0" w:color="auto"/>
      </w:divBdr>
    </w:div>
    <w:div w:id="1624262271">
      <w:bodyDiv w:val="1"/>
      <w:marLeft w:val="0"/>
      <w:marRight w:val="0"/>
      <w:marTop w:val="0"/>
      <w:marBottom w:val="0"/>
      <w:divBdr>
        <w:top w:val="none" w:sz="0" w:space="0" w:color="auto"/>
        <w:left w:val="none" w:sz="0" w:space="0" w:color="auto"/>
        <w:bottom w:val="none" w:sz="0" w:space="0" w:color="auto"/>
        <w:right w:val="none" w:sz="0" w:space="0" w:color="auto"/>
      </w:divBdr>
    </w:div>
    <w:div w:id="1678121311">
      <w:bodyDiv w:val="1"/>
      <w:marLeft w:val="0"/>
      <w:marRight w:val="0"/>
      <w:marTop w:val="0"/>
      <w:marBottom w:val="0"/>
      <w:divBdr>
        <w:top w:val="none" w:sz="0" w:space="0" w:color="auto"/>
        <w:left w:val="none" w:sz="0" w:space="0" w:color="auto"/>
        <w:bottom w:val="none" w:sz="0" w:space="0" w:color="auto"/>
        <w:right w:val="none" w:sz="0" w:space="0" w:color="auto"/>
      </w:divBdr>
    </w:div>
    <w:div w:id="1679699850">
      <w:bodyDiv w:val="1"/>
      <w:marLeft w:val="0"/>
      <w:marRight w:val="0"/>
      <w:marTop w:val="0"/>
      <w:marBottom w:val="0"/>
      <w:divBdr>
        <w:top w:val="none" w:sz="0" w:space="0" w:color="auto"/>
        <w:left w:val="none" w:sz="0" w:space="0" w:color="auto"/>
        <w:bottom w:val="none" w:sz="0" w:space="0" w:color="auto"/>
        <w:right w:val="none" w:sz="0" w:space="0" w:color="auto"/>
      </w:divBdr>
      <w:divsChild>
        <w:div w:id="1951813053">
          <w:marLeft w:val="0"/>
          <w:marRight w:val="0"/>
          <w:marTop w:val="0"/>
          <w:marBottom w:val="0"/>
          <w:divBdr>
            <w:top w:val="none" w:sz="0" w:space="0" w:color="auto"/>
            <w:left w:val="none" w:sz="0" w:space="0" w:color="auto"/>
            <w:bottom w:val="none" w:sz="0" w:space="0" w:color="auto"/>
            <w:right w:val="none" w:sz="0" w:space="0" w:color="auto"/>
          </w:divBdr>
          <w:divsChild>
            <w:div w:id="22488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91932">
      <w:bodyDiv w:val="1"/>
      <w:marLeft w:val="0"/>
      <w:marRight w:val="0"/>
      <w:marTop w:val="0"/>
      <w:marBottom w:val="0"/>
      <w:divBdr>
        <w:top w:val="none" w:sz="0" w:space="0" w:color="auto"/>
        <w:left w:val="none" w:sz="0" w:space="0" w:color="auto"/>
        <w:bottom w:val="none" w:sz="0" w:space="0" w:color="auto"/>
        <w:right w:val="none" w:sz="0" w:space="0" w:color="auto"/>
      </w:divBdr>
    </w:div>
    <w:div w:id="1766656069">
      <w:bodyDiv w:val="1"/>
      <w:marLeft w:val="0"/>
      <w:marRight w:val="0"/>
      <w:marTop w:val="0"/>
      <w:marBottom w:val="0"/>
      <w:divBdr>
        <w:top w:val="none" w:sz="0" w:space="0" w:color="auto"/>
        <w:left w:val="none" w:sz="0" w:space="0" w:color="auto"/>
        <w:bottom w:val="none" w:sz="0" w:space="0" w:color="auto"/>
        <w:right w:val="none" w:sz="0" w:space="0" w:color="auto"/>
      </w:divBdr>
    </w:div>
    <w:div w:id="1776293282">
      <w:bodyDiv w:val="1"/>
      <w:marLeft w:val="0"/>
      <w:marRight w:val="0"/>
      <w:marTop w:val="0"/>
      <w:marBottom w:val="0"/>
      <w:divBdr>
        <w:top w:val="none" w:sz="0" w:space="0" w:color="auto"/>
        <w:left w:val="none" w:sz="0" w:space="0" w:color="auto"/>
        <w:bottom w:val="none" w:sz="0" w:space="0" w:color="auto"/>
        <w:right w:val="none" w:sz="0" w:space="0" w:color="auto"/>
      </w:divBdr>
    </w:div>
    <w:div w:id="1791044413">
      <w:bodyDiv w:val="1"/>
      <w:marLeft w:val="0"/>
      <w:marRight w:val="0"/>
      <w:marTop w:val="0"/>
      <w:marBottom w:val="0"/>
      <w:divBdr>
        <w:top w:val="none" w:sz="0" w:space="0" w:color="auto"/>
        <w:left w:val="none" w:sz="0" w:space="0" w:color="auto"/>
        <w:bottom w:val="none" w:sz="0" w:space="0" w:color="auto"/>
        <w:right w:val="none" w:sz="0" w:space="0" w:color="auto"/>
      </w:divBdr>
    </w:div>
    <w:div w:id="1807697023">
      <w:bodyDiv w:val="1"/>
      <w:marLeft w:val="0"/>
      <w:marRight w:val="0"/>
      <w:marTop w:val="0"/>
      <w:marBottom w:val="0"/>
      <w:divBdr>
        <w:top w:val="none" w:sz="0" w:space="0" w:color="auto"/>
        <w:left w:val="none" w:sz="0" w:space="0" w:color="auto"/>
        <w:bottom w:val="none" w:sz="0" w:space="0" w:color="auto"/>
        <w:right w:val="none" w:sz="0" w:space="0" w:color="auto"/>
      </w:divBdr>
    </w:div>
    <w:div w:id="1876693198">
      <w:bodyDiv w:val="1"/>
      <w:marLeft w:val="0"/>
      <w:marRight w:val="0"/>
      <w:marTop w:val="0"/>
      <w:marBottom w:val="0"/>
      <w:divBdr>
        <w:top w:val="none" w:sz="0" w:space="0" w:color="auto"/>
        <w:left w:val="none" w:sz="0" w:space="0" w:color="auto"/>
        <w:bottom w:val="none" w:sz="0" w:space="0" w:color="auto"/>
        <w:right w:val="none" w:sz="0" w:space="0" w:color="auto"/>
      </w:divBdr>
    </w:div>
    <w:div w:id="1925020377">
      <w:bodyDiv w:val="1"/>
      <w:marLeft w:val="0"/>
      <w:marRight w:val="0"/>
      <w:marTop w:val="0"/>
      <w:marBottom w:val="0"/>
      <w:divBdr>
        <w:top w:val="none" w:sz="0" w:space="0" w:color="auto"/>
        <w:left w:val="none" w:sz="0" w:space="0" w:color="auto"/>
        <w:bottom w:val="none" w:sz="0" w:space="0" w:color="auto"/>
        <w:right w:val="none" w:sz="0" w:space="0" w:color="auto"/>
      </w:divBdr>
    </w:div>
    <w:div w:id="1945767516">
      <w:bodyDiv w:val="1"/>
      <w:marLeft w:val="0"/>
      <w:marRight w:val="0"/>
      <w:marTop w:val="0"/>
      <w:marBottom w:val="0"/>
      <w:divBdr>
        <w:top w:val="none" w:sz="0" w:space="0" w:color="auto"/>
        <w:left w:val="none" w:sz="0" w:space="0" w:color="auto"/>
        <w:bottom w:val="none" w:sz="0" w:space="0" w:color="auto"/>
        <w:right w:val="none" w:sz="0" w:space="0" w:color="auto"/>
      </w:divBdr>
    </w:div>
    <w:div w:id="1956018330">
      <w:bodyDiv w:val="1"/>
      <w:marLeft w:val="0"/>
      <w:marRight w:val="0"/>
      <w:marTop w:val="0"/>
      <w:marBottom w:val="0"/>
      <w:divBdr>
        <w:top w:val="none" w:sz="0" w:space="0" w:color="auto"/>
        <w:left w:val="none" w:sz="0" w:space="0" w:color="auto"/>
        <w:bottom w:val="none" w:sz="0" w:space="0" w:color="auto"/>
        <w:right w:val="none" w:sz="0" w:space="0" w:color="auto"/>
      </w:divBdr>
    </w:div>
    <w:div w:id="1962345996">
      <w:bodyDiv w:val="1"/>
      <w:marLeft w:val="0"/>
      <w:marRight w:val="0"/>
      <w:marTop w:val="0"/>
      <w:marBottom w:val="0"/>
      <w:divBdr>
        <w:top w:val="none" w:sz="0" w:space="0" w:color="auto"/>
        <w:left w:val="none" w:sz="0" w:space="0" w:color="auto"/>
        <w:bottom w:val="none" w:sz="0" w:space="0" w:color="auto"/>
        <w:right w:val="none" w:sz="0" w:space="0" w:color="auto"/>
      </w:divBdr>
    </w:div>
    <w:div w:id="1977832027">
      <w:bodyDiv w:val="1"/>
      <w:marLeft w:val="0"/>
      <w:marRight w:val="0"/>
      <w:marTop w:val="0"/>
      <w:marBottom w:val="0"/>
      <w:divBdr>
        <w:top w:val="none" w:sz="0" w:space="0" w:color="auto"/>
        <w:left w:val="none" w:sz="0" w:space="0" w:color="auto"/>
        <w:bottom w:val="none" w:sz="0" w:space="0" w:color="auto"/>
        <w:right w:val="none" w:sz="0" w:space="0" w:color="auto"/>
      </w:divBdr>
      <w:divsChild>
        <w:div w:id="1022977608">
          <w:marLeft w:val="0"/>
          <w:marRight w:val="0"/>
          <w:marTop w:val="0"/>
          <w:marBottom w:val="0"/>
          <w:divBdr>
            <w:top w:val="none" w:sz="0" w:space="0" w:color="auto"/>
            <w:left w:val="none" w:sz="0" w:space="0" w:color="auto"/>
            <w:bottom w:val="none" w:sz="0" w:space="0" w:color="auto"/>
            <w:right w:val="none" w:sz="0" w:space="0" w:color="auto"/>
          </w:divBdr>
          <w:divsChild>
            <w:div w:id="170474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325465">
      <w:bodyDiv w:val="1"/>
      <w:marLeft w:val="0"/>
      <w:marRight w:val="0"/>
      <w:marTop w:val="0"/>
      <w:marBottom w:val="0"/>
      <w:divBdr>
        <w:top w:val="none" w:sz="0" w:space="0" w:color="auto"/>
        <w:left w:val="none" w:sz="0" w:space="0" w:color="auto"/>
        <w:bottom w:val="none" w:sz="0" w:space="0" w:color="auto"/>
        <w:right w:val="none" w:sz="0" w:space="0" w:color="auto"/>
      </w:divBdr>
      <w:divsChild>
        <w:div w:id="596519011">
          <w:marLeft w:val="0"/>
          <w:marRight w:val="0"/>
          <w:marTop w:val="0"/>
          <w:marBottom w:val="0"/>
          <w:divBdr>
            <w:top w:val="none" w:sz="0" w:space="0" w:color="auto"/>
            <w:left w:val="none" w:sz="0" w:space="0" w:color="auto"/>
            <w:bottom w:val="none" w:sz="0" w:space="0" w:color="auto"/>
            <w:right w:val="none" w:sz="0" w:space="0" w:color="auto"/>
          </w:divBdr>
          <w:divsChild>
            <w:div w:id="137966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413642">
      <w:bodyDiv w:val="1"/>
      <w:marLeft w:val="0"/>
      <w:marRight w:val="0"/>
      <w:marTop w:val="0"/>
      <w:marBottom w:val="0"/>
      <w:divBdr>
        <w:top w:val="none" w:sz="0" w:space="0" w:color="auto"/>
        <w:left w:val="none" w:sz="0" w:space="0" w:color="auto"/>
        <w:bottom w:val="none" w:sz="0" w:space="0" w:color="auto"/>
        <w:right w:val="none" w:sz="0" w:space="0" w:color="auto"/>
      </w:divBdr>
      <w:divsChild>
        <w:div w:id="837236146">
          <w:marLeft w:val="0"/>
          <w:marRight w:val="0"/>
          <w:marTop w:val="0"/>
          <w:marBottom w:val="0"/>
          <w:divBdr>
            <w:top w:val="none" w:sz="0" w:space="0" w:color="auto"/>
            <w:left w:val="none" w:sz="0" w:space="0" w:color="auto"/>
            <w:bottom w:val="none" w:sz="0" w:space="0" w:color="auto"/>
            <w:right w:val="none" w:sz="0" w:space="0" w:color="auto"/>
          </w:divBdr>
          <w:divsChild>
            <w:div w:id="35901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171999">
      <w:bodyDiv w:val="1"/>
      <w:marLeft w:val="0"/>
      <w:marRight w:val="0"/>
      <w:marTop w:val="0"/>
      <w:marBottom w:val="0"/>
      <w:divBdr>
        <w:top w:val="none" w:sz="0" w:space="0" w:color="auto"/>
        <w:left w:val="none" w:sz="0" w:space="0" w:color="auto"/>
        <w:bottom w:val="none" w:sz="0" w:space="0" w:color="auto"/>
        <w:right w:val="none" w:sz="0" w:space="0" w:color="auto"/>
      </w:divBdr>
      <w:divsChild>
        <w:div w:id="1744834718">
          <w:marLeft w:val="0"/>
          <w:marRight w:val="0"/>
          <w:marTop w:val="0"/>
          <w:marBottom w:val="0"/>
          <w:divBdr>
            <w:top w:val="none" w:sz="0" w:space="0" w:color="auto"/>
            <w:left w:val="none" w:sz="0" w:space="0" w:color="auto"/>
            <w:bottom w:val="none" w:sz="0" w:space="0" w:color="auto"/>
            <w:right w:val="none" w:sz="0" w:space="0" w:color="auto"/>
          </w:divBdr>
          <w:divsChild>
            <w:div w:id="135587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341171">
      <w:bodyDiv w:val="1"/>
      <w:marLeft w:val="0"/>
      <w:marRight w:val="0"/>
      <w:marTop w:val="0"/>
      <w:marBottom w:val="0"/>
      <w:divBdr>
        <w:top w:val="none" w:sz="0" w:space="0" w:color="auto"/>
        <w:left w:val="none" w:sz="0" w:space="0" w:color="auto"/>
        <w:bottom w:val="none" w:sz="0" w:space="0" w:color="auto"/>
        <w:right w:val="none" w:sz="0" w:space="0" w:color="auto"/>
      </w:divBdr>
      <w:divsChild>
        <w:div w:id="1253733330">
          <w:marLeft w:val="0"/>
          <w:marRight w:val="0"/>
          <w:marTop w:val="0"/>
          <w:marBottom w:val="0"/>
          <w:divBdr>
            <w:top w:val="none" w:sz="0" w:space="0" w:color="auto"/>
            <w:left w:val="none" w:sz="0" w:space="0" w:color="auto"/>
            <w:bottom w:val="none" w:sz="0" w:space="0" w:color="auto"/>
            <w:right w:val="none" w:sz="0" w:space="0" w:color="auto"/>
          </w:divBdr>
          <w:divsChild>
            <w:div w:id="207345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778888">
      <w:bodyDiv w:val="1"/>
      <w:marLeft w:val="0"/>
      <w:marRight w:val="0"/>
      <w:marTop w:val="0"/>
      <w:marBottom w:val="0"/>
      <w:divBdr>
        <w:top w:val="none" w:sz="0" w:space="0" w:color="auto"/>
        <w:left w:val="none" w:sz="0" w:space="0" w:color="auto"/>
        <w:bottom w:val="none" w:sz="0" w:space="0" w:color="auto"/>
        <w:right w:val="none" w:sz="0" w:space="0" w:color="auto"/>
      </w:divBdr>
    </w:div>
    <w:div w:id="2112313138">
      <w:bodyDiv w:val="1"/>
      <w:marLeft w:val="0"/>
      <w:marRight w:val="0"/>
      <w:marTop w:val="0"/>
      <w:marBottom w:val="0"/>
      <w:divBdr>
        <w:top w:val="none" w:sz="0" w:space="0" w:color="auto"/>
        <w:left w:val="none" w:sz="0" w:space="0" w:color="auto"/>
        <w:bottom w:val="none" w:sz="0" w:space="0" w:color="auto"/>
        <w:right w:val="none" w:sz="0" w:space="0" w:color="auto"/>
      </w:divBdr>
    </w:div>
    <w:div w:id="2118674278">
      <w:bodyDiv w:val="1"/>
      <w:marLeft w:val="0"/>
      <w:marRight w:val="0"/>
      <w:marTop w:val="0"/>
      <w:marBottom w:val="0"/>
      <w:divBdr>
        <w:top w:val="none" w:sz="0" w:space="0" w:color="auto"/>
        <w:left w:val="none" w:sz="0" w:space="0" w:color="auto"/>
        <w:bottom w:val="none" w:sz="0" w:space="0" w:color="auto"/>
        <w:right w:val="none" w:sz="0" w:space="0" w:color="auto"/>
      </w:divBdr>
    </w:div>
    <w:div w:id="2128968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1/e3sconf/202020305016" TargetMode="External"/><Relationship Id="rId13" Type="http://schemas.openxmlformats.org/officeDocument/2006/relationships/hyperlink" Target="https://doi.org/10.1177/09721509231192174" TargetMode="External"/><Relationship Id="rId18" Type="http://schemas.openxmlformats.org/officeDocument/2006/relationships/hyperlink" Target="https://www.sec.gov/Archives/edgar/data/789019/000119312516662209/0001193125-16-662209-index.htm"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30656/jak.v11i2.6913" TargetMode="External"/><Relationship Id="rId7" Type="http://schemas.openxmlformats.org/officeDocument/2006/relationships/footer" Target="footer2.xml"/><Relationship Id="rId12" Type="http://schemas.openxmlformats.org/officeDocument/2006/relationships/hyperlink" Target="https://doi.org/10.34190/EEL.20.082" TargetMode="External"/><Relationship Id="rId17" Type="http://schemas.openxmlformats.org/officeDocument/2006/relationships/hyperlink" Target="https://doi.org/10.1108/ARJ-01-2019-0002"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ec.gov/Archives/edgar/data/1271024/000127102416000035/0001271024-16-000035-index.htm" TargetMode="External"/><Relationship Id="rId20" Type="http://schemas.openxmlformats.org/officeDocument/2006/relationships/hyperlink" Target="https://www.sec.gov/Archives/edgar/data/789019/000095017024087843/0000950170-24-087843-index.htm"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statista.com/statistics/1314310/uk-linkedin-users/#:~:text=In%20January%202025%2C%20there%20were,in%20users%20since%20November%202023" TargetMode="External"/><Relationship Id="rId24" Type="http://schemas.openxmlformats.org/officeDocument/2006/relationships/hyperlink" Target="https://www.nytimes.com/2016/06/14/business/dealbook/microsoft-to-buy-linkedin-for-26-2-billion.html" TargetMode="External"/><Relationship Id="rId5" Type="http://schemas.openxmlformats.org/officeDocument/2006/relationships/endnotes" Target="endnotes.xml"/><Relationship Id="rId15" Type="http://schemas.openxmlformats.org/officeDocument/2006/relationships/hyperlink" Target="https://www.proquest.com/trade-journals/linkedin-integrates-more-buyer-intent-signals/docview/2821132177/se-2" TargetMode="External"/><Relationship Id="rId23" Type="http://schemas.openxmlformats.org/officeDocument/2006/relationships/hyperlink" Target="https://doi.org/10.1109/ICSSAS64001.2024.10760972" TargetMode="External"/><Relationship Id="rId10" Type="http://schemas.openxmlformats.org/officeDocument/2006/relationships/hyperlink" Target="https://digital-markets-act.ec.europa.eu/index_en" TargetMode="External"/><Relationship Id="rId19" Type="http://schemas.openxmlformats.org/officeDocument/2006/relationships/hyperlink" Target="https://www.sec.gov/Archives/edgar/data/789019/000156459017014900/0001564590-17-014900-index.htm" TargetMode="External"/><Relationship Id="rId4" Type="http://schemas.openxmlformats.org/officeDocument/2006/relationships/footnotes" Target="footnotes.xml"/><Relationship Id="rId9" Type="http://schemas.openxmlformats.org/officeDocument/2006/relationships/hyperlink" Target="https://librarysearch.uwtsd.ac.uk/view/action/uresolver.do?operation=resolveService&amp;package_service_id=11660031970002421&amp;institutionId=2421&amp;customerId=2415&amp;VE=true" TargetMode="External"/><Relationship Id="rId14" Type="http://schemas.openxmlformats.org/officeDocument/2006/relationships/hyperlink" Target="https://www.proquest.com/docview/2658991805?accountid=130472&amp;parentSessionId=lJQiNPCvFNf8a0QkFJJd2MHv6QQu%2BIMcbsdvDdCmIyU%3D&amp;pq-origsite=primo&amp;sourcetype=Trade%20Journals" TargetMode="External"/><Relationship Id="rId22" Type="http://schemas.openxmlformats.org/officeDocument/2006/relationships/hyperlink" Target="https://www.statista.com/outlook/amo/app/social-networking/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580</TotalTime>
  <Pages>20</Pages>
  <Words>3518</Words>
  <Characters>23817</Characters>
  <Application>Microsoft Office Word</Application>
  <DocSecurity>0</DocSecurity>
  <Lines>425</Lines>
  <Paragraphs>82</Paragraphs>
  <ScaleCrop>false</ScaleCrop>
  <HeadingPairs>
    <vt:vector size="2" baseType="variant">
      <vt:variant>
        <vt:lpstr>Title</vt:lpstr>
      </vt:variant>
      <vt:variant>
        <vt:i4>1</vt:i4>
      </vt:variant>
    </vt:vector>
  </HeadingPairs>
  <TitlesOfParts>
    <vt:vector size="1" baseType="lpstr">
      <vt:lpstr>Analysis of the Microsoft-LinkedIn Business Combination</vt:lpstr>
    </vt:vector>
  </TitlesOfParts>
  <Company/>
  <LinksUpToDate>false</LinksUpToDate>
  <CharactersWithSpaces>27253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Microsoft-LinkedIn Business Combination</dc:title>
  <dc:subject/>
  <dc:creator>Songlin Zou (2300327)</dc:creator>
  <cp:keywords/>
  <dc:description/>
  <cp:lastModifiedBy>Songlin Zou (2300327)</cp:lastModifiedBy>
  <cp:revision>279</cp:revision>
  <dcterms:created xsi:type="dcterms:W3CDTF">2025-04-03T20:44:00Z</dcterms:created>
  <dcterms:modified xsi:type="dcterms:W3CDTF">2025-04-04T22:53:00Z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eb33a3d14f0ad9bc4cb294fad0c138c6ab8d9eb81a3e86e48f2a183897c83d5d</vt:lpwstr>
  </property>
</Properties>
</file>