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2BCD07" w14:textId="77777777" w:rsidR="00FA4D7B" w:rsidRPr="0071436B" w:rsidRDefault="00680A76" w:rsidP="0071436B">
      <w:pPr>
        <w:spacing w:line="360" w:lineRule="auto"/>
        <w:jc w:val="both"/>
        <w:rPr>
          <w:rFonts w:ascii="Arial" w:hAnsi="Arial" w:cs="Arial"/>
          <w:sz w:val="24"/>
          <w:szCs w:val="24"/>
        </w:rPr>
      </w:pPr>
      <w:r w:rsidRPr="0071436B">
        <w:rPr>
          <w:rFonts w:ascii="Arial" w:hAnsi="Arial" w:cs="Arial"/>
          <w:sz w:val="24"/>
          <w:szCs w:val="24"/>
        </w:rPr>
        <w:t>Sustainability has evolved from a minor problem to an essential component of hospitality, forcing companies to balance profitability with environmental and social obligations. Corporate Social Responsibility provides a systematic framework to promote sustainable corporate practices, combining environmental conservation, social equity, and economic necessities</w:t>
      </w:r>
      <w:r w:rsidR="009C7152" w:rsidRPr="0071436B">
        <w:rPr>
          <w:rFonts w:ascii="Arial" w:hAnsi="Arial" w:cs="Arial"/>
          <w:sz w:val="24"/>
          <w:szCs w:val="24"/>
        </w:rPr>
        <w:t xml:space="preserve"> </w:t>
      </w:r>
      <w:r w:rsidR="009B3685" w:rsidRPr="0071436B">
        <w:rPr>
          <w:rFonts w:ascii="Arial" w:hAnsi="Arial" w:cs="Arial"/>
          <w:sz w:val="24"/>
          <w:szCs w:val="24"/>
        </w:rPr>
        <w:t>(Camilleri, 2020)</w:t>
      </w:r>
      <w:r w:rsidRPr="0071436B">
        <w:rPr>
          <w:rFonts w:ascii="Arial" w:hAnsi="Arial" w:cs="Arial"/>
          <w:sz w:val="24"/>
          <w:szCs w:val="24"/>
        </w:rPr>
        <w:t>. This type of approach has become essential in the hospitality sector, where ecological footprint and community impact are prominently evident. Hilton Hotels' Travel with Purpose initiative</w:t>
      </w:r>
      <w:r w:rsidR="00C224CB" w:rsidRPr="0071436B">
        <w:rPr>
          <w:rFonts w:ascii="Arial" w:hAnsi="Arial" w:cs="Arial"/>
          <w:sz w:val="24"/>
          <w:szCs w:val="24"/>
        </w:rPr>
        <w:t xml:space="preserve">, </w:t>
      </w:r>
      <w:r w:rsidR="00516678" w:rsidRPr="0071436B">
        <w:rPr>
          <w:rFonts w:ascii="Arial" w:hAnsi="Arial" w:cs="Arial"/>
          <w:sz w:val="24"/>
          <w:szCs w:val="24"/>
        </w:rPr>
        <w:t xml:space="preserve">particularly as implemented at Hilton London </w:t>
      </w:r>
      <w:r w:rsidR="0097797D" w:rsidRPr="0071436B">
        <w:rPr>
          <w:rFonts w:ascii="Arial" w:hAnsi="Arial" w:cs="Arial"/>
          <w:sz w:val="24"/>
          <w:szCs w:val="24"/>
        </w:rPr>
        <w:t>Croydon</w:t>
      </w:r>
      <w:r w:rsidR="00516678" w:rsidRPr="0071436B">
        <w:rPr>
          <w:rFonts w:ascii="Arial" w:hAnsi="Arial" w:cs="Arial"/>
          <w:sz w:val="24"/>
          <w:szCs w:val="24"/>
        </w:rPr>
        <w:t>,</w:t>
      </w:r>
      <w:r w:rsidRPr="0071436B">
        <w:rPr>
          <w:rFonts w:ascii="Arial" w:hAnsi="Arial" w:cs="Arial"/>
          <w:sz w:val="24"/>
          <w:szCs w:val="24"/>
        </w:rPr>
        <w:t> ties together its corporate social responsibility aims with the United Nations' Sustainable Development Goals (SDGs), addressing concerns like as carbon emissions, water conservation, and community welfare</w:t>
      </w:r>
      <w:r w:rsidR="009B3685" w:rsidRPr="0071436B">
        <w:rPr>
          <w:rFonts w:ascii="Arial" w:hAnsi="Arial" w:cs="Arial"/>
          <w:sz w:val="24"/>
          <w:szCs w:val="24"/>
        </w:rPr>
        <w:t xml:space="preserve"> </w:t>
      </w:r>
      <w:r w:rsidR="009B3685" w:rsidRPr="0071436B">
        <w:rPr>
          <w:rFonts w:ascii="Arial" w:hAnsi="Arial" w:cs="Arial"/>
          <w:sz w:val="24"/>
          <w:szCs w:val="24"/>
        </w:rPr>
        <w:t>(Hilton ESG, 2023)</w:t>
      </w:r>
      <w:r w:rsidRPr="0071436B">
        <w:rPr>
          <w:rFonts w:ascii="Arial" w:hAnsi="Arial" w:cs="Arial"/>
          <w:sz w:val="24"/>
          <w:szCs w:val="24"/>
        </w:rPr>
        <w:t>. This essay will study Hilton</w:t>
      </w:r>
      <w:r w:rsidR="003E552D" w:rsidRPr="0071436B">
        <w:rPr>
          <w:rFonts w:ascii="Arial" w:hAnsi="Arial" w:cs="Arial"/>
          <w:sz w:val="24"/>
          <w:szCs w:val="24"/>
        </w:rPr>
        <w:t xml:space="preserve"> London Croydon</w:t>
      </w:r>
      <w:r w:rsidRPr="0071436B">
        <w:rPr>
          <w:rFonts w:ascii="Arial" w:hAnsi="Arial" w:cs="Arial"/>
          <w:sz w:val="24"/>
          <w:szCs w:val="24"/>
        </w:rPr>
        <w:t xml:space="preserve">'s CSR policies that support sustainability in the hotel sector, explore their practical implementations, and evaluate the related problems and opportunities in implementation. </w:t>
      </w:r>
    </w:p>
    <w:p w14:paraId="46A7F6F3" w14:textId="28377224" w:rsidR="00252C95" w:rsidRPr="0071436B" w:rsidRDefault="00680A76" w:rsidP="0071436B">
      <w:pPr>
        <w:spacing w:line="360" w:lineRule="auto"/>
        <w:jc w:val="both"/>
        <w:rPr>
          <w:rFonts w:ascii="Arial" w:hAnsi="Arial" w:cs="Arial"/>
          <w:sz w:val="24"/>
          <w:szCs w:val="24"/>
        </w:rPr>
      </w:pPr>
      <w:r w:rsidRPr="0071436B">
        <w:rPr>
          <w:rFonts w:ascii="Arial" w:hAnsi="Arial" w:cs="Arial"/>
          <w:sz w:val="24"/>
          <w:szCs w:val="24"/>
        </w:rPr>
        <w:t xml:space="preserve">Furthermore, it will examine the influence of global regulations on Hilton's CSR </w:t>
      </w:r>
      <w:r w:rsidR="00597809" w:rsidRPr="0071436B">
        <w:rPr>
          <w:rFonts w:ascii="Arial" w:hAnsi="Arial" w:cs="Arial"/>
          <w:sz w:val="24"/>
          <w:szCs w:val="24"/>
        </w:rPr>
        <w:t>strategy, including</w:t>
      </w:r>
      <w:r w:rsidR="00D6548D" w:rsidRPr="0071436B">
        <w:rPr>
          <w:rFonts w:ascii="Arial" w:hAnsi="Arial" w:cs="Arial"/>
          <w:sz w:val="24"/>
          <w:szCs w:val="24"/>
        </w:rPr>
        <w:t xml:space="preserve"> specific legislation such as the European Union's Waste Framework Directive</w:t>
      </w:r>
      <w:r w:rsidR="0034324B" w:rsidRPr="0071436B">
        <w:rPr>
          <w:rFonts w:ascii="Arial" w:hAnsi="Arial" w:cs="Arial"/>
          <w:sz w:val="24"/>
          <w:szCs w:val="24"/>
        </w:rPr>
        <w:t xml:space="preserve">, </w:t>
      </w:r>
      <w:r w:rsidRPr="0071436B">
        <w:rPr>
          <w:rFonts w:ascii="Arial" w:hAnsi="Arial" w:cs="Arial"/>
          <w:sz w:val="24"/>
          <w:szCs w:val="24"/>
        </w:rPr>
        <w:t>and how CSR positions Hilton as a leader in sustainable hospitality, maintaining a lasting commitment to environmental and social principles</w:t>
      </w:r>
      <w:r w:rsidR="00252C95" w:rsidRPr="0071436B">
        <w:rPr>
          <w:rFonts w:ascii="Arial" w:hAnsi="Arial" w:cs="Arial"/>
          <w:sz w:val="24"/>
          <w:szCs w:val="24"/>
        </w:rPr>
        <w:t xml:space="preserve"> </w:t>
      </w:r>
      <w:r w:rsidR="00252C95" w:rsidRPr="0071436B">
        <w:rPr>
          <w:rFonts w:ascii="Arial" w:hAnsi="Arial" w:cs="Arial"/>
          <w:sz w:val="24"/>
          <w:szCs w:val="24"/>
        </w:rPr>
        <w:t>(Matteucci, 2020; Giesekam et al., 2021)</w:t>
      </w:r>
      <w:r w:rsidRPr="0071436B">
        <w:rPr>
          <w:rFonts w:ascii="Arial" w:hAnsi="Arial" w:cs="Arial"/>
          <w:sz w:val="24"/>
          <w:szCs w:val="24"/>
        </w:rPr>
        <w:t xml:space="preserve">. This essay aims to clarify the broader implications of CSR for sustainable growth in hospitality through an in-depth investigation of Hilton's CSR strategy. </w:t>
      </w:r>
      <w:r w:rsidRPr="0071436B">
        <w:rPr>
          <w:rFonts w:ascii="Arial" w:hAnsi="Arial" w:cs="Arial"/>
          <w:sz w:val="24"/>
          <w:szCs w:val="24"/>
        </w:rPr>
        <w:br/>
      </w:r>
    </w:p>
    <w:p w14:paraId="6A4AD9B0" w14:textId="1D5E5322" w:rsidR="00680A76" w:rsidRPr="0071436B" w:rsidRDefault="00680A76" w:rsidP="0071436B">
      <w:pPr>
        <w:spacing w:line="360" w:lineRule="auto"/>
        <w:jc w:val="both"/>
        <w:rPr>
          <w:rFonts w:ascii="Arial" w:hAnsi="Arial" w:cs="Arial"/>
          <w:sz w:val="24"/>
          <w:szCs w:val="24"/>
        </w:rPr>
      </w:pPr>
      <w:r w:rsidRPr="0071436B">
        <w:rPr>
          <w:rFonts w:ascii="Arial" w:hAnsi="Arial" w:cs="Arial"/>
          <w:sz w:val="24"/>
          <w:szCs w:val="24"/>
        </w:rPr>
        <w:t xml:space="preserve">The hotel industry </w:t>
      </w:r>
      <w:r w:rsidR="0042275D" w:rsidRPr="0071436B">
        <w:rPr>
          <w:rFonts w:ascii="Arial" w:hAnsi="Arial" w:cs="Arial"/>
          <w:sz w:val="24"/>
          <w:szCs w:val="24"/>
        </w:rPr>
        <w:t xml:space="preserve">is </w:t>
      </w:r>
      <w:r w:rsidRPr="0071436B">
        <w:rPr>
          <w:rFonts w:ascii="Arial" w:hAnsi="Arial" w:cs="Arial"/>
          <w:sz w:val="24"/>
          <w:szCs w:val="24"/>
        </w:rPr>
        <w:t>confront</w:t>
      </w:r>
      <w:r w:rsidR="0042275D" w:rsidRPr="0071436B">
        <w:rPr>
          <w:rFonts w:ascii="Arial" w:hAnsi="Arial" w:cs="Arial"/>
          <w:sz w:val="24"/>
          <w:szCs w:val="24"/>
        </w:rPr>
        <w:t>ed</w:t>
      </w:r>
      <w:r w:rsidRPr="0071436B">
        <w:rPr>
          <w:rFonts w:ascii="Arial" w:hAnsi="Arial" w:cs="Arial"/>
          <w:sz w:val="24"/>
          <w:szCs w:val="24"/>
        </w:rPr>
        <w:t xml:space="preserve"> with increasing customer demand for environmentally friendly practices, mostly driven by eco-aware travellers who prioritise sustainable accommodation. A Booking.com survey revealed that 81% of travellers prefer eco-friendly alternatives, impacting the industry's implementation of corporate social responsibility. Hilton's priority for CSR handles changing consumer expectations, aligning with a wider trend towards sustainable hospitality and setting standards in the industry which attract a dedicated, sustainability-oriented audience. </w:t>
      </w:r>
    </w:p>
    <w:p w14:paraId="4D3702E4" w14:textId="6D543239" w:rsidR="00EC339B" w:rsidRPr="0071436B" w:rsidRDefault="00437B76" w:rsidP="0071436B">
      <w:pPr>
        <w:spacing w:line="360" w:lineRule="auto"/>
        <w:jc w:val="both"/>
        <w:rPr>
          <w:rFonts w:ascii="Arial" w:hAnsi="Arial" w:cs="Arial"/>
          <w:sz w:val="24"/>
          <w:szCs w:val="24"/>
        </w:rPr>
      </w:pPr>
      <w:r w:rsidRPr="0071436B">
        <w:rPr>
          <w:rFonts w:ascii="Arial" w:hAnsi="Arial" w:cs="Arial"/>
          <w:sz w:val="24"/>
          <w:szCs w:val="24"/>
        </w:rPr>
        <w:t xml:space="preserve"> </w:t>
      </w:r>
      <w:r w:rsidR="00CA652E" w:rsidRPr="0071436B">
        <w:rPr>
          <w:rFonts w:ascii="Arial" w:hAnsi="Arial" w:cs="Arial"/>
          <w:sz w:val="24"/>
          <w:szCs w:val="24"/>
        </w:rPr>
        <w:t xml:space="preserve"> </w:t>
      </w:r>
      <w:r w:rsidR="001076E0" w:rsidRPr="0071436B">
        <w:rPr>
          <w:rFonts w:ascii="Arial" w:hAnsi="Arial" w:cs="Arial"/>
          <w:sz w:val="24"/>
          <w:szCs w:val="24"/>
        </w:rPr>
        <w:br/>
      </w:r>
      <w:r w:rsidR="00EC339B" w:rsidRPr="0071436B">
        <w:rPr>
          <w:rFonts w:ascii="Arial" w:hAnsi="Arial" w:cs="Arial"/>
          <w:sz w:val="24"/>
          <w:szCs w:val="24"/>
        </w:rPr>
        <w:t>Hilton</w:t>
      </w:r>
      <w:r w:rsidR="005C32CC" w:rsidRPr="0071436B">
        <w:rPr>
          <w:rFonts w:ascii="Arial" w:hAnsi="Arial" w:cs="Arial"/>
          <w:sz w:val="24"/>
          <w:szCs w:val="24"/>
        </w:rPr>
        <w:t xml:space="preserve"> London </w:t>
      </w:r>
      <w:r w:rsidR="00635016" w:rsidRPr="0071436B">
        <w:rPr>
          <w:rFonts w:ascii="Arial" w:hAnsi="Arial" w:cs="Arial"/>
          <w:sz w:val="24"/>
          <w:szCs w:val="24"/>
        </w:rPr>
        <w:t>Croydon</w:t>
      </w:r>
      <w:r w:rsidR="00EC339B" w:rsidRPr="0071436B">
        <w:rPr>
          <w:rFonts w:ascii="Arial" w:hAnsi="Arial" w:cs="Arial"/>
          <w:sz w:val="24"/>
          <w:szCs w:val="24"/>
        </w:rPr>
        <w:t xml:space="preserve">’s Travel with Purpose campaign represents an intense environmental commitment, focusing on climate change, resource efficiency, and waste </w:t>
      </w:r>
      <w:r w:rsidR="00EC339B" w:rsidRPr="0071436B">
        <w:rPr>
          <w:rFonts w:ascii="Arial" w:hAnsi="Arial" w:cs="Arial"/>
          <w:sz w:val="24"/>
          <w:szCs w:val="24"/>
        </w:rPr>
        <w:lastRenderedPageBreak/>
        <w:t>reduction. This Corporate Social Responsibility (CSR) approach conforms to international standards, supported by the Science Based Targets initiative (SBTi), targeting a 75% reduction in carbon emissions in managed hotels and a 56% reduction in franchised properties by 2030 (</w:t>
      </w:r>
      <w:r w:rsidR="00FD4A48" w:rsidRPr="0071436B">
        <w:rPr>
          <w:rFonts w:ascii="Arial" w:hAnsi="Arial" w:cs="Arial"/>
          <w:sz w:val="24"/>
          <w:szCs w:val="24"/>
        </w:rPr>
        <w:t>ESG, 202</w:t>
      </w:r>
      <w:r w:rsidR="00E345C1" w:rsidRPr="0071436B">
        <w:rPr>
          <w:rFonts w:ascii="Arial" w:hAnsi="Arial" w:cs="Arial"/>
          <w:sz w:val="24"/>
          <w:szCs w:val="24"/>
        </w:rPr>
        <w:t>2</w:t>
      </w:r>
      <w:r w:rsidR="00EC339B" w:rsidRPr="0071436B">
        <w:rPr>
          <w:rFonts w:ascii="Arial" w:hAnsi="Arial" w:cs="Arial"/>
          <w:sz w:val="24"/>
          <w:szCs w:val="24"/>
        </w:rPr>
        <w:t>). Research shows that firms participating in SBTi initiatives significantly reduce greenhouse gas emissions compared to non-participants, validating Hilton’s approach (Romito et al., 2023).</w:t>
      </w:r>
    </w:p>
    <w:p w14:paraId="18EF7D31" w14:textId="77777777" w:rsidR="00A05E14" w:rsidRPr="0071436B" w:rsidRDefault="00EC339B" w:rsidP="0071436B">
      <w:pPr>
        <w:spacing w:line="360" w:lineRule="auto"/>
        <w:jc w:val="both"/>
        <w:rPr>
          <w:rFonts w:ascii="Arial" w:hAnsi="Arial" w:cs="Arial"/>
          <w:sz w:val="24"/>
          <w:szCs w:val="24"/>
        </w:rPr>
      </w:pPr>
      <w:r w:rsidRPr="0071436B">
        <w:rPr>
          <w:rFonts w:ascii="Arial" w:hAnsi="Arial" w:cs="Arial"/>
          <w:sz w:val="24"/>
          <w:szCs w:val="24"/>
        </w:rPr>
        <w:t xml:space="preserve">As of 2023, Hilton </w:t>
      </w:r>
      <w:r w:rsidR="000A73E6" w:rsidRPr="0071436B">
        <w:rPr>
          <w:rFonts w:ascii="Arial" w:hAnsi="Arial" w:cs="Arial"/>
          <w:sz w:val="24"/>
          <w:szCs w:val="24"/>
        </w:rPr>
        <w:t>London Cr</w:t>
      </w:r>
      <w:r w:rsidR="002D1841" w:rsidRPr="0071436B">
        <w:rPr>
          <w:rFonts w:ascii="Arial" w:hAnsi="Arial" w:cs="Arial"/>
          <w:sz w:val="24"/>
          <w:szCs w:val="24"/>
        </w:rPr>
        <w:t>o</w:t>
      </w:r>
      <w:r w:rsidR="000A73E6" w:rsidRPr="0071436B">
        <w:rPr>
          <w:rFonts w:ascii="Arial" w:hAnsi="Arial" w:cs="Arial"/>
          <w:sz w:val="24"/>
          <w:szCs w:val="24"/>
        </w:rPr>
        <w:t>ydon</w:t>
      </w:r>
      <w:r w:rsidR="00C2381F" w:rsidRPr="0071436B">
        <w:rPr>
          <w:rFonts w:ascii="Arial" w:hAnsi="Arial" w:cs="Arial"/>
          <w:sz w:val="24"/>
          <w:szCs w:val="24"/>
        </w:rPr>
        <w:t xml:space="preserve"> contributed to </w:t>
      </w:r>
      <w:r w:rsidR="00FD0255" w:rsidRPr="0071436B">
        <w:rPr>
          <w:rFonts w:ascii="Arial" w:hAnsi="Arial" w:cs="Arial"/>
          <w:sz w:val="24"/>
          <w:szCs w:val="24"/>
        </w:rPr>
        <w:t>Hilton’s overall achievement of</w:t>
      </w:r>
      <w:r w:rsidRPr="0071436B">
        <w:rPr>
          <w:rFonts w:ascii="Arial" w:hAnsi="Arial" w:cs="Arial"/>
          <w:sz w:val="24"/>
          <w:szCs w:val="24"/>
        </w:rPr>
        <w:t xml:space="preserve"> a 45.1% decrease in carbon emissions across managed properties, showing its commitment to major environmental objectives (Hilton, 2023). Aligning with the Paris Agreement, Hilton </w:t>
      </w:r>
      <w:r w:rsidR="005C4F9A" w:rsidRPr="0071436B">
        <w:rPr>
          <w:rFonts w:ascii="Arial" w:hAnsi="Arial" w:cs="Arial"/>
          <w:sz w:val="24"/>
          <w:szCs w:val="24"/>
        </w:rPr>
        <w:t xml:space="preserve">London </w:t>
      </w:r>
      <w:r w:rsidR="00A633D5" w:rsidRPr="0071436B">
        <w:rPr>
          <w:rFonts w:ascii="Arial" w:hAnsi="Arial" w:cs="Arial"/>
          <w:sz w:val="24"/>
          <w:szCs w:val="24"/>
        </w:rPr>
        <w:t xml:space="preserve">Croydon </w:t>
      </w:r>
      <w:r w:rsidR="0077086F" w:rsidRPr="0071436B">
        <w:rPr>
          <w:rFonts w:ascii="Arial" w:hAnsi="Arial" w:cs="Arial"/>
          <w:sz w:val="24"/>
          <w:szCs w:val="24"/>
        </w:rPr>
        <w:t>is a piece of Hilton's larger strategy to set up Science-Based Target</w:t>
      </w:r>
      <w:r w:rsidR="00470519" w:rsidRPr="0071436B">
        <w:rPr>
          <w:rFonts w:ascii="Arial" w:hAnsi="Arial" w:cs="Arial"/>
          <w:sz w:val="24"/>
          <w:szCs w:val="24"/>
        </w:rPr>
        <w:t xml:space="preserve"> </w:t>
      </w:r>
      <w:r w:rsidRPr="0071436B">
        <w:rPr>
          <w:rFonts w:ascii="Arial" w:hAnsi="Arial" w:cs="Arial"/>
          <w:sz w:val="24"/>
          <w:szCs w:val="24"/>
        </w:rPr>
        <w:t>(SBTs) to reduce emissions, which is a key part of global decarboni</w:t>
      </w:r>
      <w:r w:rsidR="002D1841" w:rsidRPr="0071436B">
        <w:rPr>
          <w:rFonts w:ascii="Arial" w:hAnsi="Arial" w:cs="Arial"/>
          <w:sz w:val="24"/>
          <w:szCs w:val="24"/>
        </w:rPr>
        <w:t>s</w:t>
      </w:r>
      <w:r w:rsidRPr="0071436B">
        <w:rPr>
          <w:rFonts w:ascii="Arial" w:hAnsi="Arial" w:cs="Arial"/>
          <w:sz w:val="24"/>
          <w:szCs w:val="24"/>
        </w:rPr>
        <w:t>ation strategies (Giesekam et al., 2021). Moreover, firms adopting science-based standards often invest more in carbon-reduction projects, demonstrating that Hilton’s proactive measures are not only beneficial for the environment but also financially sound (Freiberg et al., 2021).</w:t>
      </w:r>
    </w:p>
    <w:p w14:paraId="2324B903" w14:textId="6E504838" w:rsidR="001A4483" w:rsidRPr="0071436B" w:rsidRDefault="007C57DD" w:rsidP="0071436B">
      <w:pPr>
        <w:spacing w:line="360" w:lineRule="auto"/>
        <w:jc w:val="both"/>
        <w:rPr>
          <w:rFonts w:ascii="Arial" w:hAnsi="Arial" w:cs="Arial"/>
          <w:sz w:val="24"/>
          <w:szCs w:val="24"/>
        </w:rPr>
      </w:pPr>
      <w:r w:rsidRPr="0071436B">
        <w:rPr>
          <w:rFonts w:ascii="Arial" w:hAnsi="Arial" w:cs="Arial"/>
          <w:sz w:val="24"/>
          <w:szCs w:val="24"/>
        </w:rPr>
        <w:br/>
      </w:r>
      <w:r w:rsidR="001A4483" w:rsidRPr="0071436B">
        <w:rPr>
          <w:rFonts w:ascii="Arial" w:hAnsi="Arial" w:cs="Arial"/>
          <w:sz w:val="24"/>
          <w:szCs w:val="24"/>
        </w:rPr>
        <w:t>Water conservation is being recogni</w:t>
      </w:r>
      <w:r w:rsidR="00AB566F" w:rsidRPr="0071436B">
        <w:rPr>
          <w:rFonts w:ascii="Arial" w:hAnsi="Arial" w:cs="Arial"/>
          <w:sz w:val="24"/>
          <w:szCs w:val="24"/>
        </w:rPr>
        <w:t>s</w:t>
      </w:r>
      <w:r w:rsidR="001A4483" w:rsidRPr="0071436B">
        <w:rPr>
          <w:rFonts w:ascii="Arial" w:hAnsi="Arial" w:cs="Arial"/>
          <w:sz w:val="24"/>
          <w:szCs w:val="24"/>
        </w:rPr>
        <w:t>ed as a vital component of Hilton</w:t>
      </w:r>
      <w:r w:rsidR="002C2987" w:rsidRPr="0071436B">
        <w:rPr>
          <w:rFonts w:ascii="Arial" w:hAnsi="Arial" w:cs="Arial"/>
          <w:sz w:val="24"/>
          <w:szCs w:val="24"/>
        </w:rPr>
        <w:t xml:space="preserve"> London Croyd</w:t>
      </w:r>
      <w:r w:rsidR="00A61D27" w:rsidRPr="0071436B">
        <w:rPr>
          <w:rFonts w:ascii="Arial" w:hAnsi="Arial" w:cs="Arial"/>
          <w:sz w:val="24"/>
          <w:szCs w:val="24"/>
        </w:rPr>
        <w:t>on</w:t>
      </w:r>
      <w:r w:rsidR="001A4483" w:rsidRPr="0071436B">
        <w:rPr>
          <w:rFonts w:ascii="Arial" w:hAnsi="Arial" w:cs="Arial"/>
          <w:sz w:val="24"/>
          <w:szCs w:val="24"/>
        </w:rPr>
        <w:t xml:space="preserve">'s corporate social responsibility approach. As of 2023, the </w:t>
      </w:r>
      <w:r w:rsidR="000B33E3" w:rsidRPr="0071436B">
        <w:rPr>
          <w:rFonts w:ascii="Arial" w:hAnsi="Arial" w:cs="Arial"/>
          <w:sz w:val="24"/>
          <w:szCs w:val="24"/>
        </w:rPr>
        <w:t xml:space="preserve">hotel </w:t>
      </w:r>
      <w:r w:rsidR="003A2421" w:rsidRPr="0071436B">
        <w:rPr>
          <w:rFonts w:ascii="Arial" w:hAnsi="Arial" w:cs="Arial"/>
          <w:sz w:val="24"/>
          <w:szCs w:val="24"/>
        </w:rPr>
        <w:t xml:space="preserve">played a part </w:t>
      </w:r>
      <w:r w:rsidR="00A9375E" w:rsidRPr="0071436B">
        <w:rPr>
          <w:rFonts w:ascii="Arial" w:hAnsi="Arial" w:cs="Arial"/>
          <w:sz w:val="24"/>
          <w:szCs w:val="24"/>
        </w:rPr>
        <w:t>in Hilton’s</w:t>
      </w:r>
      <w:r w:rsidR="001906B2" w:rsidRPr="0071436B">
        <w:rPr>
          <w:rFonts w:ascii="Arial" w:hAnsi="Arial" w:cs="Arial"/>
          <w:sz w:val="24"/>
          <w:szCs w:val="24"/>
        </w:rPr>
        <w:t xml:space="preserve"> </w:t>
      </w:r>
      <w:r w:rsidR="005173E0" w:rsidRPr="0071436B">
        <w:rPr>
          <w:rFonts w:ascii="Arial" w:hAnsi="Arial" w:cs="Arial"/>
          <w:sz w:val="24"/>
          <w:szCs w:val="24"/>
        </w:rPr>
        <w:t xml:space="preserve">overall </w:t>
      </w:r>
      <w:r w:rsidR="001A4483" w:rsidRPr="0071436B">
        <w:rPr>
          <w:rFonts w:ascii="Arial" w:hAnsi="Arial" w:cs="Arial"/>
          <w:sz w:val="24"/>
          <w:szCs w:val="24"/>
        </w:rPr>
        <w:t>decrease i</w:t>
      </w:r>
      <w:r w:rsidR="004F312E" w:rsidRPr="0071436B">
        <w:rPr>
          <w:rFonts w:ascii="Arial" w:hAnsi="Arial" w:cs="Arial"/>
          <w:sz w:val="24"/>
          <w:szCs w:val="24"/>
        </w:rPr>
        <w:t>n</w:t>
      </w:r>
      <w:r w:rsidR="001A4483" w:rsidRPr="0071436B">
        <w:rPr>
          <w:rFonts w:ascii="Arial" w:hAnsi="Arial" w:cs="Arial"/>
          <w:sz w:val="24"/>
          <w:szCs w:val="24"/>
        </w:rPr>
        <w:t xml:space="preserve"> water use by 26.5% in managed hotels by using water-efficient fixtures and adopting sustainable building standards for new buildings</w:t>
      </w:r>
      <w:r w:rsidR="00EE228D" w:rsidRPr="0071436B">
        <w:rPr>
          <w:rFonts w:ascii="Arial" w:hAnsi="Arial" w:cs="Arial"/>
          <w:sz w:val="24"/>
          <w:szCs w:val="24"/>
        </w:rPr>
        <w:t xml:space="preserve"> (Hilton</w:t>
      </w:r>
      <w:r w:rsidR="00963E4B" w:rsidRPr="0071436B">
        <w:rPr>
          <w:rFonts w:ascii="Arial" w:hAnsi="Arial" w:cs="Arial"/>
          <w:sz w:val="24"/>
          <w:szCs w:val="24"/>
        </w:rPr>
        <w:t xml:space="preserve"> ESG, 2023)</w:t>
      </w:r>
      <w:r w:rsidR="001A4483" w:rsidRPr="0071436B">
        <w:rPr>
          <w:rFonts w:ascii="Arial" w:hAnsi="Arial" w:cs="Arial"/>
          <w:sz w:val="24"/>
          <w:szCs w:val="24"/>
        </w:rPr>
        <w:t xml:space="preserve">. Research on water conservation in commercial buildings highlights the importance of efficient plumbing and greywater recycling, which can reduce water use by up to 58% (Amin et al., 2023). These modifications allow Hilton to effectively control water consumption across various climates and regions, solving local water shortages where necessary (Hilton </w:t>
      </w:r>
      <w:r w:rsidR="00160E22" w:rsidRPr="0071436B">
        <w:rPr>
          <w:rFonts w:ascii="Arial" w:hAnsi="Arial" w:cs="Arial"/>
          <w:sz w:val="24"/>
          <w:szCs w:val="24"/>
        </w:rPr>
        <w:t>Worldwide</w:t>
      </w:r>
      <w:r w:rsidR="001A4483" w:rsidRPr="0071436B">
        <w:rPr>
          <w:rFonts w:ascii="Arial" w:hAnsi="Arial" w:cs="Arial"/>
          <w:sz w:val="24"/>
          <w:szCs w:val="24"/>
        </w:rPr>
        <w:t>, 202</w:t>
      </w:r>
      <w:r w:rsidR="00160E22" w:rsidRPr="0071436B">
        <w:rPr>
          <w:rFonts w:ascii="Arial" w:hAnsi="Arial" w:cs="Arial"/>
          <w:sz w:val="24"/>
          <w:szCs w:val="24"/>
        </w:rPr>
        <w:t>2</w:t>
      </w:r>
      <w:r w:rsidR="001A4483" w:rsidRPr="0071436B">
        <w:rPr>
          <w:rFonts w:ascii="Arial" w:hAnsi="Arial" w:cs="Arial"/>
          <w:sz w:val="24"/>
          <w:szCs w:val="24"/>
        </w:rPr>
        <w:t>).</w:t>
      </w:r>
    </w:p>
    <w:p w14:paraId="52DA7DE2" w14:textId="106B556E" w:rsidR="001A4483" w:rsidRPr="0071436B" w:rsidRDefault="001A4483" w:rsidP="0071436B">
      <w:pPr>
        <w:spacing w:line="360" w:lineRule="auto"/>
        <w:jc w:val="both"/>
        <w:rPr>
          <w:rFonts w:ascii="Arial" w:hAnsi="Arial" w:cs="Arial"/>
          <w:sz w:val="24"/>
          <w:szCs w:val="24"/>
        </w:rPr>
      </w:pPr>
      <w:r w:rsidRPr="0071436B">
        <w:rPr>
          <w:rFonts w:ascii="Arial" w:hAnsi="Arial" w:cs="Arial"/>
          <w:sz w:val="24"/>
          <w:szCs w:val="24"/>
        </w:rPr>
        <w:t>Hilton</w:t>
      </w:r>
      <w:r w:rsidR="00D74A48" w:rsidRPr="0071436B">
        <w:rPr>
          <w:rFonts w:ascii="Arial" w:hAnsi="Arial" w:cs="Arial"/>
          <w:sz w:val="24"/>
          <w:szCs w:val="24"/>
        </w:rPr>
        <w:t xml:space="preserve"> London </w:t>
      </w:r>
      <w:r w:rsidR="00B00F0F" w:rsidRPr="0071436B">
        <w:rPr>
          <w:rFonts w:ascii="Arial" w:hAnsi="Arial" w:cs="Arial"/>
          <w:sz w:val="24"/>
          <w:szCs w:val="24"/>
        </w:rPr>
        <w:t>Croydon</w:t>
      </w:r>
      <w:r w:rsidRPr="0071436B">
        <w:rPr>
          <w:rFonts w:ascii="Arial" w:hAnsi="Arial" w:cs="Arial"/>
          <w:sz w:val="24"/>
          <w:szCs w:val="24"/>
        </w:rPr>
        <w:t xml:space="preserve">'s waste management programs exemplify its dedication, </w:t>
      </w:r>
      <w:r w:rsidR="00555E91" w:rsidRPr="0071436B">
        <w:rPr>
          <w:rFonts w:ascii="Arial" w:hAnsi="Arial" w:cs="Arial"/>
          <w:sz w:val="24"/>
          <w:szCs w:val="24"/>
        </w:rPr>
        <w:t xml:space="preserve">adding to </w:t>
      </w:r>
      <w:r w:rsidR="008D4859" w:rsidRPr="0071436B">
        <w:rPr>
          <w:rFonts w:ascii="Arial" w:hAnsi="Arial" w:cs="Arial"/>
          <w:sz w:val="24"/>
          <w:szCs w:val="24"/>
        </w:rPr>
        <w:t>Hilton’s overall</w:t>
      </w:r>
      <w:r w:rsidRPr="0071436B">
        <w:rPr>
          <w:rFonts w:ascii="Arial" w:hAnsi="Arial" w:cs="Arial"/>
          <w:sz w:val="24"/>
          <w:szCs w:val="24"/>
        </w:rPr>
        <w:t xml:space="preserve"> 63.7% decrease in landfill waste, exceeding the original 50% reduction goal</w:t>
      </w:r>
      <w:r w:rsidR="00F6230E" w:rsidRPr="0071436B">
        <w:rPr>
          <w:rFonts w:ascii="Arial" w:hAnsi="Arial" w:cs="Arial"/>
          <w:sz w:val="24"/>
          <w:szCs w:val="24"/>
        </w:rPr>
        <w:t xml:space="preserve"> (Stories from Hilton, 20</w:t>
      </w:r>
      <w:r w:rsidR="00212643" w:rsidRPr="0071436B">
        <w:rPr>
          <w:rFonts w:ascii="Arial" w:hAnsi="Arial" w:cs="Arial"/>
          <w:sz w:val="24"/>
          <w:szCs w:val="24"/>
        </w:rPr>
        <w:t>24)</w:t>
      </w:r>
      <w:r w:rsidRPr="0071436B">
        <w:rPr>
          <w:rFonts w:ascii="Arial" w:hAnsi="Arial" w:cs="Arial"/>
          <w:sz w:val="24"/>
          <w:szCs w:val="24"/>
        </w:rPr>
        <w:t xml:space="preserve">. Similar waste management strategies </w:t>
      </w:r>
      <w:r w:rsidR="00693DB6" w:rsidRPr="0071436B">
        <w:rPr>
          <w:rFonts w:ascii="Arial" w:hAnsi="Arial" w:cs="Arial"/>
          <w:sz w:val="24"/>
          <w:szCs w:val="24"/>
        </w:rPr>
        <w:t>at London Croydon</w:t>
      </w:r>
      <w:r w:rsidRPr="0071436B">
        <w:rPr>
          <w:rFonts w:ascii="Arial" w:hAnsi="Arial" w:cs="Arial"/>
          <w:sz w:val="24"/>
          <w:szCs w:val="24"/>
        </w:rPr>
        <w:t xml:space="preserve"> have shown significant success, with reductions in landfill waste through initiatives like composting and recycling (Yu &amp; Li, 2020). Initiatives such as the Green Breakfast program in the UAE demonstrate Hilton's focus on real, measurable </w:t>
      </w:r>
      <w:r w:rsidRPr="0071436B">
        <w:rPr>
          <w:rFonts w:ascii="Arial" w:hAnsi="Arial" w:cs="Arial"/>
          <w:sz w:val="24"/>
          <w:szCs w:val="24"/>
        </w:rPr>
        <w:lastRenderedPageBreak/>
        <w:t>improvements, including a 62% reduction in food waste through staff training and refined menu planning (Hilton, 202</w:t>
      </w:r>
      <w:r w:rsidR="00DE255D" w:rsidRPr="0071436B">
        <w:rPr>
          <w:rFonts w:ascii="Arial" w:hAnsi="Arial" w:cs="Arial"/>
          <w:sz w:val="24"/>
          <w:szCs w:val="24"/>
        </w:rPr>
        <w:t>4</w:t>
      </w:r>
      <w:r w:rsidRPr="0071436B">
        <w:rPr>
          <w:rFonts w:ascii="Arial" w:hAnsi="Arial" w:cs="Arial"/>
          <w:sz w:val="24"/>
          <w:szCs w:val="24"/>
        </w:rPr>
        <w:t>; Hilton ESG, 2023).</w:t>
      </w:r>
    </w:p>
    <w:p w14:paraId="25CEAE06" w14:textId="21C7E698" w:rsidR="007C57DD" w:rsidRPr="0071436B" w:rsidRDefault="001A4483" w:rsidP="0071436B">
      <w:pPr>
        <w:spacing w:line="360" w:lineRule="auto"/>
        <w:jc w:val="both"/>
        <w:rPr>
          <w:rFonts w:ascii="Arial" w:hAnsi="Arial" w:cs="Arial"/>
          <w:sz w:val="24"/>
          <w:szCs w:val="24"/>
        </w:rPr>
      </w:pPr>
      <w:r w:rsidRPr="0071436B">
        <w:rPr>
          <w:rFonts w:ascii="Arial" w:hAnsi="Arial" w:cs="Arial"/>
          <w:sz w:val="24"/>
          <w:szCs w:val="24"/>
        </w:rPr>
        <w:t>These ambitious initiatives, focusing on energy, water, and waste, position Hilton as a leader in sustainable hospitality, pushing other companies to incorporate CSR thoroughly within their operational frameworks. Hilton's implementation of renewable energy, energy-efficient lighting, and smart thermostats demonstrates its environmental leadership and promotes a culture of sustainability throughout its properties (Orynycz &amp; Tucki, 2021). These extensive initiatives illustrate Hilton's commitment to creating a sustainable framework for the hospitality sector, concentrating on both operational efficiency and environmental responsibility.</w:t>
      </w:r>
    </w:p>
    <w:p w14:paraId="4401B19E" w14:textId="312792E2" w:rsidR="003B60B4" w:rsidRPr="0071436B" w:rsidRDefault="003B60B4" w:rsidP="0071436B">
      <w:pPr>
        <w:spacing w:line="360" w:lineRule="auto"/>
        <w:jc w:val="both"/>
        <w:rPr>
          <w:rFonts w:ascii="Arial" w:hAnsi="Arial" w:cs="Arial"/>
          <w:sz w:val="24"/>
          <w:szCs w:val="24"/>
        </w:rPr>
      </w:pPr>
      <w:r w:rsidRPr="0071436B">
        <w:rPr>
          <w:rFonts w:ascii="Arial" w:hAnsi="Arial" w:cs="Arial"/>
          <w:sz w:val="24"/>
          <w:szCs w:val="24"/>
        </w:rPr>
        <w:t>Hilton</w:t>
      </w:r>
      <w:r w:rsidR="00DB59CA" w:rsidRPr="0071436B">
        <w:rPr>
          <w:rFonts w:ascii="Arial" w:hAnsi="Arial" w:cs="Arial"/>
          <w:sz w:val="24"/>
          <w:szCs w:val="24"/>
        </w:rPr>
        <w:t xml:space="preserve"> London Croydon</w:t>
      </w:r>
      <w:r w:rsidRPr="0071436B">
        <w:rPr>
          <w:rFonts w:ascii="Arial" w:hAnsi="Arial" w:cs="Arial"/>
          <w:sz w:val="24"/>
          <w:szCs w:val="24"/>
        </w:rPr>
        <w:t>'s corporate social responsibility strategy includes social accountability, promoting equal opportunity, inclusivity, and proactive community involvement through Travel with Purpose. Research shows that companies with diverse boards, especially with greater gender diversity, tend to exhibit stronger CSR performance (Gaio &amp; Gonçalves, 2022). By collaborating with organi</w:t>
      </w:r>
      <w:r w:rsidR="00AB6763">
        <w:rPr>
          <w:rFonts w:ascii="Arial" w:hAnsi="Arial" w:cs="Arial"/>
          <w:sz w:val="24"/>
          <w:szCs w:val="24"/>
        </w:rPr>
        <w:t>s</w:t>
      </w:r>
      <w:r w:rsidRPr="0071436B">
        <w:rPr>
          <w:rFonts w:ascii="Arial" w:hAnsi="Arial" w:cs="Arial"/>
          <w:sz w:val="24"/>
          <w:szCs w:val="24"/>
        </w:rPr>
        <w:t>ations like the International Youth Foundation, Hilton offers skill-development programs for youth, seeking to empower marginali</w:t>
      </w:r>
      <w:r w:rsidR="00AB6763">
        <w:rPr>
          <w:rFonts w:ascii="Arial" w:hAnsi="Arial" w:cs="Arial"/>
          <w:sz w:val="24"/>
          <w:szCs w:val="24"/>
        </w:rPr>
        <w:t>s</w:t>
      </w:r>
      <w:r w:rsidRPr="0071436B">
        <w:rPr>
          <w:rFonts w:ascii="Arial" w:hAnsi="Arial" w:cs="Arial"/>
          <w:sz w:val="24"/>
          <w:szCs w:val="24"/>
        </w:rPr>
        <w:t>ed communities while improving workforce diversity in the hospitality sector. As of 2023, Hilton achieved 42% female representation in leadership positions and 20% representation from varied ethnic backgrounds, demonstrating its commitment to equal opportunities for everyone (Hilton</w:t>
      </w:r>
      <w:r w:rsidR="00A40D63" w:rsidRPr="0071436B">
        <w:rPr>
          <w:rFonts w:ascii="Arial" w:hAnsi="Arial" w:cs="Arial"/>
          <w:sz w:val="24"/>
          <w:szCs w:val="24"/>
        </w:rPr>
        <w:t xml:space="preserve"> ESG</w:t>
      </w:r>
      <w:r w:rsidRPr="0071436B">
        <w:rPr>
          <w:rFonts w:ascii="Arial" w:hAnsi="Arial" w:cs="Arial"/>
          <w:sz w:val="24"/>
          <w:szCs w:val="24"/>
        </w:rPr>
        <w:t>, 2023). Evidence suggests that companies with gender-diverse leadership are more likely to implement impactful CSR programs (Yarram &amp; Adapa, 2021).</w:t>
      </w:r>
    </w:p>
    <w:p w14:paraId="7F5F4EB2" w14:textId="540EBBFE" w:rsidR="0023214F" w:rsidRPr="0071436B" w:rsidRDefault="003B60B4" w:rsidP="0071436B">
      <w:pPr>
        <w:spacing w:line="360" w:lineRule="auto"/>
        <w:jc w:val="both"/>
        <w:rPr>
          <w:rFonts w:ascii="Arial" w:hAnsi="Arial" w:cs="Arial"/>
          <w:sz w:val="24"/>
          <w:szCs w:val="24"/>
        </w:rPr>
      </w:pPr>
      <w:r w:rsidRPr="0071436B">
        <w:rPr>
          <w:rFonts w:ascii="Arial" w:hAnsi="Arial" w:cs="Arial"/>
          <w:sz w:val="24"/>
          <w:szCs w:val="24"/>
        </w:rPr>
        <w:t>The Hilton Global Foundation supports this objective by funding local initiatives that promote education, disaster aid, and environmental rehabilitation. Companies with inclusive CSR programs often exhibit higher engagement from diverse stakeholders (Guerrero, 2020). In 2023, Hilton dedicated more than 377,000 volunteer hours to diverse programs, showing its commitment to building resilient communities and promoting a collective sense of social responsibility within the hospitality sector (</w:t>
      </w:r>
      <w:r w:rsidR="00CC69F8" w:rsidRPr="0071436B">
        <w:rPr>
          <w:rFonts w:ascii="Arial" w:hAnsi="Arial" w:cs="Arial"/>
          <w:sz w:val="24"/>
          <w:szCs w:val="24"/>
        </w:rPr>
        <w:t xml:space="preserve">Stories </w:t>
      </w:r>
      <w:r w:rsidR="009155B6" w:rsidRPr="0071436B">
        <w:rPr>
          <w:rFonts w:ascii="Arial" w:hAnsi="Arial" w:cs="Arial"/>
          <w:sz w:val="24"/>
          <w:szCs w:val="24"/>
        </w:rPr>
        <w:t>from</w:t>
      </w:r>
      <w:r w:rsidR="00CC69F8" w:rsidRPr="0071436B">
        <w:rPr>
          <w:rFonts w:ascii="Arial" w:hAnsi="Arial" w:cs="Arial"/>
          <w:sz w:val="24"/>
          <w:szCs w:val="24"/>
        </w:rPr>
        <w:t xml:space="preserve"> Hilton, 2024</w:t>
      </w:r>
      <w:r w:rsidRPr="0071436B">
        <w:rPr>
          <w:rFonts w:ascii="Arial" w:hAnsi="Arial" w:cs="Arial"/>
          <w:sz w:val="24"/>
          <w:szCs w:val="24"/>
        </w:rPr>
        <w:t>).</w:t>
      </w:r>
    </w:p>
    <w:p w14:paraId="343083C7" w14:textId="5CCDE6F5" w:rsidR="00384B6A" w:rsidRPr="0071436B" w:rsidRDefault="00384B6A" w:rsidP="0071436B">
      <w:pPr>
        <w:spacing w:line="360" w:lineRule="auto"/>
        <w:jc w:val="both"/>
        <w:rPr>
          <w:rFonts w:ascii="Arial" w:hAnsi="Arial" w:cs="Arial"/>
          <w:sz w:val="24"/>
          <w:szCs w:val="24"/>
        </w:rPr>
      </w:pPr>
      <w:r w:rsidRPr="0071436B">
        <w:rPr>
          <w:rFonts w:ascii="Arial" w:hAnsi="Arial" w:cs="Arial"/>
          <w:sz w:val="24"/>
          <w:szCs w:val="24"/>
        </w:rPr>
        <w:lastRenderedPageBreak/>
        <w:t>Hilton's dedication to sustainability covers its supply chain, prioriti</w:t>
      </w:r>
      <w:r w:rsidR="00AB6763">
        <w:rPr>
          <w:rFonts w:ascii="Arial" w:hAnsi="Arial" w:cs="Arial"/>
          <w:sz w:val="24"/>
          <w:szCs w:val="24"/>
        </w:rPr>
        <w:t>s</w:t>
      </w:r>
      <w:r w:rsidRPr="0071436B">
        <w:rPr>
          <w:rFonts w:ascii="Arial" w:hAnsi="Arial" w:cs="Arial"/>
          <w:sz w:val="24"/>
          <w:szCs w:val="24"/>
        </w:rPr>
        <w:t>ing responsible sourcing through Hilton Supply Management. This department partners with suppliers to maintain sustainable practices, including reducin</w:t>
      </w:r>
      <w:r w:rsidR="009155B6" w:rsidRPr="0071436B">
        <w:rPr>
          <w:rFonts w:ascii="Arial" w:hAnsi="Arial" w:cs="Arial"/>
          <w:sz w:val="24"/>
          <w:szCs w:val="24"/>
        </w:rPr>
        <w:t>g</w:t>
      </w:r>
      <w:r w:rsidRPr="0071436B">
        <w:rPr>
          <w:rFonts w:ascii="Arial" w:hAnsi="Arial" w:cs="Arial"/>
          <w:sz w:val="24"/>
          <w:szCs w:val="24"/>
        </w:rPr>
        <w:t xml:space="preserve"> food waste and eliminatin</w:t>
      </w:r>
      <w:r w:rsidR="009155B6" w:rsidRPr="0071436B">
        <w:rPr>
          <w:rFonts w:ascii="Arial" w:hAnsi="Arial" w:cs="Arial"/>
          <w:sz w:val="24"/>
          <w:szCs w:val="24"/>
        </w:rPr>
        <w:t>g</w:t>
      </w:r>
      <w:r w:rsidRPr="0071436B">
        <w:rPr>
          <w:rFonts w:ascii="Arial" w:hAnsi="Arial" w:cs="Arial"/>
          <w:sz w:val="24"/>
          <w:szCs w:val="24"/>
        </w:rPr>
        <w:t xml:space="preserve"> single-use plastics. Research indicates that sustainable supply chains significantly reduce waste and emissions, particularly when adopting strategies like those used by Hilton (Iqbal et al., 2020) and integrating efficient carbon management in logistics (Gopalakrishnan et al., 2020). Moreover, Hilton procures from women- and minority-owned businesses, ensuring its supply chain not only supports environmental objectives but also promotes economic development within the communities it serves (Hilton ESG, 2023). Studies suggest that inclusive sourcing and waste reduction initiatives, like Hilton's, foster environmental and social sustainability (Sarkar et al., 2021).</w:t>
      </w:r>
    </w:p>
    <w:p w14:paraId="46D7A427" w14:textId="2C510181" w:rsidR="00AB38FC" w:rsidRPr="0071436B" w:rsidRDefault="00384B6A" w:rsidP="0071436B">
      <w:pPr>
        <w:spacing w:line="360" w:lineRule="auto"/>
        <w:jc w:val="both"/>
        <w:rPr>
          <w:rFonts w:ascii="Arial" w:hAnsi="Arial" w:cs="Arial"/>
          <w:sz w:val="24"/>
          <w:szCs w:val="24"/>
        </w:rPr>
      </w:pPr>
      <w:r w:rsidRPr="0071436B">
        <w:rPr>
          <w:rFonts w:ascii="Arial" w:hAnsi="Arial" w:cs="Arial"/>
          <w:sz w:val="24"/>
          <w:szCs w:val="24"/>
        </w:rPr>
        <w:t>Hilton's CSR programs operate under a multifaceted regulatory framework, incorporating global agreements such as the Paris Agreement and regional environmental and social accountability laws. As a participant in the Science Based Targets initiative (SBTi), Hilton commits to reducing carbon emissions in compliance with international standards, targeting a 75% reduction in emissions from managed properties by 2030</w:t>
      </w:r>
      <w:r w:rsidR="00857B9E" w:rsidRPr="0071436B">
        <w:rPr>
          <w:rFonts w:ascii="Arial" w:hAnsi="Arial" w:cs="Arial"/>
          <w:sz w:val="24"/>
          <w:szCs w:val="24"/>
        </w:rPr>
        <w:t xml:space="preserve"> (Hilton ESG, 2023)</w:t>
      </w:r>
      <w:r w:rsidRPr="0071436B">
        <w:rPr>
          <w:rFonts w:ascii="Arial" w:hAnsi="Arial" w:cs="Arial"/>
          <w:sz w:val="24"/>
          <w:szCs w:val="24"/>
        </w:rPr>
        <w:t>. Research shows that initiatives like SBTi enable companies to meet rigorous carbon reduction goals and improve overall sustainability (Giesekam et al., 2021).</w:t>
      </w:r>
      <w:r w:rsidR="00D87EEF" w:rsidRPr="0071436B">
        <w:rPr>
          <w:rFonts w:ascii="Arial" w:hAnsi="Arial" w:cs="Arial"/>
          <w:sz w:val="24"/>
          <w:szCs w:val="24"/>
        </w:rPr>
        <w:br/>
      </w:r>
      <w:r w:rsidR="00D87EEF" w:rsidRPr="0071436B">
        <w:rPr>
          <w:rFonts w:ascii="Arial" w:hAnsi="Arial" w:cs="Arial"/>
          <w:sz w:val="24"/>
          <w:szCs w:val="24"/>
        </w:rPr>
        <w:br/>
      </w:r>
      <w:r w:rsidR="00AB38FC" w:rsidRPr="0071436B">
        <w:rPr>
          <w:rFonts w:ascii="Arial" w:hAnsi="Arial" w:cs="Arial"/>
          <w:sz w:val="24"/>
          <w:szCs w:val="24"/>
        </w:rPr>
        <w:t xml:space="preserve">Hilton's activities are influenced by regional regulations, including the European Union's Waste Framework Directive, which sets rigorous standards for waste reduction and recycling. Hilton’s waste management policies have resulted in a 63.7% reduction in landfill waste, driven in part by the EU </w:t>
      </w:r>
      <w:r w:rsidR="005C1200" w:rsidRPr="0071436B">
        <w:rPr>
          <w:rFonts w:ascii="Arial" w:hAnsi="Arial" w:cs="Arial"/>
          <w:sz w:val="24"/>
          <w:szCs w:val="24"/>
        </w:rPr>
        <w:t>regulations (</w:t>
      </w:r>
      <w:r w:rsidR="00FA4170" w:rsidRPr="0071436B">
        <w:rPr>
          <w:rFonts w:ascii="Arial" w:hAnsi="Arial" w:cs="Arial"/>
          <w:sz w:val="24"/>
          <w:szCs w:val="24"/>
        </w:rPr>
        <w:t xml:space="preserve">a lower level of waste </w:t>
      </w:r>
      <w:r w:rsidR="005C1200" w:rsidRPr="0071436B">
        <w:rPr>
          <w:rFonts w:ascii="Arial" w:hAnsi="Arial" w:cs="Arial"/>
          <w:sz w:val="24"/>
          <w:szCs w:val="24"/>
        </w:rPr>
        <w:t>production, the </w:t>
      </w:r>
      <w:r w:rsidR="00FA4170" w:rsidRPr="0071436B">
        <w:rPr>
          <w:rFonts w:ascii="Arial" w:hAnsi="Arial" w:cs="Arial"/>
          <w:sz w:val="24"/>
          <w:szCs w:val="24"/>
        </w:rPr>
        <w:t>practice of recycle and reuse, the application of circular economy principles planned to reduce disposal of waste in landfill</w:t>
      </w:r>
      <w:r w:rsidR="0088240E" w:rsidRPr="0071436B">
        <w:rPr>
          <w:rFonts w:ascii="Arial" w:hAnsi="Arial" w:cs="Arial"/>
          <w:sz w:val="24"/>
          <w:szCs w:val="24"/>
        </w:rPr>
        <w:t xml:space="preserve">) </w:t>
      </w:r>
      <w:r w:rsidR="00AB38FC" w:rsidRPr="0071436B">
        <w:rPr>
          <w:rFonts w:ascii="Arial" w:hAnsi="Arial" w:cs="Arial"/>
          <w:sz w:val="24"/>
          <w:szCs w:val="24"/>
        </w:rPr>
        <w:t>promoting comprehensive waste management objectives within the hospitality sector (Batista et al., 2021). In the United States, Hilton respects labo</w:t>
      </w:r>
      <w:r w:rsidR="005C1200" w:rsidRPr="0071436B">
        <w:rPr>
          <w:rFonts w:ascii="Arial" w:hAnsi="Arial" w:cs="Arial"/>
          <w:sz w:val="24"/>
          <w:szCs w:val="24"/>
        </w:rPr>
        <w:t>u</w:t>
      </w:r>
      <w:r w:rsidR="00AB38FC" w:rsidRPr="0071436B">
        <w:rPr>
          <w:rFonts w:ascii="Arial" w:hAnsi="Arial" w:cs="Arial"/>
          <w:sz w:val="24"/>
          <w:szCs w:val="24"/>
        </w:rPr>
        <w:t>r regulations, including the Equal Employment Opportunity Act, to achieve its diversity and inclusion goals. This alignment not only meets regulatory requirements but also strengthens Hilton's dedication to fostering a socially responsible business culture (Matteucci, 2020).</w:t>
      </w:r>
    </w:p>
    <w:p w14:paraId="59C13F1D" w14:textId="0BC49F8D" w:rsidR="00AB38FC" w:rsidRPr="0071436B" w:rsidRDefault="00AB38FC" w:rsidP="0071436B">
      <w:pPr>
        <w:spacing w:line="360" w:lineRule="auto"/>
        <w:jc w:val="both"/>
        <w:rPr>
          <w:rFonts w:ascii="Arial" w:hAnsi="Arial" w:cs="Arial"/>
          <w:sz w:val="24"/>
          <w:szCs w:val="24"/>
        </w:rPr>
      </w:pPr>
      <w:r w:rsidRPr="0071436B">
        <w:rPr>
          <w:rFonts w:ascii="Arial" w:hAnsi="Arial" w:cs="Arial"/>
          <w:sz w:val="24"/>
          <w:szCs w:val="24"/>
        </w:rPr>
        <w:lastRenderedPageBreak/>
        <w:t>By conforming to various global and regional objectives, Hilton strengthens its CSR programs, demonstrating how legal compliance can enhance business sustainability. This compliance underscores Hilton's role as a socially responsible leader, aligning its business activities with legislative requirements and the broader goals of sustainable development (Camilleri, 2020). Adhering to these legal frameworks allows Hilton to stay adaptable to changing regulatory circumstances, enabling it to manage present and future environmental challenges effectively.</w:t>
      </w:r>
    </w:p>
    <w:p w14:paraId="7B20AD7A" w14:textId="5D50E66C" w:rsidR="00663C03" w:rsidRPr="0071436B" w:rsidRDefault="00663C03" w:rsidP="0071436B">
      <w:pPr>
        <w:spacing w:line="360" w:lineRule="auto"/>
        <w:jc w:val="both"/>
        <w:rPr>
          <w:rFonts w:ascii="Arial" w:hAnsi="Arial" w:cs="Arial"/>
          <w:sz w:val="24"/>
          <w:szCs w:val="24"/>
        </w:rPr>
      </w:pPr>
      <w:r w:rsidRPr="0071436B">
        <w:rPr>
          <w:rFonts w:ascii="Arial" w:hAnsi="Arial" w:cs="Arial"/>
          <w:sz w:val="24"/>
          <w:szCs w:val="24"/>
        </w:rPr>
        <w:t>Implementing CSR activities in a global organi</w:t>
      </w:r>
      <w:r w:rsidR="005C1200" w:rsidRPr="0071436B">
        <w:rPr>
          <w:rFonts w:ascii="Arial" w:hAnsi="Arial" w:cs="Arial"/>
          <w:sz w:val="24"/>
          <w:szCs w:val="24"/>
        </w:rPr>
        <w:t>s</w:t>
      </w:r>
      <w:r w:rsidRPr="0071436B">
        <w:rPr>
          <w:rFonts w:ascii="Arial" w:hAnsi="Arial" w:cs="Arial"/>
          <w:sz w:val="24"/>
          <w:szCs w:val="24"/>
        </w:rPr>
        <w:t>ation like Hilton involves considerable financial, operational, and cultural challenges, particularly when addressing diverse regulatory frameworks and customer expectations. The significant initial costs linked to sustainable infrastructure—such as energy-efficient lighting, smart thermostats, and water-conserving technologies—present challenges for older properties. Research suggests that balancing these costs, especially in countries with less strict environmental regulations, requires innovative financing strategies to maintain global CSR consistency (Zientara et al., 2020). Despite long-term savings, the significant upfront investment can be a challenge for franchised properties that prioriti</w:t>
      </w:r>
      <w:r w:rsidR="005C1200" w:rsidRPr="0071436B">
        <w:rPr>
          <w:rFonts w:ascii="Arial" w:hAnsi="Arial" w:cs="Arial"/>
          <w:sz w:val="24"/>
          <w:szCs w:val="24"/>
        </w:rPr>
        <w:t>s</w:t>
      </w:r>
      <w:r w:rsidRPr="0071436B">
        <w:rPr>
          <w:rFonts w:ascii="Arial" w:hAnsi="Arial" w:cs="Arial"/>
          <w:sz w:val="24"/>
          <w:szCs w:val="24"/>
        </w:rPr>
        <w:t>e short-term profitability (</w:t>
      </w:r>
      <w:r w:rsidR="00B803BD" w:rsidRPr="0071436B">
        <w:rPr>
          <w:rFonts w:ascii="Arial" w:hAnsi="Arial" w:cs="Arial"/>
          <w:sz w:val="24"/>
          <w:szCs w:val="24"/>
        </w:rPr>
        <w:t>Tutag, 2011</w:t>
      </w:r>
      <w:r w:rsidRPr="0071436B">
        <w:rPr>
          <w:rFonts w:ascii="Arial" w:hAnsi="Arial" w:cs="Arial"/>
          <w:sz w:val="24"/>
          <w:szCs w:val="24"/>
        </w:rPr>
        <w:t>).</w:t>
      </w:r>
    </w:p>
    <w:p w14:paraId="2FAC29EA" w14:textId="1E2F8243" w:rsidR="00663C03" w:rsidRPr="0071436B" w:rsidRDefault="00663C03" w:rsidP="0071436B">
      <w:pPr>
        <w:spacing w:line="360" w:lineRule="auto"/>
        <w:jc w:val="both"/>
        <w:rPr>
          <w:rFonts w:ascii="Arial" w:hAnsi="Arial" w:cs="Arial"/>
          <w:sz w:val="24"/>
          <w:szCs w:val="24"/>
        </w:rPr>
      </w:pPr>
      <w:r w:rsidRPr="0071436B">
        <w:rPr>
          <w:rFonts w:ascii="Arial" w:hAnsi="Arial" w:cs="Arial"/>
          <w:sz w:val="24"/>
          <w:szCs w:val="24"/>
        </w:rPr>
        <w:t>Moreover, Hilton's international presence in more than 120 countries requires it to handle regional regulatory differences and diverse cultural expectations for sustainability. In Europe, strict regulations push for higher standards in environmental practices, while in certain developing nations, the focus may be on economic expansion over sustainability. This variation necessitates Hilton to implement a flexible CSR approach that addresses local requirements while upholding global green standards (Matteucci, 2020). Hilton's waste management strategies differ by country and must conform to local rules, including recycling programs in the EU and digestion in areas with limited disposal infrastructure (Batista et al., 2021).</w:t>
      </w:r>
    </w:p>
    <w:p w14:paraId="13B7A635" w14:textId="3F3EC397" w:rsidR="00F90164" w:rsidRPr="0071436B" w:rsidRDefault="007369B2" w:rsidP="0071436B">
      <w:pPr>
        <w:spacing w:line="360" w:lineRule="auto"/>
        <w:jc w:val="both"/>
        <w:rPr>
          <w:rFonts w:ascii="Arial" w:hAnsi="Arial" w:cs="Arial"/>
          <w:sz w:val="24"/>
          <w:szCs w:val="24"/>
        </w:rPr>
      </w:pPr>
      <w:r w:rsidRPr="0071436B">
        <w:rPr>
          <w:rFonts w:ascii="Arial" w:hAnsi="Arial" w:cs="Arial"/>
          <w:sz w:val="24"/>
          <w:szCs w:val="24"/>
        </w:rPr>
        <w:br/>
      </w:r>
      <w:r w:rsidRPr="0071436B">
        <w:rPr>
          <w:rFonts w:ascii="Arial" w:hAnsi="Arial" w:cs="Arial"/>
          <w:sz w:val="24"/>
          <w:szCs w:val="24"/>
        </w:rPr>
        <w:br/>
      </w:r>
      <w:r w:rsidR="00F90164" w:rsidRPr="0071436B">
        <w:rPr>
          <w:rFonts w:ascii="Arial" w:hAnsi="Arial" w:cs="Arial"/>
          <w:sz w:val="24"/>
          <w:szCs w:val="24"/>
        </w:rPr>
        <w:t xml:space="preserve">From an operational perspective, balancing sustainability with guest satisfaction can create complications. Certain eco-friendly initiatives, such as towel reuse programs or </w:t>
      </w:r>
      <w:r w:rsidR="00F90164" w:rsidRPr="0071436B">
        <w:rPr>
          <w:rFonts w:ascii="Arial" w:hAnsi="Arial" w:cs="Arial"/>
          <w:sz w:val="24"/>
          <w:szCs w:val="24"/>
        </w:rPr>
        <w:lastRenderedPageBreak/>
        <w:t>reduced services, may conflict with luxury standards, resulting in possible contradictions between sustainability objectives and visitor satisfaction. Research shows that while eco-friendly programs can attract environmentally conscious guests, they may also create dissatisfaction for those who expect traditional luxury services (Anabila et al., 2021). Despite these challenges, Hilton's dedication to corporate social responsibility strengthens its brand name, attracting travel</w:t>
      </w:r>
      <w:r w:rsidR="00BC3B14" w:rsidRPr="0071436B">
        <w:rPr>
          <w:rFonts w:ascii="Arial" w:hAnsi="Arial" w:cs="Arial"/>
          <w:sz w:val="24"/>
          <w:szCs w:val="24"/>
        </w:rPr>
        <w:t>l</w:t>
      </w:r>
      <w:r w:rsidR="00F90164" w:rsidRPr="0071436B">
        <w:rPr>
          <w:rFonts w:ascii="Arial" w:hAnsi="Arial" w:cs="Arial"/>
          <w:sz w:val="24"/>
          <w:szCs w:val="24"/>
        </w:rPr>
        <w:t>ers who prioriti</w:t>
      </w:r>
      <w:r w:rsidR="00BC3B14" w:rsidRPr="0071436B">
        <w:rPr>
          <w:rFonts w:ascii="Arial" w:hAnsi="Arial" w:cs="Arial"/>
          <w:sz w:val="24"/>
          <w:szCs w:val="24"/>
        </w:rPr>
        <w:t>s</w:t>
      </w:r>
      <w:r w:rsidR="00F90164" w:rsidRPr="0071436B">
        <w:rPr>
          <w:rFonts w:ascii="Arial" w:hAnsi="Arial" w:cs="Arial"/>
          <w:sz w:val="24"/>
          <w:szCs w:val="24"/>
        </w:rPr>
        <w:t xml:space="preserve">e sustainability in their accommodation choices. Studies show that CSR programs, especially those focused on environmental sustainability, increase brand loyalty and customer engagement, particularly among Millennials and Generation Z consumers who </w:t>
      </w:r>
      <w:r w:rsidR="000648B3">
        <w:rPr>
          <w:rFonts w:ascii="Arial" w:hAnsi="Arial" w:cs="Arial"/>
          <w:sz w:val="24"/>
          <w:szCs w:val="24"/>
        </w:rPr>
        <w:t>focus on </w:t>
      </w:r>
      <w:r w:rsidR="00F90164" w:rsidRPr="0071436B">
        <w:rPr>
          <w:rFonts w:ascii="Arial" w:hAnsi="Arial" w:cs="Arial"/>
          <w:sz w:val="24"/>
          <w:szCs w:val="24"/>
        </w:rPr>
        <w:t>sustainability in their buying decisions (Latif et al., 2020).</w:t>
      </w:r>
    </w:p>
    <w:p w14:paraId="076FEDDD" w14:textId="424062B4" w:rsidR="00F90164" w:rsidRPr="0071436B" w:rsidRDefault="00F90164" w:rsidP="0071436B">
      <w:pPr>
        <w:spacing w:line="360" w:lineRule="auto"/>
        <w:jc w:val="both"/>
        <w:rPr>
          <w:rFonts w:ascii="Arial" w:hAnsi="Arial" w:cs="Arial"/>
          <w:sz w:val="24"/>
          <w:szCs w:val="24"/>
        </w:rPr>
      </w:pPr>
      <w:r w:rsidRPr="0071436B">
        <w:rPr>
          <w:rFonts w:ascii="Arial" w:hAnsi="Arial" w:cs="Arial"/>
          <w:sz w:val="24"/>
          <w:szCs w:val="24"/>
        </w:rPr>
        <w:t>These challenges demonstrate the strategic importance of CSR in the hospitality sector, as sustainability has become a competitive differentiation in the global marketplace. For Hilton, corporate social responsibility not only improves operational efficiency but also fits with guest preferences, positioning it as a leader in responsible hospitality. Research highlights that implementing sustainable practices aligns profitability with environmental and social accountability, contributing to company growth and long-term brand loyalty (Stombelli, 2020).</w:t>
      </w:r>
    </w:p>
    <w:p w14:paraId="0F2EF603" w14:textId="77777777" w:rsidR="004A19DA" w:rsidRPr="0071436B" w:rsidRDefault="004A19DA" w:rsidP="0071436B">
      <w:pPr>
        <w:spacing w:line="360" w:lineRule="auto"/>
        <w:jc w:val="both"/>
        <w:rPr>
          <w:rFonts w:ascii="Arial" w:hAnsi="Arial" w:cs="Arial"/>
          <w:sz w:val="24"/>
          <w:szCs w:val="24"/>
        </w:rPr>
      </w:pPr>
    </w:p>
    <w:p w14:paraId="07670A3B" w14:textId="242AA7B2" w:rsidR="00C85FF3" w:rsidRPr="0071436B" w:rsidRDefault="00C85FF3" w:rsidP="0071436B">
      <w:pPr>
        <w:spacing w:line="360" w:lineRule="auto"/>
        <w:jc w:val="both"/>
        <w:rPr>
          <w:rFonts w:ascii="Arial" w:hAnsi="Arial" w:cs="Arial"/>
          <w:sz w:val="24"/>
          <w:szCs w:val="24"/>
        </w:rPr>
      </w:pPr>
      <w:r w:rsidRPr="0071436B">
        <w:rPr>
          <w:rFonts w:ascii="Arial" w:hAnsi="Arial" w:cs="Arial"/>
          <w:sz w:val="24"/>
          <w:szCs w:val="24"/>
        </w:rPr>
        <w:t>Technological innovation is essential to Hilton's CSR strategy, allowing the company to achieve its sustainability objectives more effectively. The incorporation of intelligent energy systems, digital access keys, and photovoltaic panels not only diminishes its ecological impact but also improves operational efficacy. Research shows that smart technologies, such as digital keys and</w:t>
      </w:r>
      <w:r w:rsidR="000812E6" w:rsidRPr="0071436B">
        <w:rPr>
          <w:rFonts w:ascii="Arial" w:hAnsi="Arial" w:cs="Arial"/>
          <w:sz w:val="24"/>
          <w:szCs w:val="24"/>
        </w:rPr>
        <w:t xml:space="preserve"> </w:t>
      </w:r>
      <w:r w:rsidRPr="0071436B">
        <w:rPr>
          <w:rFonts w:ascii="Arial" w:hAnsi="Arial" w:cs="Arial"/>
          <w:sz w:val="24"/>
          <w:szCs w:val="24"/>
        </w:rPr>
        <w:t xml:space="preserve"> energy-efficient systems, improve guest satisfaction while reducing environmental footprints (Bagio &amp; Budidharmanto, 2023). Hilton reduces plastic waste through digital keys and increases energy efficiency with intelligent thermostats, aligning with eco-conscious guest expectations for modern, responsible hospitality (</w:t>
      </w:r>
      <w:r w:rsidR="005C33BB" w:rsidRPr="0071436B">
        <w:rPr>
          <w:rFonts w:ascii="Arial" w:hAnsi="Arial" w:cs="Arial"/>
          <w:sz w:val="24"/>
          <w:szCs w:val="24"/>
        </w:rPr>
        <w:t xml:space="preserve">Shufian </w:t>
      </w:r>
      <w:r w:rsidRPr="0071436B">
        <w:rPr>
          <w:rFonts w:ascii="Arial" w:hAnsi="Arial" w:cs="Arial"/>
          <w:sz w:val="24"/>
          <w:szCs w:val="24"/>
        </w:rPr>
        <w:t>et al., 2021).</w:t>
      </w:r>
    </w:p>
    <w:p w14:paraId="17002545" w14:textId="66D93F0A" w:rsidR="00C85FF3" w:rsidRPr="0071436B" w:rsidRDefault="00C85FF3" w:rsidP="0071436B">
      <w:pPr>
        <w:spacing w:line="360" w:lineRule="auto"/>
        <w:jc w:val="both"/>
        <w:rPr>
          <w:rFonts w:ascii="Arial" w:hAnsi="Arial" w:cs="Arial"/>
          <w:sz w:val="24"/>
          <w:szCs w:val="24"/>
        </w:rPr>
      </w:pPr>
      <w:r w:rsidRPr="0071436B">
        <w:rPr>
          <w:rFonts w:ascii="Arial" w:hAnsi="Arial" w:cs="Arial"/>
          <w:sz w:val="24"/>
          <w:szCs w:val="24"/>
        </w:rPr>
        <w:t>Furthermore, the company has adopted environmentally sustainable hotel designs, utili</w:t>
      </w:r>
      <w:r w:rsidR="000800C8">
        <w:rPr>
          <w:rFonts w:ascii="Arial" w:hAnsi="Arial" w:cs="Arial"/>
          <w:sz w:val="24"/>
          <w:szCs w:val="24"/>
        </w:rPr>
        <w:t>s</w:t>
      </w:r>
      <w:r w:rsidRPr="0071436B">
        <w:rPr>
          <w:rFonts w:ascii="Arial" w:hAnsi="Arial" w:cs="Arial"/>
          <w:sz w:val="24"/>
          <w:szCs w:val="24"/>
        </w:rPr>
        <w:t xml:space="preserve">ing energy-efficient construction materials and advanced water management systems to improve sustainability across its operations. These technologies not only help </w:t>
      </w:r>
      <w:r w:rsidRPr="0071436B">
        <w:rPr>
          <w:rFonts w:ascii="Arial" w:hAnsi="Arial" w:cs="Arial"/>
          <w:sz w:val="24"/>
          <w:szCs w:val="24"/>
        </w:rPr>
        <w:lastRenderedPageBreak/>
        <w:t>cut costs but also position Hilton as a leader in the sustainable hospitality industry (</w:t>
      </w:r>
      <w:r w:rsidR="000F5195" w:rsidRPr="0071436B">
        <w:rPr>
          <w:rFonts w:ascii="Arial" w:hAnsi="Arial" w:cs="Arial"/>
          <w:sz w:val="24"/>
          <w:szCs w:val="24"/>
        </w:rPr>
        <w:t>Liu</w:t>
      </w:r>
      <w:r w:rsidR="006D675A" w:rsidRPr="0071436B">
        <w:rPr>
          <w:rFonts w:ascii="Arial" w:hAnsi="Arial" w:cs="Arial"/>
          <w:sz w:val="24"/>
          <w:szCs w:val="24"/>
        </w:rPr>
        <w:t xml:space="preserve"> et al., 2024</w:t>
      </w:r>
      <w:r w:rsidRPr="0071436B">
        <w:rPr>
          <w:rFonts w:ascii="Arial" w:hAnsi="Arial" w:cs="Arial"/>
          <w:sz w:val="24"/>
          <w:szCs w:val="24"/>
        </w:rPr>
        <w:t>).</w:t>
      </w:r>
    </w:p>
    <w:p w14:paraId="7BA28581" w14:textId="6358E8CA" w:rsidR="00C85FF3" w:rsidRPr="0071436B" w:rsidRDefault="00C85FF3" w:rsidP="0071436B">
      <w:pPr>
        <w:spacing w:line="360" w:lineRule="auto"/>
        <w:jc w:val="both"/>
        <w:rPr>
          <w:rFonts w:ascii="Arial" w:hAnsi="Arial" w:cs="Arial"/>
          <w:sz w:val="24"/>
          <w:szCs w:val="24"/>
        </w:rPr>
      </w:pPr>
      <w:r w:rsidRPr="0071436B">
        <w:rPr>
          <w:rFonts w:ascii="Arial" w:hAnsi="Arial" w:cs="Arial"/>
          <w:sz w:val="24"/>
          <w:szCs w:val="24"/>
        </w:rPr>
        <w:t>Hilton's corporate social responsibility initiatives cultivate significant partnerships with non-governmental organi</w:t>
      </w:r>
      <w:r w:rsidR="0071436B">
        <w:rPr>
          <w:rFonts w:ascii="Arial" w:hAnsi="Arial" w:cs="Arial"/>
          <w:sz w:val="24"/>
          <w:szCs w:val="24"/>
        </w:rPr>
        <w:t>s</w:t>
      </w:r>
      <w:r w:rsidRPr="0071436B">
        <w:rPr>
          <w:rFonts w:ascii="Arial" w:hAnsi="Arial" w:cs="Arial"/>
          <w:sz w:val="24"/>
          <w:szCs w:val="24"/>
        </w:rPr>
        <w:t>ations, local communities, and environmental organi</w:t>
      </w:r>
      <w:r w:rsidR="00036047">
        <w:rPr>
          <w:rFonts w:ascii="Arial" w:hAnsi="Arial" w:cs="Arial"/>
          <w:sz w:val="24"/>
          <w:szCs w:val="24"/>
        </w:rPr>
        <w:t>s</w:t>
      </w:r>
      <w:r w:rsidRPr="0071436B">
        <w:rPr>
          <w:rFonts w:ascii="Arial" w:hAnsi="Arial" w:cs="Arial"/>
          <w:sz w:val="24"/>
          <w:szCs w:val="24"/>
        </w:rPr>
        <w:t>ations. Hilton's collaboration with the World Wildlife Fund (WWF) has facilitated substantial conservation efforts, including sustainable sourcing and animal protection programs (Matteucci, 2020). Moreover, Hilton's collaborations with local suppliers and communities provide opportunities for inclusive economic advancement and sustainable development, further strengthening its position as a responsible business organi</w:t>
      </w:r>
      <w:r w:rsidR="00036047">
        <w:rPr>
          <w:rFonts w:ascii="Arial" w:hAnsi="Arial" w:cs="Arial"/>
          <w:sz w:val="24"/>
          <w:szCs w:val="24"/>
        </w:rPr>
        <w:t>s</w:t>
      </w:r>
      <w:r w:rsidRPr="0071436B">
        <w:rPr>
          <w:rFonts w:ascii="Arial" w:hAnsi="Arial" w:cs="Arial"/>
          <w:sz w:val="24"/>
          <w:szCs w:val="24"/>
        </w:rPr>
        <w:t>ation.</w:t>
      </w:r>
    </w:p>
    <w:p w14:paraId="354CEDCE" w14:textId="243E5C48" w:rsidR="00B07077" w:rsidRPr="0071436B" w:rsidRDefault="00B07077" w:rsidP="0071436B">
      <w:pPr>
        <w:spacing w:line="360" w:lineRule="auto"/>
        <w:jc w:val="both"/>
        <w:rPr>
          <w:rFonts w:ascii="Arial" w:hAnsi="Arial" w:cs="Arial"/>
          <w:sz w:val="24"/>
          <w:szCs w:val="24"/>
        </w:rPr>
      </w:pPr>
    </w:p>
    <w:p w14:paraId="0AA37683" w14:textId="6D500334" w:rsidR="00244B0B" w:rsidRPr="00244B0B" w:rsidRDefault="00244B0B" w:rsidP="0071436B">
      <w:pPr>
        <w:spacing w:line="360" w:lineRule="auto"/>
        <w:jc w:val="both"/>
        <w:rPr>
          <w:rFonts w:ascii="Arial" w:hAnsi="Arial" w:cs="Arial"/>
          <w:sz w:val="24"/>
          <w:szCs w:val="24"/>
        </w:rPr>
      </w:pPr>
      <w:r w:rsidRPr="00244B0B">
        <w:rPr>
          <w:rFonts w:ascii="Arial" w:hAnsi="Arial" w:cs="Arial"/>
          <w:sz w:val="24"/>
          <w:szCs w:val="24"/>
        </w:rPr>
        <w:t>Hilton London Croydon has the duty to follow certain UK laws besides the EU regulations</w:t>
      </w:r>
      <w:r w:rsidR="00697349" w:rsidRPr="0071436B">
        <w:rPr>
          <w:rFonts w:ascii="Arial" w:hAnsi="Arial" w:cs="Arial"/>
          <w:sz w:val="24"/>
          <w:szCs w:val="24"/>
        </w:rPr>
        <w:t>,</w:t>
      </w:r>
      <w:r w:rsidRPr="00244B0B">
        <w:rPr>
          <w:rFonts w:ascii="Arial" w:hAnsi="Arial" w:cs="Arial"/>
          <w:sz w:val="24"/>
          <w:szCs w:val="24"/>
        </w:rPr>
        <w:t xml:space="preserve"> such as the Waste Framework Directive. The Waste (England and Wales) Regulations 2011 requires that businesses conform to the waste hierarchy, which prioritises prevention, reuse, and recycling above disposal (UK Government, 2011). Furthermore, the UK Climate Change Act 2008 necessitates substantial reductions in carbon emissions, aligning with Hilton's global objectives to decrease carbon dioxide emissions (Environment &amp; Climate Change Laws and Regulations, 2024). Hilton London Croydon respects EU and UK regulations, making its sustainability initiatives fit with local standards and confirming its dedication to responsible hospitality in the UK.</w:t>
      </w:r>
    </w:p>
    <w:p w14:paraId="1230B088" w14:textId="77777777" w:rsidR="00AE5008" w:rsidRPr="0071436B" w:rsidRDefault="00AE5008" w:rsidP="0071436B">
      <w:pPr>
        <w:spacing w:line="360" w:lineRule="auto"/>
        <w:jc w:val="both"/>
        <w:rPr>
          <w:rFonts w:ascii="Arial" w:hAnsi="Arial" w:cs="Arial"/>
          <w:sz w:val="24"/>
          <w:szCs w:val="24"/>
        </w:rPr>
      </w:pPr>
    </w:p>
    <w:p w14:paraId="10ACF534" w14:textId="77777777" w:rsidR="0071436B" w:rsidRDefault="00CC4D15" w:rsidP="0071436B">
      <w:pPr>
        <w:spacing w:line="360" w:lineRule="auto"/>
        <w:jc w:val="both"/>
        <w:rPr>
          <w:rFonts w:ascii="Arial" w:hAnsi="Arial" w:cs="Arial"/>
          <w:sz w:val="24"/>
          <w:szCs w:val="24"/>
        </w:rPr>
      </w:pPr>
      <w:r w:rsidRPr="0071436B">
        <w:rPr>
          <w:rFonts w:ascii="Arial" w:hAnsi="Arial" w:cs="Arial"/>
          <w:sz w:val="24"/>
          <w:szCs w:val="24"/>
        </w:rPr>
        <w:t>In conclusion, Hilton's Travel with Purpose project shows the transformative capacity of corporate social responsibility in the hospitality sector, demonstrating that sustainable practices may improve both environmental and economic outcomes</w:t>
      </w:r>
      <w:r w:rsidR="00C573D3" w:rsidRPr="0071436B">
        <w:rPr>
          <w:rFonts w:ascii="Arial" w:hAnsi="Arial" w:cs="Arial"/>
          <w:sz w:val="24"/>
          <w:szCs w:val="24"/>
        </w:rPr>
        <w:t xml:space="preserve"> </w:t>
      </w:r>
      <w:r w:rsidR="004A137E" w:rsidRPr="0071436B">
        <w:rPr>
          <w:rFonts w:ascii="Arial" w:hAnsi="Arial" w:cs="Arial"/>
          <w:sz w:val="24"/>
          <w:szCs w:val="24"/>
        </w:rPr>
        <w:t>(Freiberg et al., 2021)</w:t>
      </w:r>
      <w:r w:rsidRPr="0071436B">
        <w:rPr>
          <w:rFonts w:ascii="Arial" w:hAnsi="Arial" w:cs="Arial"/>
          <w:sz w:val="24"/>
          <w:szCs w:val="24"/>
        </w:rPr>
        <w:t xml:space="preserve">. Through the setting of ambitious objectives in carbon reduction, water conservation, and waste management, Hilton </w:t>
      </w:r>
      <w:r w:rsidR="00427F52" w:rsidRPr="0071436B">
        <w:rPr>
          <w:rFonts w:ascii="Arial" w:hAnsi="Arial" w:cs="Arial"/>
          <w:sz w:val="24"/>
          <w:szCs w:val="24"/>
        </w:rPr>
        <w:t>London</w:t>
      </w:r>
      <w:r w:rsidR="00427F52" w:rsidRPr="0071436B">
        <w:rPr>
          <w:rFonts w:ascii="Arial" w:hAnsi="Arial" w:cs="Arial"/>
          <w:sz w:val="24"/>
          <w:szCs w:val="24"/>
        </w:rPr>
        <w:t xml:space="preserve"> Croydon </w:t>
      </w:r>
      <w:r w:rsidRPr="0071436B">
        <w:rPr>
          <w:rFonts w:ascii="Arial" w:hAnsi="Arial" w:cs="Arial"/>
          <w:sz w:val="24"/>
          <w:szCs w:val="24"/>
        </w:rPr>
        <w:t>exemplifies the substantial contribution the hospitality sector can make to global sustainability initiatives</w:t>
      </w:r>
      <w:r w:rsidR="004A137E" w:rsidRPr="0071436B">
        <w:rPr>
          <w:rFonts w:ascii="Arial" w:hAnsi="Arial" w:cs="Arial"/>
          <w:sz w:val="24"/>
          <w:szCs w:val="24"/>
        </w:rPr>
        <w:t xml:space="preserve"> </w:t>
      </w:r>
      <w:r w:rsidR="004A137E" w:rsidRPr="0071436B">
        <w:rPr>
          <w:rFonts w:ascii="Arial" w:hAnsi="Arial" w:cs="Arial"/>
          <w:sz w:val="24"/>
          <w:szCs w:val="24"/>
        </w:rPr>
        <w:t>(Romito et al., 2023; Amin et al., 2023)</w:t>
      </w:r>
      <w:r w:rsidRPr="0071436B">
        <w:rPr>
          <w:rFonts w:ascii="Arial" w:hAnsi="Arial" w:cs="Arial"/>
          <w:sz w:val="24"/>
          <w:szCs w:val="24"/>
        </w:rPr>
        <w:t xml:space="preserve">. These initiatives not only strengthen Hilton’s leadership status but also align with the broader objectives of the Sustainable </w:t>
      </w:r>
      <w:r w:rsidRPr="0071436B">
        <w:rPr>
          <w:rFonts w:ascii="Arial" w:hAnsi="Arial" w:cs="Arial"/>
          <w:sz w:val="24"/>
          <w:szCs w:val="24"/>
        </w:rPr>
        <w:lastRenderedPageBreak/>
        <w:t>Development Goals (SDGs), promoting a business model that benefits both the environment and communities</w:t>
      </w:r>
      <w:r w:rsidR="00341E7A" w:rsidRPr="0071436B">
        <w:rPr>
          <w:rFonts w:ascii="Arial" w:hAnsi="Arial" w:cs="Arial"/>
          <w:sz w:val="24"/>
          <w:szCs w:val="24"/>
        </w:rPr>
        <w:t xml:space="preserve"> </w:t>
      </w:r>
      <w:r w:rsidR="00341E7A" w:rsidRPr="0071436B">
        <w:rPr>
          <w:rFonts w:ascii="Arial" w:hAnsi="Arial" w:cs="Arial"/>
          <w:sz w:val="24"/>
          <w:szCs w:val="24"/>
        </w:rPr>
        <w:t>(Hilton ESG, 2023)</w:t>
      </w:r>
      <w:r w:rsidRPr="0071436B">
        <w:rPr>
          <w:rFonts w:ascii="Arial" w:hAnsi="Arial" w:cs="Arial"/>
          <w:sz w:val="24"/>
          <w:szCs w:val="24"/>
        </w:rPr>
        <w:t xml:space="preserve">. </w:t>
      </w:r>
    </w:p>
    <w:p w14:paraId="20507DD6" w14:textId="06734F11" w:rsidR="00630276" w:rsidRPr="0071436B" w:rsidRDefault="00CC4D15" w:rsidP="0071436B">
      <w:pPr>
        <w:spacing w:line="360" w:lineRule="auto"/>
        <w:jc w:val="both"/>
        <w:rPr>
          <w:rFonts w:ascii="Arial" w:hAnsi="Arial" w:cs="Arial"/>
          <w:sz w:val="24"/>
          <w:szCs w:val="24"/>
        </w:rPr>
      </w:pPr>
      <w:r w:rsidRPr="0071436B">
        <w:rPr>
          <w:rFonts w:ascii="Arial" w:hAnsi="Arial" w:cs="Arial"/>
          <w:sz w:val="24"/>
          <w:szCs w:val="24"/>
        </w:rPr>
        <w:t>Despite ongoing challenges concerning costs, cultural norms, and operational limitations, Hilton's CSR initiatives create significant opportunities for brand differentiation and customer loyalty</w:t>
      </w:r>
      <w:r w:rsidR="00341E7A" w:rsidRPr="0071436B">
        <w:rPr>
          <w:rFonts w:ascii="Arial" w:hAnsi="Arial" w:cs="Arial"/>
          <w:sz w:val="24"/>
          <w:szCs w:val="24"/>
        </w:rPr>
        <w:t xml:space="preserve"> </w:t>
      </w:r>
      <w:r w:rsidR="00341E7A" w:rsidRPr="0071436B">
        <w:rPr>
          <w:rFonts w:ascii="Arial" w:hAnsi="Arial" w:cs="Arial"/>
          <w:sz w:val="24"/>
          <w:szCs w:val="24"/>
        </w:rPr>
        <w:t>(Latif et al., 2020)</w:t>
      </w:r>
      <w:r w:rsidRPr="0071436B">
        <w:rPr>
          <w:rFonts w:ascii="Arial" w:hAnsi="Arial" w:cs="Arial"/>
          <w:sz w:val="24"/>
          <w:szCs w:val="24"/>
        </w:rPr>
        <w:t>. As environmentally aware customer demographics grow, Hilton's commitment to corporate social responsibility positions it favourably to address these changing desires and foster sustainable growth</w:t>
      </w:r>
      <w:r w:rsidR="00B61EFD" w:rsidRPr="0071436B">
        <w:rPr>
          <w:rFonts w:ascii="Arial" w:hAnsi="Arial" w:cs="Arial"/>
          <w:sz w:val="24"/>
          <w:szCs w:val="24"/>
        </w:rPr>
        <w:t xml:space="preserve"> </w:t>
      </w:r>
      <w:r w:rsidR="00B61EFD" w:rsidRPr="0071436B">
        <w:rPr>
          <w:rFonts w:ascii="Arial" w:hAnsi="Arial" w:cs="Arial"/>
          <w:sz w:val="24"/>
          <w:szCs w:val="24"/>
        </w:rPr>
        <w:t>(Latif et al., 2020)</w:t>
      </w:r>
      <w:r w:rsidRPr="0071436B">
        <w:rPr>
          <w:rFonts w:ascii="Arial" w:hAnsi="Arial" w:cs="Arial"/>
          <w:sz w:val="24"/>
          <w:szCs w:val="24"/>
        </w:rPr>
        <w:t>. Hilton's CSR efforts</w:t>
      </w:r>
      <w:r w:rsidR="0082584A" w:rsidRPr="0071436B">
        <w:rPr>
          <w:rFonts w:ascii="Arial" w:hAnsi="Arial" w:cs="Arial"/>
          <w:sz w:val="24"/>
          <w:szCs w:val="24"/>
        </w:rPr>
        <w:t xml:space="preserve">, particularly at Hilton London </w:t>
      </w:r>
      <w:r w:rsidR="003D414C" w:rsidRPr="0071436B">
        <w:rPr>
          <w:rFonts w:ascii="Arial" w:hAnsi="Arial" w:cs="Arial"/>
          <w:sz w:val="24"/>
          <w:szCs w:val="24"/>
        </w:rPr>
        <w:t>Croydon</w:t>
      </w:r>
      <w:r w:rsidR="0082584A" w:rsidRPr="0071436B">
        <w:rPr>
          <w:rFonts w:ascii="Arial" w:hAnsi="Arial" w:cs="Arial"/>
          <w:sz w:val="24"/>
          <w:szCs w:val="24"/>
        </w:rPr>
        <w:t>,</w:t>
      </w:r>
      <w:r w:rsidRPr="0071436B">
        <w:rPr>
          <w:rFonts w:ascii="Arial" w:hAnsi="Arial" w:cs="Arial"/>
          <w:sz w:val="24"/>
          <w:szCs w:val="24"/>
        </w:rPr>
        <w:t xml:space="preserve"> give an example in the industry, exemplifying the integration of sustainability into fundamental business operations and confirming that hospitality can be both profitable and socially responsible</w:t>
      </w:r>
      <w:r w:rsidR="0024103C" w:rsidRPr="0071436B">
        <w:rPr>
          <w:rFonts w:ascii="Arial" w:hAnsi="Arial" w:cs="Arial"/>
          <w:sz w:val="24"/>
          <w:szCs w:val="24"/>
        </w:rPr>
        <w:t xml:space="preserve"> </w:t>
      </w:r>
      <w:r w:rsidR="0024103C" w:rsidRPr="0071436B">
        <w:rPr>
          <w:rFonts w:ascii="Arial" w:hAnsi="Arial" w:cs="Arial"/>
          <w:sz w:val="24"/>
          <w:szCs w:val="24"/>
        </w:rPr>
        <w:t>(Stombelli, 2020)</w:t>
      </w:r>
      <w:r w:rsidRPr="0071436B">
        <w:rPr>
          <w:rFonts w:ascii="Arial" w:hAnsi="Arial" w:cs="Arial"/>
          <w:sz w:val="24"/>
          <w:szCs w:val="24"/>
        </w:rPr>
        <w:t xml:space="preserve">. </w:t>
      </w:r>
    </w:p>
    <w:p w14:paraId="4017ACD8" w14:textId="3D051B1D" w:rsidR="00CC4D15" w:rsidRPr="0071436B" w:rsidRDefault="00CC4D15" w:rsidP="0071436B">
      <w:pPr>
        <w:spacing w:line="360" w:lineRule="auto"/>
        <w:jc w:val="both"/>
        <w:rPr>
          <w:rFonts w:ascii="Arial" w:hAnsi="Arial" w:cs="Arial"/>
          <w:sz w:val="24"/>
          <w:szCs w:val="24"/>
        </w:rPr>
      </w:pPr>
      <w:r w:rsidRPr="0071436B">
        <w:rPr>
          <w:rFonts w:ascii="Arial" w:hAnsi="Arial" w:cs="Arial"/>
          <w:sz w:val="24"/>
          <w:szCs w:val="24"/>
        </w:rPr>
        <w:t>Long-term CSR initiatives increase Hilton's resilience to market uncertainty and regulatory shifts by integrating sustainability into fundamental operations</w:t>
      </w:r>
      <w:r w:rsidR="005A559F" w:rsidRPr="0071436B">
        <w:rPr>
          <w:rFonts w:ascii="Arial" w:hAnsi="Arial" w:cs="Arial"/>
          <w:sz w:val="24"/>
          <w:szCs w:val="24"/>
        </w:rPr>
        <w:t xml:space="preserve"> </w:t>
      </w:r>
      <w:r w:rsidR="005A559F" w:rsidRPr="0071436B">
        <w:rPr>
          <w:rFonts w:ascii="Arial" w:hAnsi="Arial" w:cs="Arial"/>
          <w:sz w:val="24"/>
          <w:szCs w:val="24"/>
        </w:rPr>
        <w:t>(Matteucci, 2020)</w:t>
      </w:r>
      <w:r w:rsidRPr="0071436B">
        <w:rPr>
          <w:rFonts w:ascii="Arial" w:hAnsi="Arial" w:cs="Arial"/>
          <w:sz w:val="24"/>
          <w:szCs w:val="24"/>
        </w:rPr>
        <w:t>. These policies strengthen stakeholder relationships, covering investors and local communities</w:t>
      </w:r>
      <w:r w:rsidR="0047278B" w:rsidRPr="0071436B">
        <w:rPr>
          <w:rFonts w:ascii="Arial" w:hAnsi="Arial" w:cs="Arial"/>
          <w:sz w:val="24"/>
          <w:szCs w:val="24"/>
        </w:rPr>
        <w:t> and </w:t>
      </w:r>
      <w:r w:rsidRPr="0071436B">
        <w:rPr>
          <w:rFonts w:ascii="Arial" w:hAnsi="Arial" w:cs="Arial"/>
          <w:sz w:val="24"/>
          <w:szCs w:val="24"/>
        </w:rPr>
        <w:t>reinforcing Hilton’s position as a socially responsible brand. As environmental issues increase, Hilton's CSR commitment</w:t>
      </w:r>
      <w:r w:rsidR="003D414C" w:rsidRPr="0071436B">
        <w:rPr>
          <w:rFonts w:ascii="Arial" w:hAnsi="Arial" w:cs="Arial"/>
          <w:sz w:val="24"/>
          <w:szCs w:val="24"/>
        </w:rPr>
        <w:t xml:space="preserve">, particularly as implemented at Hilton London </w:t>
      </w:r>
      <w:r w:rsidR="003D414C" w:rsidRPr="0071436B">
        <w:rPr>
          <w:rFonts w:ascii="Arial" w:hAnsi="Arial" w:cs="Arial"/>
          <w:sz w:val="24"/>
          <w:szCs w:val="24"/>
        </w:rPr>
        <w:t>Croydon</w:t>
      </w:r>
      <w:r w:rsidR="003D414C" w:rsidRPr="0071436B">
        <w:rPr>
          <w:rFonts w:ascii="Arial" w:hAnsi="Arial" w:cs="Arial"/>
          <w:sz w:val="24"/>
          <w:szCs w:val="24"/>
        </w:rPr>
        <w:t>,</w:t>
      </w:r>
      <w:r w:rsidR="003D414C" w:rsidRPr="0071436B">
        <w:rPr>
          <w:rFonts w:ascii="Arial" w:hAnsi="Arial" w:cs="Arial"/>
          <w:sz w:val="24"/>
          <w:szCs w:val="24"/>
        </w:rPr>
        <w:t> </w:t>
      </w:r>
      <w:r w:rsidRPr="0071436B">
        <w:rPr>
          <w:rFonts w:ascii="Arial" w:hAnsi="Arial" w:cs="Arial"/>
          <w:sz w:val="24"/>
          <w:szCs w:val="24"/>
        </w:rPr>
        <w:t xml:space="preserve">functions as a competitive advantage and a model for sustainable hospitality, demonstrating that corporate responsibility and business success are not only compatible but also mutually beneficial. </w:t>
      </w:r>
    </w:p>
    <w:p w14:paraId="10DC6120" w14:textId="7F5BEE7C" w:rsidR="00FB6D38" w:rsidRPr="0071436B" w:rsidRDefault="00FB6D38" w:rsidP="0071436B">
      <w:pPr>
        <w:spacing w:line="360" w:lineRule="auto"/>
        <w:jc w:val="both"/>
        <w:rPr>
          <w:rFonts w:ascii="Arial" w:hAnsi="Arial" w:cs="Arial"/>
          <w:sz w:val="24"/>
          <w:szCs w:val="24"/>
        </w:rPr>
      </w:pPr>
    </w:p>
    <w:p w14:paraId="1CC28E0B" w14:textId="3F7912AD" w:rsidR="000E2DBA" w:rsidRPr="0071436B" w:rsidRDefault="000E2DBA" w:rsidP="0071436B">
      <w:pPr>
        <w:spacing w:line="360" w:lineRule="auto"/>
        <w:jc w:val="both"/>
        <w:rPr>
          <w:rFonts w:ascii="Arial" w:hAnsi="Arial" w:cs="Arial"/>
          <w:sz w:val="24"/>
          <w:szCs w:val="24"/>
        </w:rPr>
      </w:pPr>
    </w:p>
    <w:p w14:paraId="689CE0EA" w14:textId="77777777" w:rsidR="00AE5008" w:rsidRPr="0071436B" w:rsidRDefault="00AE5008" w:rsidP="0071436B">
      <w:pPr>
        <w:spacing w:line="360" w:lineRule="auto"/>
        <w:jc w:val="both"/>
        <w:rPr>
          <w:rFonts w:ascii="Arial" w:hAnsi="Arial" w:cs="Arial"/>
          <w:sz w:val="24"/>
          <w:szCs w:val="24"/>
        </w:rPr>
      </w:pPr>
    </w:p>
    <w:p w14:paraId="63FDEB54" w14:textId="77777777" w:rsidR="0075690F" w:rsidRPr="0071436B" w:rsidRDefault="00893A4D" w:rsidP="0071436B">
      <w:pPr>
        <w:spacing w:line="360" w:lineRule="auto"/>
        <w:jc w:val="both"/>
        <w:rPr>
          <w:rFonts w:ascii="Arial" w:hAnsi="Arial" w:cs="Arial"/>
          <w:b/>
          <w:bCs/>
          <w:sz w:val="24"/>
          <w:szCs w:val="24"/>
        </w:rPr>
      </w:pPr>
      <w:r w:rsidRPr="0071436B">
        <w:rPr>
          <w:rFonts w:ascii="Arial" w:hAnsi="Arial" w:cs="Arial"/>
          <w:sz w:val="24"/>
          <w:szCs w:val="24"/>
        </w:rPr>
        <w:br/>
      </w:r>
    </w:p>
    <w:p w14:paraId="0819A4A1" w14:textId="77777777" w:rsidR="0075690F" w:rsidRPr="0071436B" w:rsidRDefault="0075690F" w:rsidP="0071436B">
      <w:pPr>
        <w:spacing w:line="360" w:lineRule="auto"/>
        <w:jc w:val="both"/>
        <w:rPr>
          <w:rFonts w:ascii="Arial" w:hAnsi="Arial" w:cs="Arial"/>
          <w:b/>
          <w:bCs/>
          <w:sz w:val="24"/>
          <w:szCs w:val="24"/>
        </w:rPr>
      </w:pPr>
    </w:p>
    <w:p w14:paraId="1775E53F" w14:textId="77777777" w:rsidR="0075690F" w:rsidRPr="0071436B" w:rsidRDefault="0075690F" w:rsidP="0071436B">
      <w:pPr>
        <w:spacing w:line="360" w:lineRule="auto"/>
        <w:jc w:val="both"/>
        <w:rPr>
          <w:rFonts w:ascii="Arial" w:hAnsi="Arial" w:cs="Arial"/>
          <w:b/>
          <w:bCs/>
          <w:sz w:val="24"/>
          <w:szCs w:val="24"/>
        </w:rPr>
      </w:pPr>
    </w:p>
    <w:p w14:paraId="6D388CE8" w14:textId="77777777" w:rsidR="0071436B" w:rsidRDefault="0071436B" w:rsidP="0071436B">
      <w:pPr>
        <w:spacing w:line="360" w:lineRule="auto"/>
        <w:jc w:val="both"/>
        <w:rPr>
          <w:rFonts w:ascii="Arial" w:hAnsi="Arial" w:cs="Arial"/>
          <w:b/>
          <w:bCs/>
          <w:sz w:val="24"/>
          <w:szCs w:val="24"/>
        </w:rPr>
      </w:pPr>
    </w:p>
    <w:p w14:paraId="04489979" w14:textId="06DD2747" w:rsidR="00893A4D" w:rsidRPr="0071436B" w:rsidRDefault="00893A4D" w:rsidP="0071436B">
      <w:pPr>
        <w:spacing w:line="360" w:lineRule="auto"/>
        <w:jc w:val="both"/>
        <w:rPr>
          <w:rFonts w:ascii="Arial" w:hAnsi="Arial" w:cs="Arial"/>
          <w:b/>
          <w:bCs/>
          <w:sz w:val="24"/>
          <w:szCs w:val="24"/>
        </w:rPr>
      </w:pPr>
      <w:r w:rsidRPr="0071436B">
        <w:rPr>
          <w:rFonts w:ascii="Arial" w:hAnsi="Arial" w:cs="Arial"/>
          <w:b/>
          <w:bCs/>
          <w:sz w:val="24"/>
          <w:szCs w:val="24"/>
        </w:rPr>
        <w:lastRenderedPageBreak/>
        <w:t>References:</w:t>
      </w:r>
    </w:p>
    <w:p w14:paraId="2F47E9B1" w14:textId="394A6B46"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Amin, M., Dorra, E., &amp; Hosny, O., 2023. Optimi</w:t>
      </w:r>
      <w:r w:rsidR="000800C8">
        <w:rPr>
          <w:rFonts w:ascii="Arial" w:hAnsi="Arial" w:cs="Arial"/>
          <w:sz w:val="24"/>
          <w:szCs w:val="24"/>
        </w:rPr>
        <w:t>s</w:t>
      </w:r>
      <w:r w:rsidRPr="0071436B">
        <w:rPr>
          <w:rFonts w:ascii="Arial" w:hAnsi="Arial" w:cs="Arial"/>
          <w:sz w:val="24"/>
          <w:szCs w:val="24"/>
        </w:rPr>
        <w:t>ation of Urban Water Consumption in Residential Buildings. </w:t>
      </w:r>
      <w:r w:rsidRPr="0071436B">
        <w:rPr>
          <w:rFonts w:ascii="Arial" w:hAnsi="Arial" w:cs="Arial"/>
          <w:i/>
          <w:iCs/>
          <w:sz w:val="24"/>
          <w:szCs w:val="24"/>
        </w:rPr>
        <w:t>Sustainability</w:t>
      </w:r>
      <w:r w:rsidRPr="0071436B">
        <w:rPr>
          <w:rFonts w:ascii="Arial" w:hAnsi="Arial" w:cs="Arial"/>
          <w:sz w:val="24"/>
          <w:szCs w:val="24"/>
        </w:rPr>
        <w:t xml:space="preserve">. </w:t>
      </w:r>
      <w:hyperlink r:id="rId8" w:history="1">
        <w:r w:rsidRPr="0071436B">
          <w:rPr>
            <w:rStyle w:val="Hyperlink"/>
            <w:rFonts w:ascii="Arial" w:hAnsi="Arial" w:cs="Arial"/>
            <w:sz w:val="24"/>
            <w:szCs w:val="24"/>
          </w:rPr>
          <w:t>https://doi.org/10.3390/su15107952</w:t>
        </w:r>
      </w:hyperlink>
      <w:r w:rsidRPr="0071436B">
        <w:rPr>
          <w:rFonts w:ascii="Arial" w:hAnsi="Arial" w:cs="Arial"/>
          <w:sz w:val="24"/>
          <w:szCs w:val="24"/>
        </w:rPr>
        <w:t xml:space="preserve">. </w:t>
      </w:r>
    </w:p>
    <w:p w14:paraId="74DD0117"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proofErr w:type="spellStart"/>
      <w:r w:rsidRPr="0071436B">
        <w:rPr>
          <w:rFonts w:ascii="Arial" w:hAnsi="Arial" w:cs="Arial"/>
          <w:sz w:val="24"/>
          <w:szCs w:val="24"/>
        </w:rPr>
        <w:t>Anabila</w:t>
      </w:r>
      <w:proofErr w:type="spellEnd"/>
      <w:r w:rsidRPr="0071436B">
        <w:rPr>
          <w:rFonts w:ascii="Arial" w:hAnsi="Arial" w:cs="Arial"/>
          <w:sz w:val="24"/>
          <w:szCs w:val="24"/>
        </w:rPr>
        <w:t xml:space="preserve">, P., </w:t>
      </w:r>
      <w:proofErr w:type="spellStart"/>
      <w:r w:rsidRPr="0071436B">
        <w:rPr>
          <w:rFonts w:ascii="Arial" w:hAnsi="Arial" w:cs="Arial"/>
          <w:sz w:val="24"/>
          <w:szCs w:val="24"/>
        </w:rPr>
        <w:t>Ameyibor</w:t>
      </w:r>
      <w:proofErr w:type="spellEnd"/>
      <w:r w:rsidRPr="0071436B">
        <w:rPr>
          <w:rFonts w:ascii="Arial" w:hAnsi="Arial" w:cs="Arial"/>
          <w:sz w:val="24"/>
          <w:szCs w:val="24"/>
        </w:rPr>
        <w:t xml:space="preserve">, L.E.K., Allan, M.M. and </w:t>
      </w:r>
      <w:proofErr w:type="spellStart"/>
      <w:r w:rsidRPr="0071436B">
        <w:rPr>
          <w:rFonts w:ascii="Arial" w:hAnsi="Arial" w:cs="Arial"/>
          <w:sz w:val="24"/>
          <w:szCs w:val="24"/>
        </w:rPr>
        <w:t>Alomenu</w:t>
      </w:r>
      <w:proofErr w:type="spellEnd"/>
      <w:r w:rsidRPr="0071436B">
        <w:rPr>
          <w:rFonts w:ascii="Arial" w:hAnsi="Arial" w:cs="Arial"/>
          <w:sz w:val="24"/>
          <w:szCs w:val="24"/>
        </w:rPr>
        <w:t>, C., 2022. Service quality and customer loyalty in Ghana’s hotel industry: The mediation effects of satisfaction and delight. </w:t>
      </w:r>
      <w:r w:rsidRPr="0071436B">
        <w:rPr>
          <w:rFonts w:ascii="Arial" w:hAnsi="Arial" w:cs="Arial"/>
          <w:i/>
          <w:iCs/>
          <w:sz w:val="24"/>
          <w:szCs w:val="24"/>
        </w:rPr>
        <w:t>Journal of Quality Assurance in Hospitality &amp; Tourism</w:t>
      </w:r>
      <w:r w:rsidRPr="0071436B">
        <w:rPr>
          <w:rFonts w:ascii="Arial" w:hAnsi="Arial" w:cs="Arial"/>
          <w:sz w:val="24"/>
          <w:szCs w:val="24"/>
        </w:rPr>
        <w:t>, </w:t>
      </w:r>
      <w:r w:rsidRPr="0071436B">
        <w:rPr>
          <w:rFonts w:ascii="Arial" w:hAnsi="Arial" w:cs="Arial"/>
          <w:i/>
          <w:iCs/>
          <w:sz w:val="24"/>
          <w:szCs w:val="24"/>
        </w:rPr>
        <w:t>23</w:t>
      </w:r>
      <w:r w:rsidRPr="0071436B">
        <w:rPr>
          <w:rFonts w:ascii="Arial" w:hAnsi="Arial" w:cs="Arial"/>
          <w:sz w:val="24"/>
          <w:szCs w:val="24"/>
        </w:rPr>
        <w:t xml:space="preserve">(3), pp.748-770. </w:t>
      </w:r>
      <w:hyperlink r:id="rId9" w:history="1">
        <w:r w:rsidRPr="0071436B">
          <w:rPr>
            <w:rStyle w:val="Hyperlink"/>
            <w:rFonts w:ascii="Arial" w:hAnsi="Arial" w:cs="Arial"/>
            <w:sz w:val="24"/>
            <w:szCs w:val="24"/>
          </w:rPr>
          <w:t>https://doi.org/10.1080/1528008X.2021.1913691</w:t>
        </w:r>
      </w:hyperlink>
      <w:r w:rsidRPr="0071436B">
        <w:rPr>
          <w:rFonts w:ascii="Arial" w:hAnsi="Arial" w:cs="Arial"/>
          <w:sz w:val="24"/>
          <w:szCs w:val="24"/>
        </w:rPr>
        <w:t xml:space="preserve"> </w:t>
      </w:r>
    </w:p>
    <w:p w14:paraId="5D7FCEBB"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proofErr w:type="spellStart"/>
      <w:r w:rsidRPr="0071436B">
        <w:rPr>
          <w:rFonts w:ascii="Arial" w:hAnsi="Arial" w:cs="Arial"/>
          <w:sz w:val="24"/>
          <w:szCs w:val="24"/>
        </w:rPr>
        <w:t>Bagio</w:t>
      </w:r>
      <w:proofErr w:type="spellEnd"/>
      <w:r w:rsidRPr="0071436B">
        <w:rPr>
          <w:rFonts w:ascii="Arial" w:hAnsi="Arial" w:cs="Arial"/>
          <w:sz w:val="24"/>
          <w:szCs w:val="24"/>
        </w:rPr>
        <w:t xml:space="preserve">, A., &amp; Budidharmanto, L., 2023. Guest Pro-environmental </w:t>
      </w:r>
      <w:proofErr w:type="spellStart"/>
      <w:r w:rsidRPr="0071436B">
        <w:rPr>
          <w:rFonts w:ascii="Arial" w:hAnsi="Arial" w:cs="Arial"/>
          <w:sz w:val="24"/>
          <w:szCs w:val="24"/>
        </w:rPr>
        <w:t>Behavior</w:t>
      </w:r>
      <w:proofErr w:type="spellEnd"/>
      <w:r w:rsidRPr="0071436B">
        <w:rPr>
          <w:rFonts w:ascii="Arial" w:hAnsi="Arial" w:cs="Arial"/>
          <w:sz w:val="24"/>
          <w:szCs w:val="24"/>
        </w:rPr>
        <w:t xml:space="preserve"> Towards the Implementation of Energy Efficiency through Smart Key Technology in Capsule Hotel. </w:t>
      </w:r>
      <w:r w:rsidRPr="0071436B">
        <w:rPr>
          <w:rFonts w:ascii="Arial" w:hAnsi="Arial" w:cs="Arial"/>
          <w:i/>
          <w:iCs/>
          <w:sz w:val="24"/>
          <w:szCs w:val="24"/>
        </w:rPr>
        <w:t>Indonesian Journal of Social and Environmental Issues (IJSEI)</w:t>
      </w:r>
      <w:r w:rsidRPr="0071436B">
        <w:rPr>
          <w:rFonts w:ascii="Arial" w:hAnsi="Arial" w:cs="Arial"/>
          <w:sz w:val="24"/>
          <w:szCs w:val="24"/>
        </w:rPr>
        <w:t xml:space="preserve">. </w:t>
      </w:r>
      <w:hyperlink r:id="rId10" w:history="1">
        <w:r w:rsidRPr="0071436B">
          <w:rPr>
            <w:rStyle w:val="Hyperlink"/>
            <w:rFonts w:ascii="Arial" w:hAnsi="Arial" w:cs="Arial"/>
            <w:sz w:val="24"/>
            <w:szCs w:val="24"/>
          </w:rPr>
          <w:t>https://doi.org/10.47540/ijsei.v4i2.1009</w:t>
        </w:r>
      </w:hyperlink>
      <w:r w:rsidRPr="0071436B">
        <w:rPr>
          <w:rFonts w:ascii="Arial" w:hAnsi="Arial" w:cs="Arial"/>
          <w:sz w:val="24"/>
          <w:szCs w:val="24"/>
        </w:rPr>
        <w:t xml:space="preserve">. </w:t>
      </w:r>
    </w:p>
    <w:p w14:paraId="0B2AD40C"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Batista, M., Caiado, R.G.G., </w:t>
      </w:r>
      <w:proofErr w:type="spellStart"/>
      <w:r w:rsidRPr="0071436B">
        <w:rPr>
          <w:rFonts w:ascii="Arial" w:hAnsi="Arial" w:cs="Arial"/>
          <w:sz w:val="24"/>
          <w:szCs w:val="24"/>
        </w:rPr>
        <w:t>Quelhas</w:t>
      </w:r>
      <w:proofErr w:type="spellEnd"/>
      <w:r w:rsidRPr="0071436B">
        <w:rPr>
          <w:rFonts w:ascii="Arial" w:hAnsi="Arial" w:cs="Arial"/>
          <w:sz w:val="24"/>
          <w:szCs w:val="24"/>
        </w:rPr>
        <w:t>, O.L.G., Lima, G.B.A., Leal Filho, W. and Yparraguirre, I.T.R., 2021. A framework for sustainable and integrated municipal solid waste management: Barriers and critical factors to developing countries. </w:t>
      </w:r>
      <w:r w:rsidRPr="0071436B">
        <w:rPr>
          <w:rFonts w:ascii="Arial" w:hAnsi="Arial" w:cs="Arial"/>
          <w:i/>
          <w:iCs/>
          <w:sz w:val="24"/>
          <w:szCs w:val="24"/>
        </w:rPr>
        <w:t>Journal of Cleaner Production</w:t>
      </w:r>
      <w:r w:rsidRPr="0071436B">
        <w:rPr>
          <w:rFonts w:ascii="Arial" w:hAnsi="Arial" w:cs="Arial"/>
          <w:sz w:val="24"/>
          <w:szCs w:val="24"/>
        </w:rPr>
        <w:t>, </w:t>
      </w:r>
      <w:r w:rsidRPr="0071436B">
        <w:rPr>
          <w:rFonts w:ascii="Arial" w:hAnsi="Arial" w:cs="Arial"/>
          <w:i/>
          <w:iCs/>
          <w:sz w:val="24"/>
          <w:szCs w:val="24"/>
        </w:rPr>
        <w:t>312</w:t>
      </w:r>
      <w:r w:rsidRPr="0071436B">
        <w:rPr>
          <w:rFonts w:ascii="Arial" w:hAnsi="Arial" w:cs="Arial"/>
          <w:sz w:val="24"/>
          <w:szCs w:val="24"/>
        </w:rPr>
        <w:t xml:space="preserve">, p.127516. </w:t>
      </w:r>
      <w:hyperlink r:id="rId11" w:history="1">
        <w:r w:rsidRPr="0071436B">
          <w:rPr>
            <w:rStyle w:val="Hyperlink"/>
            <w:rFonts w:ascii="Arial" w:hAnsi="Arial" w:cs="Arial"/>
            <w:sz w:val="24"/>
            <w:szCs w:val="24"/>
          </w:rPr>
          <w:t>https://doi.org/10.1016/j.jclepro.2021.127516</w:t>
        </w:r>
      </w:hyperlink>
      <w:r w:rsidRPr="0071436B">
        <w:rPr>
          <w:rFonts w:ascii="Arial" w:hAnsi="Arial" w:cs="Arial"/>
          <w:sz w:val="24"/>
          <w:szCs w:val="24"/>
        </w:rPr>
        <w:t xml:space="preserve"> </w:t>
      </w:r>
    </w:p>
    <w:p w14:paraId="05158A5C"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Camilleri, M., 2020. Strategic Corporate Social Responsibility in Tourism and Hospitality. </w:t>
      </w:r>
      <w:r w:rsidRPr="0071436B">
        <w:rPr>
          <w:rFonts w:ascii="Arial" w:hAnsi="Arial" w:cs="Arial"/>
          <w:i/>
          <w:iCs/>
          <w:sz w:val="24"/>
          <w:szCs w:val="24"/>
        </w:rPr>
        <w:t>SRPN: Consumer Ethics Issues (Topic)</w:t>
      </w:r>
      <w:r w:rsidRPr="0071436B">
        <w:rPr>
          <w:rFonts w:ascii="Arial" w:hAnsi="Arial" w:cs="Arial"/>
          <w:sz w:val="24"/>
          <w:szCs w:val="24"/>
        </w:rPr>
        <w:t xml:space="preserve">. </w:t>
      </w:r>
      <w:hyperlink r:id="rId12" w:history="1">
        <w:r w:rsidRPr="0071436B">
          <w:rPr>
            <w:rStyle w:val="Hyperlink"/>
            <w:rFonts w:ascii="Arial" w:hAnsi="Arial" w:cs="Arial"/>
            <w:sz w:val="24"/>
            <w:szCs w:val="24"/>
          </w:rPr>
          <w:t>https://doi.org/10.1002/sd.2059</w:t>
        </w:r>
      </w:hyperlink>
      <w:r w:rsidRPr="0071436B">
        <w:rPr>
          <w:rFonts w:ascii="Arial" w:hAnsi="Arial" w:cs="Arial"/>
          <w:sz w:val="24"/>
          <w:szCs w:val="24"/>
        </w:rPr>
        <w:t xml:space="preserve">. </w:t>
      </w:r>
    </w:p>
    <w:p w14:paraId="26698F2A"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ESG News, 2022. Hilton Enhances ESG Target to Drive Climate Action and Social Impact. </w:t>
      </w:r>
      <w:hyperlink r:id="rId13" w:history="1">
        <w:r w:rsidRPr="0071436B">
          <w:rPr>
            <w:rStyle w:val="Hyperlink"/>
            <w:rFonts w:ascii="Arial" w:hAnsi="Arial" w:cs="Arial"/>
            <w:sz w:val="24"/>
            <w:szCs w:val="24"/>
          </w:rPr>
          <w:t>https://esgnews.com/hilton-enhances-esg-targets-to-drive-climate-action-and-social-impact/</w:t>
        </w:r>
      </w:hyperlink>
      <w:r w:rsidRPr="0071436B">
        <w:rPr>
          <w:rFonts w:ascii="Arial" w:hAnsi="Arial" w:cs="Arial"/>
          <w:sz w:val="24"/>
          <w:szCs w:val="24"/>
        </w:rPr>
        <w:t xml:space="preserve"> </w:t>
      </w:r>
    </w:p>
    <w:p w14:paraId="3AA60A63"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Freiberg, D., Grewal, J., &amp; Serafeim, G., 2021. Science-Based Carbon Emissions Targets. </w:t>
      </w:r>
      <w:r w:rsidRPr="0071436B">
        <w:rPr>
          <w:rFonts w:ascii="Arial" w:hAnsi="Arial" w:cs="Arial"/>
          <w:i/>
          <w:iCs/>
          <w:sz w:val="24"/>
          <w:szCs w:val="24"/>
        </w:rPr>
        <w:t>SSRN Electronic Journal</w:t>
      </w:r>
      <w:r w:rsidRPr="0071436B">
        <w:rPr>
          <w:rFonts w:ascii="Arial" w:hAnsi="Arial" w:cs="Arial"/>
          <w:sz w:val="24"/>
          <w:szCs w:val="24"/>
        </w:rPr>
        <w:t xml:space="preserve">. </w:t>
      </w:r>
      <w:hyperlink r:id="rId14" w:history="1">
        <w:r w:rsidRPr="0071436B">
          <w:rPr>
            <w:rStyle w:val="Hyperlink"/>
            <w:rFonts w:ascii="Arial" w:hAnsi="Arial" w:cs="Arial"/>
            <w:sz w:val="24"/>
            <w:szCs w:val="24"/>
          </w:rPr>
          <w:t>https://doi.org/10.2139/SSRN.3804530</w:t>
        </w:r>
      </w:hyperlink>
      <w:r w:rsidRPr="0071436B">
        <w:rPr>
          <w:rFonts w:ascii="Arial" w:hAnsi="Arial" w:cs="Arial"/>
          <w:sz w:val="24"/>
          <w:szCs w:val="24"/>
        </w:rPr>
        <w:t xml:space="preserve">. </w:t>
      </w:r>
    </w:p>
    <w:p w14:paraId="0EE9406C"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Gaio, C., &amp; Gonçalves, T., 2022. Gender Diversity on the Board and Firms’ Corporate Social Responsibility. </w:t>
      </w:r>
      <w:r w:rsidRPr="0071436B">
        <w:rPr>
          <w:rFonts w:ascii="Arial" w:hAnsi="Arial" w:cs="Arial"/>
          <w:i/>
          <w:iCs/>
          <w:sz w:val="24"/>
          <w:szCs w:val="24"/>
        </w:rPr>
        <w:t>International Journal of Financial Studies</w:t>
      </w:r>
      <w:r w:rsidRPr="0071436B">
        <w:rPr>
          <w:rFonts w:ascii="Arial" w:hAnsi="Arial" w:cs="Arial"/>
          <w:sz w:val="24"/>
          <w:szCs w:val="24"/>
        </w:rPr>
        <w:t xml:space="preserve">. </w:t>
      </w:r>
      <w:hyperlink r:id="rId15" w:history="1">
        <w:r w:rsidRPr="0071436B">
          <w:rPr>
            <w:rStyle w:val="Hyperlink"/>
            <w:rFonts w:ascii="Arial" w:hAnsi="Arial" w:cs="Arial"/>
            <w:sz w:val="24"/>
            <w:szCs w:val="24"/>
          </w:rPr>
          <w:t>https://doi.org/10.3390/ijfs10010015</w:t>
        </w:r>
      </w:hyperlink>
      <w:r w:rsidRPr="0071436B">
        <w:rPr>
          <w:rFonts w:ascii="Arial" w:hAnsi="Arial" w:cs="Arial"/>
          <w:sz w:val="24"/>
          <w:szCs w:val="24"/>
        </w:rPr>
        <w:t xml:space="preserve">. </w:t>
      </w:r>
    </w:p>
    <w:p w14:paraId="25593B83"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proofErr w:type="spellStart"/>
      <w:r w:rsidRPr="0071436B">
        <w:rPr>
          <w:rFonts w:ascii="Arial" w:hAnsi="Arial" w:cs="Arial"/>
          <w:sz w:val="24"/>
          <w:szCs w:val="24"/>
        </w:rPr>
        <w:t>Giesekam</w:t>
      </w:r>
      <w:proofErr w:type="spellEnd"/>
      <w:r w:rsidRPr="0071436B">
        <w:rPr>
          <w:rFonts w:ascii="Arial" w:hAnsi="Arial" w:cs="Arial"/>
          <w:sz w:val="24"/>
          <w:szCs w:val="24"/>
        </w:rPr>
        <w:t>, J., Norman, J., Garvey, A., &amp; Betts-Davies, S., 2021. Science-Based Targets: On Target?. </w:t>
      </w:r>
      <w:r w:rsidRPr="0071436B">
        <w:rPr>
          <w:rFonts w:ascii="Arial" w:hAnsi="Arial" w:cs="Arial"/>
          <w:i/>
          <w:iCs/>
          <w:sz w:val="24"/>
          <w:szCs w:val="24"/>
        </w:rPr>
        <w:t>Sustainability</w:t>
      </w:r>
      <w:r w:rsidRPr="0071436B">
        <w:rPr>
          <w:rFonts w:ascii="Arial" w:hAnsi="Arial" w:cs="Arial"/>
          <w:sz w:val="24"/>
          <w:szCs w:val="24"/>
        </w:rPr>
        <w:t xml:space="preserve">. </w:t>
      </w:r>
      <w:hyperlink r:id="rId16" w:history="1">
        <w:r w:rsidRPr="0071436B">
          <w:rPr>
            <w:rStyle w:val="Hyperlink"/>
            <w:rFonts w:ascii="Arial" w:hAnsi="Arial" w:cs="Arial"/>
            <w:sz w:val="24"/>
            <w:szCs w:val="24"/>
          </w:rPr>
          <w:t>https://doi.org/10.3390/SU13041657</w:t>
        </w:r>
      </w:hyperlink>
      <w:r w:rsidRPr="0071436B">
        <w:rPr>
          <w:rFonts w:ascii="Arial" w:hAnsi="Arial" w:cs="Arial"/>
          <w:sz w:val="24"/>
          <w:szCs w:val="24"/>
        </w:rPr>
        <w:t xml:space="preserve">. </w:t>
      </w:r>
    </w:p>
    <w:p w14:paraId="6B4CE6FB"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lastRenderedPageBreak/>
        <w:t xml:space="preserve">Gopalakrishnan, S., Granot, D., Granot, F., </w:t>
      </w:r>
      <w:proofErr w:type="spellStart"/>
      <w:r w:rsidRPr="0071436B">
        <w:rPr>
          <w:rFonts w:ascii="Arial" w:hAnsi="Arial" w:cs="Arial"/>
          <w:sz w:val="24"/>
          <w:szCs w:val="24"/>
        </w:rPr>
        <w:t>Sošić</w:t>
      </w:r>
      <w:proofErr w:type="spellEnd"/>
      <w:r w:rsidRPr="0071436B">
        <w:rPr>
          <w:rFonts w:ascii="Arial" w:hAnsi="Arial" w:cs="Arial"/>
          <w:sz w:val="24"/>
          <w:szCs w:val="24"/>
        </w:rPr>
        <w:t>, G., &amp; Cui, H., 2020. Incentives and Emission Responsibility Allocation in Supply Chains. </w:t>
      </w:r>
      <w:r w:rsidRPr="0071436B">
        <w:rPr>
          <w:rFonts w:ascii="Arial" w:hAnsi="Arial" w:cs="Arial"/>
          <w:i/>
          <w:iCs/>
          <w:sz w:val="24"/>
          <w:szCs w:val="24"/>
        </w:rPr>
        <w:t>Manag. Sci.</w:t>
      </w:r>
      <w:r w:rsidRPr="0071436B">
        <w:rPr>
          <w:rFonts w:ascii="Arial" w:hAnsi="Arial" w:cs="Arial"/>
          <w:sz w:val="24"/>
          <w:szCs w:val="24"/>
        </w:rPr>
        <w:t xml:space="preserve">, 67, pp. 4172-4190. </w:t>
      </w:r>
      <w:hyperlink r:id="rId17" w:history="1">
        <w:r w:rsidRPr="0071436B">
          <w:rPr>
            <w:rStyle w:val="Hyperlink"/>
            <w:rFonts w:ascii="Arial" w:hAnsi="Arial" w:cs="Arial"/>
            <w:sz w:val="24"/>
            <w:szCs w:val="24"/>
          </w:rPr>
          <w:t>https://doi.org/10.1287/mnsc.2020.3724</w:t>
        </w:r>
      </w:hyperlink>
      <w:r w:rsidRPr="0071436B">
        <w:rPr>
          <w:rFonts w:ascii="Arial" w:hAnsi="Arial" w:cs="Arial"/>
          <w:sz w:val="24"/>
          <w:szCs w:val="24"/>
        </w:rPr>
        <w:t xml:space="preserve">. </w:t>
      </w:r>
    </w:p>
    <w:p w14:paraId="00461596"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Guerrero, M., &amp; Guerrero, M., 2020. Does workforce diversity matter on corporate venturing?. </w:t>
      </w:r>
      <w:r w:rsidRPr="0071436B">
        <w:rPr>
          <w:rFonts w:ascii="Arial" w:hAnsi="Arial" w:cs="Arial"/>
          <w:i/>
          <w:iCs/>
          <w:sz w:val="24"/>
          <w:szCs w:val="24"/>
        </w:rPr>
        <w:t>Economics of Innovation and New Technology</w:t>
      </w:r>
      <w:r w:rsidRPr="0071436B">
        <w:rPr>
          <w:rFonts w:ascii="Arial" w:hAnsi="Arial" w:cs="Arial"/>
          <w:sz w:val="24"/>
          <w:szCs w:val="24"/>
        </w:rPr>
        <w:t xml:space="preserve">, 31, pp. 35 - 53. </w:t>
      </w:r>
      <w:hyperlink r:id="rId18" w:history="1">
        <w:r w:rsidRPr="0071436B">
          <w:rPr>
            <w:rStyle w:val="Hyperlink"/>
            <w:rFonts w:ascii="Arial" w:hAnsi="Arial" w:cs="Arial"/>
            <w:sz w:val="24"/>
            <w:szCs w:val="24"/>
          </w:rPr>
          <w:t>https://doi.org/10.1080/10438599.2020.1843989</w:t>
        </w:r>
      </w:hyperlink>
      <w:r w:rsidRPr="0071436B">
        <w:rPr>
          <w:rFonts w:ascii="Arial" w:hAnsi="Arial" w:cs="Arial"/>
          <w:sz w:val="24"/>
          <w:szCs w:val="24"/>
        </w:rPr>
        <w:t xml:space="preserve">. </w:t>
      </w:r>
    </w:p>
    <w:p w14:paraId="1BB6CC46"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Hilton ESG, 2023. Travel With purpose Report. </w:t>
      </w:r>
      <w:hyperlink r:id="rId19" w:history="1">
        <w:r w:rsidRPr="0071436B">
          <w:rPr>
            <w:rStyle w:val="Hyperlink"/>
            <w:rFonts w:ascii="Arial" w:hAnsi="Arial" w:cs="Arial"/>
            <w:sz w:val="24"/>
            <w:szCs w:val="24"/>
          </w:rPr>
          <w:t>https://esg.hilton.com/wp-content/uploads/sites/4/2024/05/2023-Travel-with-Purpose-Report-ADA-final.pdf</w:t>
        </w:r>
      </w:hyperlink>
      <w:r w:rsidRPr="0071436B">
        <w:rPr>
          <w:rFonts w:ascii="Arial" w:hAnsi="Arial" w:cs="Arial"/>
          <w:sz w:val="24"/>
          <w:szCs w:val="24"/>
        </w:rPr>
        <w:t xml:space="preserve"> </w:t>
      </w:r>
    </w:p>
    <w:p w14:paraId="4EC7566C"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Hilton Worldwide, 2022. Water Security. </w:t>
      </w:r>
      <w:hyperlink r:id="rId20" w:history="1">
        <w:r w:rsidRPr="0071436B">
          <w:rPr>
            <w:rStyle w:val="Hyperlink"/>
            <w:rFonts w:ascii="Arial" w:hAnsi="Arial" w:cs="Arial"/>
            <w:sz w:val="24"/>
            <w:szCs w:val="24"/>
          </w:rPr>
          <w:t>https://esg.hilton.com/wp-content/uploads/sites/4/2023/05/HILTON-2022-CDP-Water.pdf</w:t>
        </w:r>
      </w:hyperlink>
      <w:r w:rsidRPr="0071436B">
        <w:rPr>
          <w:rFonts w:ascii="Arial" w:hAnsi="Arial" w:cs="Arial"/>
          <w:sz w:val="24"/>
          <w:szCs w:val="24"/>
        </w:rPr>
        <w:t xml:space="preserve"> </w:t>
      </w:r>
    </w:p>
    <w:p w14:paraId="504B4FEA"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Hilton, 2024. Our Progress. </w:t>
      </w:r>
      <w:hyperlink r:id="rId21" w:history="1">
        <w:r w:rsidRPr="0071436B">
          <w:rPr>
            <w:rStyle w:val="Hyperlink"/>
            <w:rFonts w:ascii="Arial" w:hAnsi="Arial" w:cs="Arial"/>
            <w:sz w:val="24"/>
            <w:szCs w:val="24"/>
          </w:rPr>
          <w:t>https://esg.hilton.com/our-progress/</w:t>
        </w:r>
      </w:hyperlink>
      <w:r w:rsidRPr="0071436B">
        <w:rPr>
          <w:rFonts w:ascii="Arial" w:hAnsi="Arial" w:cs="Arial"/>
          <w:sz w:val="24"/>
          <w:szCs w:val="24"/>
        </w:rPr>
        <w:t xml:space="preserve"> </w:t>
      </w:r>
      <w:r w:rsidRPr="0071436B">
        <w:rPr>
          <w:rFonts w:ascii="Arial" w:hAnsi="Arial" w:cs="Arial"/>
          <w:sz w:val="24"/>
          <w:szCs w:val="24"/>
        </w:rPr>
        <w:br/>
        <w:t xml:space="preserve">Stories From Hilton, 2024. Hilton and the Hilton Global Foundation Announce Notable Year of Progress Towards 2030 Travel with Purpose Goals. </w:t>
      </w:r>
      <w:hyperlink r:id="rId22" w:history="1">
        <w:r w:rsidRPr="0071436B">
          <w:rPr>
            <w:rStyle w:val="Hyperlink"/>
            <w:rFonts w:ascii="Arial" w:hAnsi="Arial" w:cs="Arial"/>
            <w:sz w:val="24"/>
            <w:szCs w:val="24"/>
          </w:rPr>
          <w:t>https://stories.hilton.com/emea/releases/hilton-and-the-hilton-global-foundation-announce-notable-year-of-progress-towards-2030-travel-with-purpose-goals</w:t>
        </w:r>
      </w:hyperlink>
      <w:r w:rsidRPr="0071436B">
        <w:rPr>
          <w:rFonts w:ascii="Arial" w:hAnsi="Arial" w:cs="Arial"/>
          <w:sz w:val="24"/>
          <w:szCs w:val="24"/>
        </w:rPr>
        <w:t xml:space="preserve"> </w:t>
      </w:r>
    </w:p>
    <w:p w14:paraId="7445A650"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ICLG, 2024. Environment &amp; Climate Change Laws and Regulations 2024 - United Kingdom. </w:t>
      </w:r>
      <w:hyperlink r:id="rId23" w:history="1">
        <w:r w:rsidRPr="0071436B">
          <w:rPr>
            <w:rStyle w:val="Hyperlink"/>
            <w:rFonts w:ascii="Arial" w:hAnsi="Arial" w:cs="Arial"/>
            <w:sz w:val="24"/>
            <w:szCs w:val="24"/>
          </w:rPr>
          <w:t>https://iclg.com/practice-areas/environment-and-climate-change-laws-and-regulations/united-kingdom</w:t>
        </w:r>
      </w:hyperlink>
      <w:r w:rsidRPr="0071436B">
        <w:rPr>
          <w:rFonts w:ascii="Arial" w:hAnsi="Arial" w:cs="Arial"/>
          <w:sz w:val="24"/>
          <w:szCs w:val="24"/>
        </w:rPr>
        <w:t xml:space="preserve"> </w:t>
      </w:r>
    </w:p>
    <w:p w14:paraId="2F0A30E4"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Iqbal, M., Kang, Y., &amp; Jeon, H., 2020. Zero waste strategy for green supply chain management with minimization of energy consumption. </w:t>
      </w:r>
      <w:r w:rsidRPr="0071436B">
        <w:rPr>
          <w:rFonts w:ascii="Arial" w:hAnsi="Arial" w:cs="Arial"/>
          <w:i/>
          <w:iCs/>
          <w:sz w:val="24"/>
          <w:szCs w:val="24"/>
        </w:rPr>
        <w:t>Journal of Cleaner Production</w:t>
      </w:r>
      <w:r w:rsidRPr="0071436B">
        <w:rPr>
          <w:rFonts w:ascii="Arial" w:hAnsi="Arial" w:cs="Arial"/>
          <w:sz w:val="24"/>
          <w:szCs w:val="24"/>
        </w:rPr>
        <w:t xml:space="preserve">, 245, pp. 118827. </w:t>
      </w:r>
      <w:hyperlink r:id="rId24" w:history="1">
        <w:r w:rsidRPr="0071436B">
          <w:rPr>
            <w:rStyle w:val="Hyperlink"/>
            <w:rFonts w:ascii="Arial" w:hAnsi="Arial" w:cs="Arial"/>
            <w:sz w:val="24"/>
            <w:szCs w:val="24"/>
          </w:rPr>
          <w:t>https://doi.org/10.1016/j.jclepro.2019.118827</w:t>
        </w:r>
      </w:hyperlink>
      <w:r w:rsidRPr="0071436B">
        <w:rPr>
          <w:rFonts w:ascii="Arial" w:hAnsi="Arial" w:cs="Arial"/>
          <w:sz w:val="24"/>
          <w:szCs w:val="24"/>
        </w:rPr>
        <w:t xml:space="preserve">. </w:t>
      </w:r>
    </w:p>
    <w:p w14:paraId="35026EF9"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Latif, K.F., Pérez, A. and Sahibzada, U.F., 2020. Corporate social responsibility (CSR) and customer loyalty in the hotel industry: A cross-country study. </w:t>
      </w:r>
      <w:r w:rsidRPr="0071436B">
        <w:rPr>
          <w:rFonts w:ascii="Arial" w:hAnsi="Arial" w:cs="Arial"/>
          <w:i/>
          <w:iCs/>
          <w:sz w:val="24"/>
          <w:szCs w:val="24"/>
        </w:rPr>
        <w:t>International Journal of Hospitality Management</w:t>
      </w:r>
      <w:r w:rsidRPr="0071436B">
        <w:rPr>
          <w:rFonts w:ascii="Arial" w:hAnsi="Arial" w:cs="Arial"/>
          <w:sz w:val="24"/>
          <w:szCs w:val="24"/>
        </w:rPr>
        <w:t>, </w:t>
      </w:r>
      <w:r w:rsidRPr="0071436B">
        <w:rPr>
          <w:rFonts w:ascii="Arial" w:hAnsi="Arial" w:cs="Arial"/>
          <w:i/>
          <w:iCs/>
          <w:sz w:val="24"/>
          <w:szCs w:val="24"/>
        </w:rPr>
        <w:t>89</w:t>
      </w:r>
      <w:r w:rsidRPr="0071436B">
        <w:rPr>
          <w:rFonts w:ascii="Arial" w:hAnsi="Arial" w:cs="Arial"/>
          <w:sz w:val="24"/>
          <w:szCs w:val="24"/>
        </w:rPr>
        <w:t xml:space="preserve">, p.102565. </w:t>
      </w:r>
      <w:hyperlink r:id="rId25" w:history="1">
        <w:r w:rsidRPr="0071436B">
          <w:rPr>
            <w:rStyle w:val="Hyperlink"/>
            <w:rFonts w:ascii="Arial" w:hAnsi="Arial" w:cs="Arial"/>
            <w:sz w:val="24"/>
            <w:szCs w:val="24"/>
          </w:rPr>
          <w:t>https://doi.org/10.1016/j.ijhm.2020.102565</w:t>
        </w:r>
      </w:hyperlink>
      <w:r w:rsidRPr="0071436B">
        <w:rPr>
          <w:rFonts w:ascii="Arial" w:hAnsi="Arial" w:cs="Arial"/>
          <w:sz w:val="24"/>
          <w:szCs w:val="24"/>
        </w:rPr>
        <w:t xml:space="preserve"> </w:t>
      </w:r>
    </w:p>
    <w:p w14:paraId="39681F9F"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Liu, X., Wider, W., Fauzi, M.A., Jiang, L., </w:t>
      </w:r>
      <w:proofErr w:type="spellStart"/>
      <w:r w:rsidRPr="0071436B">
        <w:rPr>
          <w:rFonts w:ascii="Arial" w:hAnsi="Arial" w:cs="Arial"/>
          <w:sz w:val="24"/>
          <w:szCs w:val="24"/>
        </w:rPr>
        <w:t>Udang</w:t>
      </w:r>
      <w:proofErr w:type="spellEnd"/>
      <w:r w:rsidRPr="0071436B">
        <w:rPr>
          <w:rFonts w:ascii="Arial" w:hAnsi="Arial" w:cs="Arial"/>
          <w:sz w:val="24"/>
          <w:szCs w:val="24"/>
        </w:rPr>
        <w:t>, L.N. and Hossain, S.F.A., 2024. The evolution of smart hotels: A bibliometric review of the past, present and future trends. </w:t>
      </w:r>
      <w:proofErr w:type="spellStart"/>
      <w:r w:rsidRPr="0071436B">
        <w:rPr>
          <w:rFonts w:ascii="Arial" w:hAnsi="Arial" w:cs="Arial"/>
          <w:i/>
          <w:iCs/>
          <w:sz w:val="24"/>
          <w:szCs w:val="24"/>
        </w:rPr>
        <w:t>Heliyon</w:t>
      </w:r>
      <w:proofErr w:type="spellEnd"/>
      <w:r w:rsidRPr="0071436B">
        <w:rPr>
          <w:rFonts w:ascii="Arial" w:hAnsi="Arial" w:cs="Arial"/>
          <w:sz w:val="24"/>
          <w:szCs w:val="24"/>
        </w:rPr>
        <w:t xml:space="preserve">. </w:t>
      </w:r>
      <w:hyperlink r:id="rId26" w:history="1">
        <w:r w:rsidRPr="0071436B">
          <w:rPr>
            <w:rStyle w:val="Hyperlink"/>
            <w:rFonts w:ascii="Arial" w:hAnsi="Arial" w:cs="Arial"/>
            <w:sz w:val="24"/>
            <w:szCs w:val="24"/>
          </w:rPr>
          <w:t>https://doi.org/10.1016/j.heliyon.2024.e26472</w:t>
        </w:r>
      </w:hyperlink>
      <w:r w:rsidRPr="0071436B">
        <w:rPr>
          <w:rFonts w:ascii="Arial" w:hAnsi="Arial" w:cs="Arial"/>
          <w:sz w:val="24"/>
          <w:szCs w:val="24"/>
        </w:rPr>
        <w:t xml:space="preserve"> </w:t>
      </w:r>
    </w:p>
    <w:p w14:paraId="6A91F671"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Matteucci, V., 2020. How can the hospitality industry increase corporate value aligned with sustainable development goals? Case examples from Hilton, Meliá and Sun. </w:t>
      </w:r>
      <w:r w:rsidRPr="0071436B">
        <w:rPr>
          <w:rFonts w:ascii="Arial" w:hAnsi="Arial" w:cs="Arial"/>
          <w:i/>
          <w:iCs/>
          <w:sz w:val="24"/>
          <w:szCs w:val="24"/>
        </w:rPr>
        <w:t>Worldwide Hospitality and Tourism Themes</w:t>
      </w:r>
      <w:r w:rsidRPr="0071436B">
        <w:rPr>
          <w:rFonts w:ascii="Arial" w:hAnsi="Arial" w:cs="Arial"/>
          <w:sz w:val="24"/>
          <w:szCs w:val="24"/>
        </w:rPr>
        <w:t>, </w:t>
      </w:r>
      <w:r w:rsidRPr="0071436B">
        <w:rPr>
          <w:rFonts w:ascii="Arial" w:hAnsi="Arial" w:cs="Arial"/>
          <w:i/>
          <w:iCs/>
          <w:sz w:val="24"/>
          <w:szCs w:val="24"/>
        </w:rPr>
        <w:t>12</w:t>
      </w:r>
      <w:r w:rsidRPr="0071436B">
        <w:rPr>
          <w:rFonts w:ascii="Arial" w:hAnsi="Arial" w:cs="Arial"/>
          <w:sz w:val="24"/>
          <w:szCs w:val="24"/>
        </w:rPr>
        <w:t xml:space="preserve">(5), pp.509-523. </w:t>
      </w:r>
      <w:hyperlink r:id="rId27" w:history="1">
        <w:r w:rsidRPr="0071436B">
          <w:rPr>
            <w:rStyle w:val="Hyperlink"/>
            <w:rFonts w:ascii="Arial" w:hAnsi="Arial" w:cs="Arial"/>
            <w:sz w:val="24"/>
            <w:szCs w:val="24"/>
          </w:rPr>
          <w:t>https://www.proquest.com/docview/2625320978?sourcetype=Scholarly%20Journals</w:t>
        </w:r>
      </w:hyperlink>
      <w:r w:rsidRPr="0071436B">
        <w:rPr>
          <w:rFonts w:ascii="Arial" w:hAnsi="Arial" w:cs="Arial"/>
          <w:sz w:val="24"/>
          <w:szCs w:val="24"/>
        </w:rPr>
        <w:t xml:space="preserve"> </w:t>
      </w:r>
    </w:p>
    <w:p w14:paraId="7CA84B87"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Orynycz, O., &amp; </w:t>
      </w:r>
      <w:proofErr w:type="spellStart"/>
      <w:r w:rsidRPr="0071436B">
        <w:rPr>
          <w:rFonts w:ascii="Arial" w:hAnsi="Arial" w:cs="Arial"/>
          <w:sz w:val="24"/>
          <w:szCs w:val="24"/>
        </w:rPr>
        <w:t>Tucki</w:t>
      </w:r>
      <w:proofErr w:type="spellEnd"/>
      <w:r w:rsidRPr="0071436B">
        <w:rPr>
          <w:rFonts w:ascii="Arial" w:hAnsi="Arial" w:cs="Arial"/>
          <w:sz w:val="24"/>
          <w:szCs w:val="24"/>
        </w:rPr>
        <w:t>, K., 2021. Total Productive Maintenance Approach to an Increase of the Energy Efficiency of a Hotel Facility and Mitigation of Water Consumption. </w:t>
      </w:r>
      <w:r w:rsidRPr="0071436B">
        <w:rPr>
          <w:rFonts w:ascii="Arial" w:hAnsi="Arial" w:cs="Arial"/>
          <w:i/>
          <w:iCs/>
          <w:sz w:val="24"/>
          <w:szCs w:val="24"/>
        </w:rPr>
        <w:t>Energies</w:t>
      </w:r>
      <w:r w:rsidRPr="0071436B">
        <w:rPr>
          <w:rFonts w:ascii="Arial" w:hAnsi="Arial" w:cs="Arial"/>
          <w:sz w:val="24"/>
          <w:szCs w:val="24"/>
        </w:rPr>
        <w:t xml:space="preserve">. </w:t>
      </w:r>
      <w:hyperlink r:id="rId28" w:history="1">
        <w:r w:rsidRPr="0071436B">
          <w:rPr>
            <w:rStyle w:val="Hyperlink"/>
            <w:rFonts w:ascii="Arial" w:hAnsi="Arial" w:cs="Arial"/>
            <w:sz w:val="24"/>
            <w:szCs w:val="24"/>
          </w:rPr>
          <w:t>https://doi.org/10.3390/EN14061706</w:t>
        </w:r>
      </w:hyperlink>
      <w:r w:rsidRPr="0071436B">
        <w:rPr>
          <w:rFonts w:ascii="Arial" w:hAnsi="Arial" w:cs="Arial"/>
          <w:sz w:val="24"/>
          <w:szCs w:val="24"/>
        </w:rPr>
        <w:t xml:space="preserve">. </w:t>
      </w:r>
    </w:p>
    <w:p w14:paraId="5F666B42"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Romito, S., </w:t>
      </w:r>
      <w:proofErr w:type="spellStart"/>
      <w:r w:rsidRPr="0071436B">
        <w:rPr>
          <w:rFonts w:ascii="Arial" w:hAnsi="Arial" w:cs="Arial"/>
          <w:sz w:val="24"/>
          <w:szCs w:val="24"/>
        </w:rPr>
        <w:t>Vurro</w:t>
      </w:r>
      <w:proofErr w:type="spellEnd"/>
      <w:r w:rsidRPr="0071436B">
        <w:rPr>
          <w:rFonts w:ascii="Arial" w:hAnsi="Arial" w:cs="Arial"/>
          <w:sz w:val="24"/>
          <w:szCs w:val="24"/>
        </w:rPr>
        <w:t xml:space="preserve">, C. and </w:t>
      </w:r>
      <w:proofErr w:type="spellStart"/>
      <w:r w:rsidRPr="0071436B">
        <w:rPr>
          <w:rFonts w:ascii="Arial" w:hAnsi="Arial" w:cs="Arial"/>
          <w:sz w:val="24"/>
          <w:szCs w:val="24"/>
        </w:rPr>
        <w:t>Pogutz</w:t>
      </w:r>
      <w:proofErr w:type="spellEnd"/>
      <w:r w:rsidRPr="0071436B">
        <w:rPr>
          <w:rFonts w:ascii="Arial" w:hAnsi="Arial" w:cs="Arial"/>
          <w:sz w:val="24"/>
          <w:szCs w:val="24"/>
        </w:rPr>
        <w:t>, S., 2024. Joining multi</w:t>
      </w:r>
      <w:r w:rsidRPr="0071436B">
        <w:rPr>
          <w:rFonts w:ascii="Cambria Math" w:hAnsi="Cambria Math" w:cs="Cambria Math"/>
          <w:sz w:val="24"/>
          <w:szCs w:val="24"/>
        </w:rPr>
        <w:t>‐</w:t>
      </w:r>
      <w:r w:rsidRPr="0071436B">
        <w:rPr>
          <w:rFonts w:ascii="Arial" w:hAnsi="Arial" w:cs="Arial"/>
          <w:sz w:val="24"/>
          <w:szCs w:val="24"/>
        </w:rPr>
        <w:t>stakeholder initiatives to fight climate change: The environmental impact of corporate participation in the Science Based Targets initiative. </w:t>
      </w:r>
      <w:r w:rsidRPr="0071436B">
        <w:rPr>
          <w:rFonts w:ascii="Arial" w:hAnsi="Arial" w:cs="Arial"/>
          <w:i/>
          <w:iCs/>
          <w:sz w:val="24"/>
          <w:szCs w:val="24"/>
        </w:rPr>
        <w:t>Business Strategy and the Environment</w:t>
      </w:r>
      <w:r w:rsidRPr="0071436B">
        <w:rPr>
          <w:rFonts w:ascii="Arial" w:hAnsi="Arial" w:cs="Arial"/>
          <w:sz w:val="24"/>
          <w:szCs w:val="24"/>
        </w:rPr>
        <w:t>, </w:t>
      </w:r>
      <w:r w:rsidRPr="0071436B">
        <w:rPr>
          <w:rFonts w:ascii="Arial" w:hAnsi="Arial" w:cs="Arial"/>
          <w:i/>
          <w:iCs/>
          <w:sz w:val="24"/>
          <w:szCs w:val="24"/>
        </w:rPr>
        <w:t>33</w:t>
      </w:r>
      <w:r w:rsidRPr="0071436B">
        <w:rPr>
          <w:rFonts w:ascii="Arial" w:hAnsi="Arial" w:cs="Arial"/>
          <w:sz w:val="24"/>
          <w:szCs w:val="24"/>
        </w:rPr>
        <w:t xml:space="preserve">(4), pp.2817-2831. </w:t>
      </w:r>
      <w:hyperlink r:id="rId29" w:history="1">
        <w:r w:rsidRPr="0071436B">
          <w:rPr>
            <w:rStyle w:val="Hyperlink"/>
            <w:rFonts w:ascii="Arial" w:hAnsi="Arial" w:cs="Arial"/>
            <w:sz w:val="24"/>
            <w:szCs w:val="24"/>
          </w:rPr>
          <w:t>https://doi.org/10.1002/bse.3639</w:t>
        </w:r>
      </w:hyperlink>
      <w:r w:rsidRPr="0071436B">
        <w:rPr>
          <w:rFonts w:ascii="Arial" w:hAnsi="Arial" w:cs="Arial"/>
          <w:sz w:val="24"/>
          <w:szCs w:val="24"/>
        </w:rPr>
        <w:t xml:space="preserve"> </w:t>
      </w:r>
    </w:p>
    <w:p w14:paraId="772DAE7F"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Sarkar, B., Sarkar, M., Ganguly, B., &amp; Cárdenas-</w:t>
      </w:r>
      <w:proofErr w:type="spellStart"/>
      <w:r w:rsidRPr="0071436B">
        <w:rPr>
          <w:rFonts w:ascii="Arial" w:hAnsi="Arial" w:cs="Arial"/>
          <w:sz w:val="24"/>
          <w:szCs w:val="24"/>
        </w:rPr>
        <w:t>Barrón</w:t>
      </w:r>
      <w:proofErr w:type="spellEnd"/>
      <w:r w:rsidRPr="0071436B">
        <w:rPr>
          <w:rFonts w:ascii="Arial" w:hAnsi="Arial" w:cs="Arial"/>
          <w:sz w:val="24"/>
          <w:szCs w:val="24"/>
        </w:rPr>
        <w:t>, L. (2021). Combined effects of carbon emission and production quality improvement for fixed lifetime products in a sustainable supply chain management. </w:t>
      </w:r>
      <w:r w:rsidRPr="0071436B">
        <w:rPr>
          <w:rFonts w:ascii="Arial" w:hAnsi="Arial" w:cs="Arial"/>
          <w:i/>
          <w:iCs/>
          <w:sz w:val="24"/>
          <w:szCs w:val="24"/>
        </w:rPr>
        <w:t>International Journal of Production Economics</w:t>
      </w:r>
      <w:r w:rsidRPr="0071436B">
        <w:rPr>
          <w:rFonts w:ascii="Arial" w:hAnsi="Arial" w:cs="Arial"/>
          <w:sz w:val="24"/>
          <w:szCs w:val="24"/>
        </w:rPr>
        <w:t xml:space="preserve">, 231, 107867. </w:t>
      </w:r>
      <w:hyperlink r:id="rId30" w:history="1">
        <w:r w:rsidRPr="0071436B">
          <w:rPr>
            <w:rStyle w:val="Hyperlink"/>
            <w:rFonts w:ascii="Arial" w:hAnsi="Arial" w:cs="Arial"/>
            <w:sz w:val="24"/>
            <w:szCs w:val="24"/>
          </w:rPr>
          <w:t>https://doi.org/10.1016/j.ijpe.2020.107867</w:t>
        </w:r>
      </w:hyperlink>
      <w:r w:rsidRPr="0071436B">
        <w:rPr>
          <w:rFonts w:ascii="Arial" w:hAnsi="Arial" w:cs="Arial"/>
          <w:sz w:val="24"/>
          <w:szCs w:val="24"/>
        </w:rPr>
        <w:t xml:space="preserve">. </w:t>
      </w:r>
    </w:p>
    <w:p w14:paraId="2E8C3114"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proofErr w:type="spellStart"/>
      <w:r w:rsidRPr="0071436B">
        <w:rPr>
          <w:rFonts w:ascii="Arial" w:hAnsi="Arial" w:cs="Arial"/>
          <w:sz w:val="24"/>
          <w:szCs w:val="24"/>
        </w:rPr>
        <w:t>Shufian</w:t>
      </w:r>
      <w:proofErr w:type="spellEnd"/>
      <w:r w:rsidRPr="0071436B">
        <w:rPr>
          <w:rFonts w:ascii="Arial" w:hAnsi="Arial" w:cs="Arial"/>
          <w:sz w:val="24"/>
          <w:szCs w:val="24"/>
        </w:rPr>
        <w:t>, A., Mahin, M.S.R. and Islam, R., 2022. Electronics and waste material recycler energy-efficient electric furnace system. </w:t>
      </w:r>
      <w:r w:rsidRPr="0071436B">
        <w:rPr>
          <w:rFonts w:ascii="Arial" w:hAnsi="Arial" w:cs="Arial"/>
          <w:i/>
          <w:iCs/>
          <w:sz w:val="24"/>
          <w:szCs w:val="24"/>
        </w:rPr>
        <w:t>Cleaner Engineering and Technology</w:t>
      </w:r>
      <w:r w:rsidRPr="0071436B">
        <w:rPr>
          <w:rFonts w:ascii="Arial" w:hAnsi="Arial" w:cs="Arial"/>
          <w:sz w:val="24"/>
          <w:szCs w:val="24"/>
        </w:rPr>
        <w:t>, </w:t>
      </w:r>
      <w:r w:rsidRPr="0071436B">
        <w:rPr>
          <w:rFonts w:ascii="Arial" w:hAnsi="Arial" w:cs="Arial"/>
          <w:i/>
          <w:iCs/>
          <w:sz w:val="24"/>
          <w:szCs w:val="24"/>
        </w:rPr>
        <w:t>6</w:t>
      </w:r>
      <w:r w:rsidRPr="0071436B">
        <w:rPr>
          <w:rFonts w:ascii="Arial" w:hAnsi="Arial" w:cs="Arial"/>
          <w:sz w:val="24"/>
          <w:szCs w:val="24"/>
        </w:rPr>
        <w:t xml:space="preserve">, p.100407. </w:t>
      </w:r>
      <w:hyperlink r:id="rId31" w:history="1">
        <w:r w:rsidRPr="0071436B">
          <w:rPr>
            <w:rStyle w:val="Hyperlink"/>
            <w:rFonts w:ascii="Arial" w:hAnsi="Arial" w:cs="Arial"/>
            <w:sz w:val="24"/>
            <w:szCs w:val="24"/>
          </w:rPr>
          <w:t>https://doi.org/10.1016/j.clet.2022.100407</w:t>
        </w:r>
      </w:hyperlink>
      <w:r w:rsidRPr="0071436B">
        <w:rPr>
          <w:rFonts w:ascii="Arial" w:hAnsi="Arial" w:cs="Arial"/>
          <w:sz w:val="24"/>
          <w:szCs w:val="24"/>
        </w:rPr>
        <w:t xml:space="preserve"> </w:t>
      </w:r>
    </w:p>
    <w:p w14:paraId="53439851"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proofErr w:type="spellStart"/>
      <w:r w:rsidRPr="0071436B">
        <w:rPr>
          <w:rFonts w:ascii="Arial" w:hAnsi="Arial" w:cs="Arial"/>
          <w:sz w:val="24"/>
          <w:szCs w:val="24"/>
        </w:rPr>
        <w:t>Stombelli</w:t>
      </w:r>
      <w:proofErr w:type="spellEnd"/>
      <w:r w:rsidRPr="0071436B">
        <w:rPr>
          <w:rFonts w:ascii="Arial" w:hAnsi="Arial" w:cs="Arial"/>
          <w:sz w:val="24"/>
          <w:szCs w:val="24"/>
        </w:rPr>
        <w:t xml:space="preserve">, V.M., 2020. Corporate Social Responsibility in hospitality: are sustainability initiatives </w:t>
      </w:r>
      <w:proofErr w:type="gramStart"/>
      <w:r w:rsidRPr="0071436B">
        <w:rPr>
          <w:rFonts w:ascii="Arial" w:hAnsi="Arial" w:cs="Arial"/>
          <w:sz w:val="24"/>
          <w:szCs w:val="24"/>
        </w:rPr>
        <w:t>really sustainable</w:t>
      </w:r>
      <w:proofErr w:type="gramEnd"/>
      <w:r w:rsidRPr="0071436B">
        <w:rPr>
          <w:rFonts w:ascii="Arial" w:hAnsi="Arial" w:cs="Arial"/>
          <w:sz w:val="24"/>
          <w:szCs w:val="24"/>
        </w:rPr>
        <w:t xml:space="preserve">? Case examples from </w:t>
      </w:r>
      <w:proofErr w:type="spellStart"/>
      <w:r w:rsidRPr="0071436B">
        <w:rPr>
          <w:rFonts w:ascii="Arial" w:hAnsi="Arial" w:cs="Arial"/>
          <w:sz w:val="24"/>
          <w:szCs w:val="24"/>
        </w:rPr>
        <w:t>CitizenM</w:t>
      </w:r>
      <w:proofErr w:type="spellEnd"/>
      <w:r w:rsidRPr="0071436B">
        <w:rPr>
          <w:rFonts w:ascii="Arial" w:hAnsi="Arial" w:cs="Arial"/>
          <w:sz w:val="24"/>
          <w:szCs w:val="24"/>
        </w:rPr>
        <w:t xml:space="preserve">, </w:t>
      </w:r>
      <w:proofErr w:type="spellStart"/>
      <w:r w:rsidRPr="0071436B">
        <w:rPr>
          <w:rFonts w:ascii="Arial" w:hAnsi="Arial" w:cs="Arial"/>
          <w:sz w:val="24"/>
          <w:szCs w:val="24"/>
        </w:rPr>
        <w:t>Lefay</w:t>
      </w:r>
      <w:proofErr w:type="spellEnd"/>
      <w:r w:rsidRPr="0071436B">
        <w:rPr>
          <w:rFonts w:ascii="Arial" w:hAnsi="Arial" w:cs="Arial"/>
          <w:sz w:val="24"/>
          <w:szCs w:val="24"/>
        </w:rPr>
        <w:t xml:space="preserve"> and Six Senses. </w:t>
      </w:r>
      <w:r w:rsidRPr="0071436B">
        <w:rPr>
          <w:rFonts w:ascii="Arial" w:hAnsi="Arial" w:cs="Arial"/>
          <w:i/>
          <w:iCs/>
          <w:sz w:val="24"/>
          <w:szCs w:val="24"/>
        </w:rPr>
        <w:t>Worldwide Hospitality and Tourism Themes</w:t>
      </w:r>
      <w:r w:rsidRPr="0071436B">
        <w:rPr>
          <w:rFonts w:ascii="Arial" w:hAnsi="Arial" w:cs="Arial"/>
          <w:sz w:val="24"/>
          <w:szCs w:val="24"/>
        </w:rPr>
        <w:t>, </w:t>
      </w:r>
      <w:r w:rsidRPr="0071436B">
        <w:rPr>
          <w:rFonts w:ascii="Arial" w:hAnsi="Arial" w:cs="Arial"/>
          <w:i/>
          <w:iCs/>
          <w:sz w:val="24"/>
          <w:szCs w:val="24"/>
        </w:rPr>
        <w:t>12</w:t>
      </w:r>
      <w:r w:rsidRPr="0071436B">
        <w:rPr>
          <w:rFonts w:ascii="Arial" w:hAnsi="Arial" w:cs="Arial"/>
          <w:sz w:val="24"/>
          <w:szCs w:val="24"/>
        </w:rPr>
        <w:t xml:space="preserve">(5), pp.525-545. </w:t>
      </w:r>
      <w:hyperlink r:id="rId32" w:history="1">
        <w:r w:rsidRPr="0071436B">
          <w:rPr>
            <w:rStyle w:val="Hyperlink"/>
            <w:rFonts w:ascii="Arial" w:hAnsi="Arial" w:cs="Arial"/>
            <w:sz w:val="24"/>
            <w:szCs w:val="24"/>
          </w:rPr>
          <w:t>https://www.proquest.com/docview/2625320056?sourcetype=Scholarly%20Journals</w:t>
        </w:r>
      </w:hyperlink>
      <w:r w:rsidRPr="0071436B">
        <w:rPr>
          <w:rFonts w:ascii="Arial" w:hAnsi="Arial" w:cs="Arial"/>
          <w:sz w:val="24"/>
          <w:szCs w:val="24"/>
        </w:rPr>
        <w:t xml:space="preserve"> </w:t>
      </w:r>
    </w:p>
    <w:p w14:paraId="63374346"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proofErr w:type="spellStart"/>
      <w:r w:rsidRPr="0071436B">
        <w:rPr>
          <w:rFonts w:ascii="Arial" w:hAnsi="Arial" w:cs="Arial"/>
          <w:sz w:val="24"/>
          <w:szCs w:val="24"/>
        </w:rPr>
        <w:t>Tutag</w:t>
      </w:r>
      <w:proofErr w:type="spellEnd"/>
      <w:r w:rsidRPr="0071436B">
        <w:rPr>
          <w:rFonts w:ascii="Arial" w:hAnsi="Arial" w:cs="Arial"/>
          <w:sz w:val="24"/>
          <w:szCs w:val="24"/>
        </w:rPr>
        <w:t>, R. and Singh, A.J., 2011. Current trends in non-performing hotel loan investments: Overview, market opportunities, challenges, and investment strategies. </w:t>
      </w:r>
      <w:r w:rsidRPr="0071436B">
        <w:rPr>
          <w:rFonts w:ascii="Arial" w:hAnsi="Arial" w:cs="Arial"/>
          <w:i/>
          <w:iCs/>
          <w:sz w:val="24"/>
          <w:szCs w:val="24"/>
        </w:rPr>
        <w:t>The Journal of Hospitality Financial Management</w:t>
      </w:r>
      <w:r w:rsidRPr="0071436B">
        <w:rPr>
          <w:rFonts w:ascii="Arial" w:hAnsi="Arial" w:cs="Arial"/>
          <w:sz w:val="24"/>
          <w:szCs w:val="24"/>
        </w:rPr>
        <w:t>, </w:t>
      </w:r>
      <w:r w:rsidRPr="0071436B">
        <w:rPr>
          <w:rFonts w:ascii="Arial" w:hAnsi="Arial" w:cs="Arial"/>
          <w:i/>
          <w:iCs/>
          <w:sz w:val="24"/>
          <w:szCs w:val="24"/>
        </w:rPr>
        <w:t>19</w:t>
      </w:r>
      <w:r w:rsidRPr="0071436B">
        <w:rPr>
          <w:rFonts w:ascii="Arial" w:hAnsi="Arial" w:cs="Arial"/>
          <w:sz w:val="24"/>
          <w:szCs w:val="24"/>
        </w:rPr>
        <w:t xml:space="preserve">(1), pp.1-25 </w:t>
      </w:r>
      <w:hyperlink r:id="rId33" w:history="1">
        <w:r w:rsidRPr="0071436B">
          <w:rPr>
            <w:rStyle w:val="Hyperlink"/>
            <w:rFonts w:ascii="Arial" w:hAnsi="Arial" w:cs="Arial"/>
            <w:sz w:val="24"/>
            <w:szCs w:val="24"/>
          </w:rPr>
          <w:t>https://doi.org/10.1080/10913211.2011.10653898</w:t>
        </w:r>
      </w:hyperlink>
      <w:r w:rsidRPr="0071436B">
        <w:rPr>
          <w:rFonts w:ascii="Arial" w:hAnsi="Arial" w:cs="Arial"/>
          <w:sz w:val="24"/>
          <w:szCs w:val="24"/>
        </w:rPr>
        <w:t xml:space="preserve"> </w:t>
      </w:r>
    </w:p>
    <w:p w14:paraId="5A1CCB31"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UK Government, 2011. The Waste (England and Wales) Regulations 2011.  </w:t>
      </w:r>
      <w:hyperlink r:id="rId34" w:history="1">
        <w:r w:rsidRPr="0071436B">
          <w:rPr>
            <w:rStyle w:val="Hyperlink"/>
            <w:rFonts w:ascii="Arial" w:hAnsi="Arial" w:cs="Arial"/>
            <w:sz w:val="24"/>
            <w:szCs w:val="24"/>
          </w:rPr>
          <w:t>https://www.legislation.gov.uk/ukdsi/2011/9780111506462</w:t>
        </w:r>
      </w:hyperlink>
      <w:r w:rsidRPr="0071436B">
        <w:rPr>
          <w:rFonts w:ascii="Arial" w:hAnsi="Arial" w:cs="Arial"/>
          <w:sz w:val="24"/>
          <w:szCs w:val="24"/>
        </w:rPr>
        <w:t xml:space="preserve"> </w:t>
      </w:r>
    </w:p>
    <w:p w14:paraId="1DABECD2"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 xml:space="preserve">UK Parliament, 2008. Climate Change Act 2008. </w:t>
      </w:r>
      <w:hyperlink r:id="rId35" w:history="1">
        <w:r w:rsidRPr="0071436B">
          <w:rPr>
            <w:rStyle w:val="Hyperlink"/>
            <w:rFonts w:ascii="Arial" w:hAnsi="Arial" w:cs="Arial"/>
            <w:sz w:val="24"/>
            <w:szCs w:val="24"/>
          </w:rPr>
          <w:t>https://www.legislation.gov.uk/ukpga/2008/27/contents</w:t>
        </w:r>
      </w:hyperlink>
      <w:r w:rsidRPr="0071436B">
        <w:rPr>
          <w:rFonts w:ascii="Arial" w:hAnsi="Arial" w:cs="Arial"/>
          <w:sz w:val="24"/>
          <w:szCs w:val="24"/>
        </w:rPr>
        <w:t xml:space="preserve"> </w:t>
      </w:r>
    </w:p>
    <w:p w14:paraId="67A8FBD8"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proofErr w:type="spellStart"/>
      <w:r w:rsidRPr="0071436B">
        <w:rPr>
          <w:rFonts w:ascii="Arial" w:hAnsi="Arial" w:cs="Arial"/>
          <w:sz w:val="24"/>
          <w:szCs w:val="24"/>
        </w:rPr>
        <w:lastRenderedPageBreak/>
        <w:t>Yarram</w:t>
      </w:r>
      <w:proofErr w:type="spellEnd"/>
      <w:r w:rsidRPr="0071436B">
        <w:rPr>
          <w:rFonts w:ascii="Arial" w:hAnsi="Arial" w:cs="Arial"/>
          <w:sz w:val="24"/>
          <w:szCs w:val="24"/>
        </w:rPr>
        <w:t>, S., &amp; Adapa, S., 2021. Board gender diversity and corporate social responsibility: Is there a case for critical mass?. </w:t>
      </w:r>
      <w:r w:rsidRPr="0071436B">
        <w:rPr>
          <w:rFonts w:ascii="Arial" w:hAnsi="Arial" w:cs="Arial"/>
          <w:i/>
          <w:iCs/>
          <w:sz w:val="24"/>
          <w:szCs w:val="24"/>
        </w:rPr>
        <w:t>Journal of Cleaner Production</w:t>
      </w:r>
      <w:r w:rsidRPr="0071436B">
        <w:rPr>
          <w:rFonts w:ascii="Arial" w:hAnsi="Arial" w:cs="Arial"/>
          <w:sz w:val="24"/>
          <w:szCs w:val="24"/>
        </w:rPr>
        <w:t xml:space="preserve">. </w:t>
      </w:r>
      <w:hyperlink r:id="rId36" w:history="1">
        <w:r w:rsidRPr="0071436B">
          <w:rPr>
            <w:rStyle w:val="Hyperlink"/>
            <w:rFonts w:ascii="Arial" w:hAnsi="Arial" w:cs="Arial"/>
            <w:sz w:val="24"/>
            <w:szCs w:val="24"/>
          </w:rPr>
          <w:t>https://doi.org/10.1016/j.jclepro.2020.123319</w:t>
        </w:r>
      </w:hyperlink>
      <w:r w:rsidRPr="0071436B">
        <w:rPr>
          <w:rFonts w:ascii="Arial" w:hAnsi="Arial" w:cs="Arial"/>
          <w:sz w:val="24"/>
          <w:szCs w:val="24"/>
        </w:rPr>
        <w:t xml:space="preserve">. </w:t>
      </w:r>
    </w:p>
    <w:p w14:paraId="58D27937"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Yu, Q., &amp; Li, H., 2020. Moderate separation of household kitchen waste towards global optimization of municipal solid waste management. </w:t>
      </w:r>
      <w:r w:rsidRPr="0071436B">
        <w:rPr>
          <w:rFonts w:ascii="Arial" w:hAnsi="Arial" w:cs="Arial"/>
          <w:i/>
          <w:iCs/>
          <w:sz w:val="24"/>
          <w:szCs w:val="24"/>
        </w:rPr>
        <w:t>Journal of Cleaner Production</w:t>
      </w:r>
      <w:r w:rsidRPr="0071436B">
        <w:rPr>
          <w:rFonts w:ascii="Arial" w:hAnsi="Arial" w:cs="Arial"/>
          <w:sz w:val="24"/>
          <w:szCs w:val="24"/>
        </w:rPr>
        <w:t xml:space="preserve">, 277, pp. 123330. </w:t>
      </w:r>
      <w:hyperlink r:id="rId37" w:history="1">
        <w:r w:rsidRPr="0071436B">
          <w:rPr>
            <w:rStyle w:val="Hyperlink"/>
            <w:rFonts w:ascii="Arial" w:hAnsi="Arial" w:cs="Arial"/>
            <w:sz w:val="24"/>
            <w:szCs w:val="24"/>
          </w:rPr>
          <w:t>https://doi.org/10.1016/j.jclepro.2020.123330</w:t>
        </w:r>
      </w:hyperlink>
      <w:r w:rsidRPr="0071436B">
        <w:rPr>
          <w:rFonts w:ascii="Arial" w:hAnsi="Arial" w:cs="Arial"/>
          <w:sz w:val="24"/>
          <w:szCs w:val="24"/>
        </w:rPr>
        <w:t xml:space="preserve">. </w:t>
      </w:r>
    </w:p>
    <w:p w14:paraId="1D811477" w14:textId="77777777" w:rsidR="00036047" w:rsidRPr="0071436B" w:rsidRDefault="00036047" w:rsidP="0071436B">
      <w:pPr>
        <w:pStyle w:val="ListParagraph"/>
        <w:numPr>
          <w:ilvl w:val="0"/>
          <w:numId w:val="3"/>
        </w:numPr>
        <w:spacing w:line="360" w:lineRule="auto"/>
        <w:jc w:val="both"/>
        <w:rPr>
          <w:rFonts w:ascii="Arial" w:hAnsi="Arial" w:cs="Arial"/>
          <w:sz w:val="24"/>
          <w:szCs w:val="24"/>
        </w:rPr>
      </w:pPr>
      <w:r w:rsidRPr="0071436B">
        <w:rPr>
          <w:rFonts w:ascii="Arial" w:hAnsi="Arial" w:cs="Arial"/>
          <w:sz w:val="24"/>
          <w:szCs w:val="24"/>
        </w:rPr>
        <w:t>Zientara, P., Bohdanowicz-Godfrey, P., Whitely, C. and Maciejewski, G., 2020. A case study of LightStay (2010–2017)—Hilton’s corporate responsibility management system. </w:t>
      </w:r>
      <w:r w:rsidRPr="0071436B">
        <w:rPr>
          <w:rFonts w:ascii="Arial" w:hAnsi="Arial" w:cs="Arial"/>
          <w:i/>
          <w:iCs/>
          <w:sz w:val="24"/>
          <w:szCs w:val="24"/>
        </w:rPr>
        <w:t>Energies</w:t>
      </w:r>
      <w:r w:rsidRPr="0071436B">
        <w:rPr>
          <w:rFonts w:ascii="Arial" w:hAnsi="Arial" w:cs="Arial"/>
          <w:sz w:val="24"/>
          <w:szCs w:val="24"/>
        </w:rPr>
        <w:t>, </w:t>
      </w:r>
      <w:r w:rsidRPr="0071436B">
        <w:rPr>
          <w:rFonts w:ascii="Arial" w:hAnsi="Arial" w:cs="Arial"/>
          <w:i/>
          <w:iCs/>
          <w:sz w:val="24"/>
          <w:szCs w:val="24"/>
        </w:rPr>
        <w:t>13</w:t>
      </w:r>
      <w:r w:rsidRPr="0071436B">
        <w:rPr>
          <w:rFonts w:ascii="Arial" w:hAnsi="Arial" w:cs="Arial"/>
          <w:sz w:val="24"/>
          <w:szCs w:val="24"/>
        </w:rPr>
        <w:t xml:space="preserve">(9), p.2303. </w:t>
      </w:r>
      <w:hyperlink r:id="rId38" w:history="1">
        <w:r w:rsidRPr="0071436B">
          <w:rPr>
            <w:rStyle w:val="Hyperlink"/>
            <w:rFonts w:ascii="Arial" w:hAnsi="Arial" w:cs="Arial"/>
            <w:sz w:val="24"/>
            <w:szCs w:val="24"/>
          </w:rPr>
          <w:t>https://doi.org/10.3390/en13092303</w:t>
        </w:r>
      </w:hyperlink>
      <w:r w:rsidRPr="0071436B">
        <w:rPr>
          <w:rFonts w:ascii="Arial" w:hAnsi="Arial" w:cs="Arial"/>
          <w:sz w:val="24"/>
          <w:szCs w:val="24"/>
        </w:rPr>
        <w:t xml:space="preserve">  </w:t>
      </w:r>
    </w:p>
    <w:p w14:paraId="72B40C31" w14:textId="7A00CB01" w:rsidR="00893A4D" w:rsidRPr="0071436B" w:rsidRDefault="00893A4D" w:rsidP="0071436B">
      <w:pPr>
        <w:spacing w:line="360" w:lineRule="auto"/>
        <w:jc w:val="both"/>
        <w:rPr>
          <w:rFonts w:ascii="Arial" w:hAnsi="Arial" w:cs="Arial"/>
          <w:sz w:val="24"/>
          <w:szCs w:val="24"/>
        </w:rPr>
      </w:pPr>
    </w:p>
    <w:sectPr w:rsidR="00893A4D" w:rsidRPr="0071436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C9E617" w14:textId="77777777" w:rsidR="00F659CE" w:rsidRPr="00C20D2E" w:rsidRDefault="00F659CE" w:rsidP="00C1755B">
      <w:pPr>
        <w:spacing w:after="0" w:line="240" w:lineRule="auto"/>
      </w:pPr>
      <w:r w:rsidRPr="00C20D2E">
        <w:separator/>
      </w:r>
    </w:p>
  </w:endnote>
  <w:endnote w:type="continuationSeparator" w:id="0">
    <w:p w14:paraId="43487C9B" w14:textId="77777777" w:rsidR="00F659CE" w:rsidRPr="00C20D2E" w:rsidRDefault="00F659CE" w:rsidP="00C1755B">
      <w:pPr>
        <w:spacing w:after="0" w:line="240" w:lineRule="auto"/>
      </w:pPr>
      <w:r w:rsidRPr="00C20D2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5F88B7" w14:textId="77777777" w:rsidR="00F659CE" w:rsidRPr="00C20D2E" w:rsidRDefault="00F659CE" w:rsidP="00C1755B">
      <w:pPr>
        <w:spacing w:after="0" w:line="240" w:lineRule="auto"/>
      </w:pPr>
      <w:r w:rsidRPr="00C20D2E">
        <w:separator/>
      </w:r>
    </w:p>
  </w:footnote>
  <w:footnote w:type="continuationSeparator" w:id="0">
    <w:p w14:paraId="0B9322FB" w14:textId="77777777" w:rsidR="00F659CE" w:rsidRPr="00C20D2E" w:rsidRDefault="00F659CE" w:rsidP="00C1755B">
      <w:pPr>
        <w:spacing w:after="0" w:line="240" w:lineRule="auto"/>
      </w:pPr>
      <w:r w:rsidRPr="00C20D2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EB292D"/>
    <w:multiLevelType w:val="multilevel"/>
    <w:tmpl w:val="6DAE2DC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CA0615"/>
    <w:multiLevelType w:val="multilevel"/>
    <w:tmpl w:val="E81AA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474CBD"/>
    <w:multiLevelType w:val="multilevel"/>
    <w:tmpl w:val="2222B38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6912621">
    <w:abstractNumId w:val="1"/>
  </w:num>
  <w:num w:numId="2" w16cid:durableId="993141451">
    <w:abstractNumId w:val="2"/>
  </w:num>
  <w:num w:numId="3" w16cid:durableId="1599410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A53"/>
    <w:rsid w:val="00021DF9"/>
    <w:rsid w:val="00036047"/>
    <w:rsid w:val="0004770D"/>
    <w:rsid w:val="0006246A"/>
    <w:rsid w:val="00063F3D"/>
    <w:rsid w:val="000648B3"/>
    <w:rsid w:val="00067913"/>
    <w:rsid w:val="000800C8"/>
    <w:rsid w:val="000812E6"/>
    <w:rsid w:val="000A0CA9"/>
    <w:rsid w:val="000A2C35"/>
    <w:rsid w:val="000A73E6"/>
    <w:rsid w:val="000B33E3"/>
    <w:rsid w:val="000B350F"/>
    <w:rsid w:val="000C1D1C"/>
    <w:rsid w:val="000E2DBA"/>
    <w:rsid w:val="000F5195"/>
    <w:rsid w:val="00102BED"/>
    <w:rsid w:val="001076E0"/>
    <w:rsid w:val="00160E22"/>
    <w:rsid w:val="001654CF"/>
    <w:rsid w:val="001906B2"/>
    <w:rsid w:val="001A4483"/>
    <w:rsid w:val="001C2F28"/>
    <w:rsid w:val="001E2FBD"/>
    <w:rsid w:val="00212643"/>
    <w:rsid w:val="00230BE8"/>
    <w:rsid w:val="0023214F"/>
    <w:rsid w:val="002350FA"/>
    <w:rsid w:val="0024103C"/>
    <w:rsid w:val="00244B0B"/>
    <w:rsid w:val="00252C95"/>
    <w:rsid w:val="00290F4B"/>
    <w:rsid w:val="002A14F3"/>
    <w:rsid w:val="002C2987"/>
    <w:rsid w:val="002C3620"/>
    <w:rsid w:val="002C6033"/>
    <w:rsid w:val="002D1841"/>
    <w:rsid w:val="002D1C4C"/>
    <w:rsid w:val="002E2857"/>
    <w:rsid w:val="00341E7A"/>
    <w:rsid w:val="0034324B"/>
    <w:rsid w:val="00370BAE"/>
    <w:rsid w:val="00376798"/>
    <w:rsid w:val="00384B6A"/>
    <w:rsid w:val="00395D3E"/>
    <w:rsid w:val="00396F2B"/>
    <w:rsid w:val="003A2421"/>
    <w:rsid w:val="003B202B"/>
    <w:rsid w:val="003B60B4"/>
    <w:rsid w:val="003D1326"/>
    <w:rsid w:val="003D414C"/>
    <w:rsid w:val="003E552D"/>
    <w:rsid w:val="003E654E"/>
    <w:rsid w:val="0042275D"/>
    <w:rsid w:val="00427F52"/>
    <w:rsid w:val="00437B76"/>
    <w:rsid w:val="0044163C"/>
    <w:rsid w:val="00455AC0"/>
    <w:rsid w:val="00470519"/>
    <w:rsid w:val="0047278B"/>
    <w:rsid w:val="00495ADC"/>
    <w:rsid w:val="004A137E"/>
    <w:rsid w:val="004A19DA"/>
    <w:rsid w:val="004A46C7"/>
    <w:rsid w:val="004C5621"/>
    <w:rsid w:val="004D417B"/>
    <w:rsid w:val="004D5843"/>
    <w:rsid w:val="004F312E"/>
    <w:rsid w:val="00516678"/>
    <w:rsid w:val="005173E0"/>
    <w:rsid w:val="00531C6B"/>
    <w:rsid w:val="0053224C"/>
    <w:rsid w:val="00553F46"/>
    <w:rsid w:val="00555E91"/>
    <w:rsid w:val="00570A66"/>
    <w:rsid w:val="00574E81"/>
    <w:rsid w:val="00593389"/>
    <w:rsid w:val="00597809"/>
    <w:rsid w:val="005A559F"/>
    <w:rsid w:val="005C1200"/>
    <w:rsid w:val="005C32CC"/>
    <w:rsid w:val="005C33BB"/>
    <w:rsid w:val="005C4F9A"/>
    <w:rsid w:val="005D59B3"/>
    <w:rsid w:val="005E52D0"/>
    <w:rsid w:val="00605010"/>
    <w:rsid w:val="00630276"/>
    <w:rsid w:val="00635016"/>
    <w:rsid w:val="00662E64"/>
    <w:rsid w:val="00663C03"/>
    <w:rsid w:val="00665AAD"/>
    <w:rsid w:val="00680718"/>
    <w:rsid w:val="00680A76"/>
    <w:rsid w:val="00681205"/>
    <w:rsid w:val="0068605A"/>
    <w:rsid w:val="00693DB6"/>
    <w:rsid w:val="00697349"/>
    <w:rsid w:val="006D675A"/>
    <w:rsid w:val="006F686D"/>
    <w:rsid w:val="0071436B"/>
    <w:rsid w:val="0072465D"/>
    <w:rsid w:val="007369B2"/>
    <w:rsid w:val="0075690F"/>
    <w:rsid w:val="0077086F"/>
    <w:rsid w:val="00771836"/>
    <w:rsid w:val="007A7A64"/>
    <w:rsid w:val="007C57DD"/>
    <w:rsid w:val="007E4055"/>
    <w:rsid w:val="007F3F54"/>
    <w:rsid w:val="00821373"/>
    <w:rsid w:val="0082584A"/>
    <w:rsid w:val="00826A7A"/>
    <w:rsid w:val="00835A46"/>
    <w:rsid w:val="00857B9E"/>
    <w:rsid w:val="00864FF9"/>
    <w:rsid w:val="0088240E"/>
    <w:rsid w:val="00886120"/>
    <w:rsid w:val="00893A4D"/>
    <w:rsid w:val="008A2761"/>
    <w:rsid w:val="008D4859"/>
    <w:rsid w:val="008E3D59"/>
    <w:rsid w:val="008E46C7"/>
    <w:rsid w:val="009155B6"/>
    <w:rsid w:val="009332F7"/>
    <w:rsid w:val="00963017"/>
    <w:rsid w:val="00963E4B"/>
    <w:rsid w:val="009671B6"/>
    <w:rsid w:val="0097797D"/>
    <w:rsid w:val="00977B79"/>
    <w:rsid w:val="00990EA2"/>
    <w:rsid w:val="00993534"/>
    <w:rsid w:val="00997651"/>
    <w:rsid w:val="009B3685"/>
    <w:rsid w:val="009C7152"/>
    <w:rsid w:val="009D2B10"/>
    <w:rsid w:val="00A05E14"/>
    <w:rsid w:val="00A40D63"/>
    <w:rsid w:val="00A61D27"/>
    <w:rsid w:val="00A61FF8"/>
    <w:rsid w:val="00A633D5"/>
    <w:rsid w:val="00A9310C"/>
    <w:rsid w:val="00A9375E"/>
    <w:rsid w:val="00AB38FC"/>
    <w:rsid w:val="00AB566F"/>
    <w:rsid w:val="00AB6763"/>
    <w:rsid w:val="00AC796A"/>
    <w:rsid w:val="00AD4426"/>
    <w:rsid w:val="00AD4ACB"/>
    <w:rsid w:val="00AE0ABA"/>
    <w:rsid w:val="00AE5008"/>
    <w:rsid w:val="00B00F0F"/>
    <w:rsid w:val="00B07077"/>
    <w:rsid w:val="00B25CA6"/>
    <w:rsid w:val="00B61EFD"/>
    <w:rsid w:val="00B803BD"/>
    <w:rsid w:val="00BA1DE7"/>
    <w:rsid w:val="00BC3B14"/>
    <w:rsid w:val="00BD2BFB"/>
    <w:rsid w:val="00BE5FD6"/>
    <w:rsid w:val="00C1755B"/>
    <w:rsid w:val="00C20D2E"/>
    <w:rsid w:val="00C224CB"/>
    <w:rsid w:val="00C2381F"/>
    <w:rsid w:val="00C33F5C"/>
    <w:rsid w:val="00C44FF2"/>
    <w:rsid w:val="00C573D3"/>
    <w:rsid w:val="00C84165"/>
    <w:rsid w:val="00C85FF3"/>
    <w:rsid w:val="00CA232A"/>
    <w:rsid w:val="00CA652E"/>
    <w:rsid w:val="00CB1201"/>
    <w:rsid w:val="00CB5AB6"/>
    <w:rsid w:val="00CC4D15"/>
    <w:rsid w:val="00CC5CC5"/>
    <w:rsid w:val="00CC69F8"/>
    <w:rsid w:val="00CE7C33"/>
    <w:rsid w:val="00CF3A53"/>
    <w:rsid w:val="00D3494C"/>
    <w:rsid w:val="00D45E0A"/>
    <w:rsid w:val="00D57495"/>
    <w:rsid w:val="00D6548D"/>
    <w:rsid w:val="00D6786D"/>
    <w:rsid w:val="00D74A48"/>
    <w:rsid w:val="00D87EEF"/>
    <w:rsid w:val="00DB59CA"/>
    <w:rsid w:val="00DC6312"/>
    <w:rsid w:val="00DC7FCC"/>
    <w:rsid w:val="00DE255D"/>
    <w:rsid w:val="00E345C1"/>
    <w:rsid w:val="00E34F72"/>
    <w:rsid w:val="00E67D38"/>
    <w:rsid w:val="00E75CC8"/>
    <w:rsid w:val="00EA6FF4"/>
    <w:rsid w:val="00EC2526"/>
    <w:rsid w:val="00EC339B"/>
    <w:rsid w:val="00EE228D"/>
    <w:rsid w:val="00F26D96"/>
    <w:rsid w:val="00F3541C"/>
    <w:rsid w:val="00F361D5"/>
    <w:rsid w:val="00F6230E"/>
    <w:rsid w:val="00F659CE"/>
    <w:rsid w:val="00F90164"/>
    <w:rsid w:val="00FA4170"/>
    <w:rsid w:val="00FA4D7B"/>
    <w:rsid w:val="00FB42EB"/>
    <w:rsid w:val="00FB4F37"/>
    <w:rsid w:val="00FB6D38"/>
    <w:rsid w:val="00FD0255"/>
    <w:rsid w:val="00FD4A48"/>
    <w:rsid w:val="00FE405D"/>
    <w:rsid w:val="00FE72F8"/>
    <w:rsid w:val="00FF48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9255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F3A5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3A5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3A5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F3A5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3A5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3A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3A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3A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3A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A5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3A5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3A5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CF3A5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3A5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3A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3A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3A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3A53"/>
    <w:rPr>
      <w:rFonts w:eastAsiaTheme="majorEastAsia" w:cstheme="majorBidi"/>
      <w:color w:val="272727" w:themeColor="text1" w:themeTint="D8"/>
    </w:rPr>
  </w:style>
  <w:style w:type="paragraph" w:styleId="Title">
    <w:name w:val="Title"/>
    <w:basedOn w:val="Normal"/>
    <w:next w:val="Normal"/>
    <w:link w:val="TitleChar"/>
    <w:uiPriority w:val="10"/>
    <w:qFormat/>
    <w:rsid w:val="00CF3A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3A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3A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3A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3A53"/>
    <w:pPr>
      <w:spacing w:before="160"/>
      <w:jc w:val="center"/>
    </w:pPr>
    <w:rPr>
      <w:i/>
      <w:iCs/>
      <w:color w:val="404040" w:themeColor="text1" w:themeTint="BF"/>
    </w:rPr>
  </w:style>
  <w:style w:type="character" w:customStyle="1" w:styleId="QuoteChar">
    <w:name w:val="Quote Char"/>
    <w:basedOn w:val="DefaultParagraphFont"/>
    <w:link w:val="Quote"/>
    <w:uiPriority w:val="29"/>
    <w:rsid w:val="00CF3A53"/>
    <w:rPr>
      <w:i/>
      <w:iCs/>
      <w:color w:val="404040" w:themeColor="text1" w:themeTint="BF"/>
    </w:rPr>
  </w:style>
  <w:style w:type="paragraph" w:styleId="ListParagraph">
    <w:name w:val="List Paragraph"/>
    <w:basedOn w:val="Normal"/>
    <w:uiPriority w:val="34"/>
    <w:qFormat/>
    <w:rsid w:val="00CF3A53"/>
    <w:pPr>
      <w:ind w:left="720"/>
      <w:contextualSpacing/>
    </w:pPr>
  </w:style>
  <w:style w:type="character" w:styleId="IntenseEmphasis">
    <w:name w:val="Intense Emphasis"/>
    <w:basedOn w:val="DefaultParagraphFont"/>
    <w:uiPriority w:val="21"/>
    <w:qFormat/>
    <w:rsid w:val="00CF3A53"/>
    <w:rPr>
      <w:i/>
      <w:iCs/>
      <w:color w:val="2F5496" w:themeColor="accent1" w:themeShade="BF"/>
    </w:rPr>
  </w:style>
  <w:style w:type="paragraph" w:styleId="IntenseQuote">
    <w:name w:val="Intense Quote"/>
    <w:basedOn w:val="Normal"/>
    <w:next w:val="Normal"/>
    <w:link w:val="IntenseQuoteChar"/>
    <w:uiPriority w:val="30"/>
    <w:qFormat/>
    <w:rsid w:val="00CF3A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3A53"/>
    <w:rPr>
      <w:i/>
      <w:iCs/>
      <w:color w:val="2F5496" w:themeColor="accent1" w:themeShade="BF"/>
    </w:rPr>
  </w:style>
  <w:style w:type="character" w:styleId="IntenseReference">
    <w:name w:val="Intense Reference"/>
    <w:basedOn w:val="DefaultParagraphFont"/>
    <w:uiPriority w:val="32"/>
    <w:qFormat/>
    <w:rsid w:val="00CF3A53"/>
    <w:rPr>
      <w:b/>
      <w:bCs/>
      <w:smallCaps/>
      <w:color w:val="2F5496" w:themeColor="accent1" w:themeShade="BF"/>
      <w:spacing w:val="5"/>
    </w:rPr>
  </w:style>
  <w:style w:type="paragraph" w:styleId="NormalWeb">
    <w:name w:val="Normal (Web)"/>
    <w:basedOn w:val="Normal"/>
    <w:uiPriority w:val="99"/>
    <w:semiHidden/>
    <w:unhideWhenUsed/>
    <w:rsid w:val="00FE405D"/>
    <w:rPr>
      <w:rFonts w:ascii="Times New Roman" w:hAnsi="Times New Roman" w:cs="Times New Roman"/>
      <w:sz w:val="24"/>
      <w:szCs w:val="24"/>
    </w:rPr>
  </w:style>
  <w:style w:type="character" w:styleId="Hyperlink">
    <w:name w:val="Hyperlink"/>
    <w:basedOn w:val="DefaultParagraphFont"/>
    <w:uiPriority w:val="99"/>
    <w:unhideWhenUsed/>
    <w:rsid w:val="00230BE8"/>
    <w:rPr>
      <w:color w:val="0563C1" w:themeColor="hyperlink"/>
      <w:u w:val="single"/>
    </w:rPr>
  </w:style>
  <w:style w:type="character" w:styleId="UnresolvedMention">
    <w:name w:val="Unresolved Mention"/>
    <w:basedOn w:val="DefaultParagraphFont"/>
    <w:uiPriority w:val="99"/>
    <w:semiHidden/>
    <w:unhideWhenUsed/>
    <w:rsid w:val="00230BE8"/>
    <w:rPr>
      <w:color w:val="605E5C"/>
      <w:shd w:val="clear" w:color="auto" w:fill="E1DFDD"/>
    </w:rPr>
  </w:style>
  <w:style w:type="character" w:styleId="FollowedHyperlink">
    <w:name w:val="FollowedHyperlink"/>
    <w:basedOn w:val="DefaultParagraphFont"/>
    <w:uiPriority w:val="99"/>
    <w:semiHidden/>
    <w:unhideWhenUsed/>
    <w:rsid w:val="00AD4ACB"/>
    <w:rPr>
      <w:color w:val="954F72" w:themeColor="followedHyperlink"/>
      <w:u w:val="single"/>
    </w:rPr>
  </w:style>
  <w:style w:type="paragraph" w:styleId="Header">
    <w:name w:val="header"/>
    <w:basedOn w:val="Normal"/>
    <w:link w:val="HeaderChar"/>
    <w:uiPriority w:val="99"/>
    <w:unhideWhenUsed/>
    <w:rsid w:val="00C17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55B"/>
  </w:style>
  <w:style w:type="paragraph" w:styleId="Footer">
    <w:name w:val="footer"/>
    <w:basedOn w:val="Normal"/>
    <w:link w:val="FooterChar"/>
    <w:uiPriority w:val="99"/>
    <w:unhideWhenUsed/>
    <w:rsid w:val="00C17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12930">
      <w:bodyDiv w:val="1"/>
      <w:marLeft w:val="0"/>
      <w:marRight w:val="0"/>
      <w:marTop w:val="0"/>
      <w:marBottom w:val="0"/>
      <w:divBdr>
        <w:top w:val="none" w:sz="0" w:space="0" w:color="auto"/>
        <w:left w:val="none" w:sz="0" w:space="0" w:color="auto"/>
        <w:bottom w:val="none" w:sz="0" w:space="0" w:color="auto"/>
        <w:right w:val="none" w:sz="0" w:space="0" w:color="auto"/>
      </w:divBdr>
    </w:div>
    <w:div w:id="47730197">
      <w:bodyDiv w:val="1"/>
      <w:marLeft w:val="0"/>
      <w:marRight w:val="0"/>
      <w:marTop w:val="0"/>
      <w:marBottom w:val="0"/>
      <w:divBdr>
        <w:top w:val="none" w:sz="0" w:space="0" w:color="auto"/>
        <w:left w:val="none" w:sz="0" w:space="0" w:color="auto"/>
        <w:bottom w:val="none" w:sz="0" w:space="0" w:color="auto"/>
        <w:right w:val="none" w:sz="0" w:space="0" w:color="auto"/>
      </w:divBdr>
    </w:div>
    <w:div w:id="60755451">
      <w:bodyDiv w:val="1"/>
      <w:marLeft w:val="0"/>
      <w:marRight w:val="0"/>
      <w:marTop w:val="0"/>
      <w:marBottom w:val="0"/>
      <w:divBdr>
        <w:top w:val="none" w:sz="0" w:space="0" w:color="auto"/>
        <w:left w:val="none" w:sz="0" w:space="0" w:color="auto"/>
        <w:bottom w:val="none" w:sz="0" w:space="0" w:color="auto"/>
        <w:right w:val="none" w:sz="0" w:space="0" w:color="auto"/>
      </w:divBdr>
    </w:div>
    <w:div w:id="72245293">
      <w:bodyDiv w:val="1"/>
      <w:marLeft w:val="0"/>
      <w:marRight w:val="0"/>
      <w:marTop w:val="0"/>
      <w:marBottom w:val="0"/>
      <w:divBdr>
        <w:top w:val="none" w:sz="0" w:space="0" w:color="auto"/>
        <w:left w:val="none" w:sz="0" w:space="0" w:color="auto"/>
        <w:bottom w:val="none" w:sz="0" w:space="0" w:color="auto"/>
        <w:right w:val="none" w:sz="0" w:space="0" w:color="auto"/>
      </w:divBdr>
      <w:divsChild>
        <w:div w:id="387194817">
          <w:marLeft w:val="0"/>
          <w:marRight w:val="0"/>
          <w:marTop w:val="0"/>
          <w:marBottom w:val="0"/>
          <w:divBdr>
            <w:top w:val="none" w:sz="0" w:space="0" w:color="auto"/>
            <w:left w:val="none" w:sz="0" w:space="0" w:color="auto"/>
            <w:bottom w:val="none" w:sz="0" w:space="0" w:color="auto"/>
            <w:right w:val="none" w:sz="0" w:space="0" w:color="auto"/>
          </w:divBdr>
          <w:divsChild>
            <w:div w:id="1478037869">
              <w:marLeft w:val="0"/>
              <w:marRight w:val="0"/>
              <w:marTop w:val="0"/>
              <w:marBottom w:val="0"/>
              <w:divBdr>
                <w:top w:val="none" w:sz="0" w:space="0" w:color="auto"/>
                <w:left w:val="none" w:sz="0" w:space="0" w:color="auto"/>
                <w:bottom w:val="none" w:sz="0" w:space="0" w:color="auto"/>
                <w:right w:val="none" w:sz="0" w:space="0" w:color="auto"/>
              </w:divBdr>
              <w:divsChild>
                <w:div w:id="1330668787">
                  <w:marLeft w:val="0"/>
                  <w:marRight w:val="0"/>
                  <w:marTop w:val="0"/>
                  <w:marBottom w:val="0"/>
                  <w:divBdr>
                    <w:top w:val="none" w:sz="0" w:space="0" w:color="auto"/>
                    <w:left w:val="none" w:sz="0" w:space="0" w:color="auto"/>
                    <w:bottom w:val="none" w:sz="0" w:space="0" w:color="auto"/>
                    <w:right w:val="none" w:sz="0" w:space="0" w:color="auto"/>
                  </w:divBdr>
                  <w:divsChild>
                    <w:div w:id="1829438129">
                      <w:marLeft w:val="0"/>
                      <w:marRight w:val="0"/>
                      <w:marTop w:val="0"/>
                      <w:marBottom w:val="0"/>
                      <w:divBdr>
                        <w:top w:val="none" w:sz="0" w:space="0" w:color="auto"/>
                        <w:left w:val="none" w:sz="0" w:space="0" w:color="auto"/>
                        <w:bottom w:val="none" w:sz="0" w:space="0" w:color="auto"/>
                        <w:right w:val="none" w:sz="0" w:space="0" w:color="auto"/>
                      </w:divBdr>
                      <w:divsChild>
                        <w:div w:id="651518248">
                          <w:marLeft w:val="0"/>
                          <w:marRight w:val="0"/>
                          <w:marTop w:val="0"/>
                          <w:marBottom w:val="0"/>
                          <w:divBdr>
                            <w:top w:val="none" w:sz="0" w:space="0" w:color="auto"/>
                            <w:left w:val="none" w:sz="0" w:space="0" w:color="auto"/>
                            <w:bottom w:val="none" w:sz="0" w:space="0" w:color="auto"/>
                            <w:right w:val="none" w:sz="0" w:space="0" w:color="auto"/>
                          </w:divBdr>
                          <w:divsChild>
                            <w:div w:id="14208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9079372">
          <w:marLeft w:val="0"/>
          <w:marRight w:val="0"/>
          <w:marTop w:val="0"/>
          <w:marBottom w:val="0"/>
          <w:divBdr>
            <w:top w:val="none" w:sz="0" w:space="0" w:color="auto"/>
            <w:left w:val="none" w:sz="0" w:space="0" w:color="auto"/>
            <w:bottom w:val="none" w:sz="0" w:space="0" w:color="auto"/>
            <w:right w:val="none" w:sz="0" w:space="0" w:color="auto"/>
          </w:divBdr>
          <w:divsChild>
            <w:div w:id="1813524220">
              <w:marLeft w:val="0"/>
              <w:marRight w:val="0"/>
              <w:marTop w:val="0"/>
              <w:marBottom w:val="0"/>
              <w:divBdr>
                <w:top w:val="none" w:sz="0" w:space="0" w:color="auto"/>
                <w:left w:val="none" w:sz="0" w:space="0" w:color="auto"/>
                <w:bottom w:val="none" w:sz="0" w:space="0" w:color="auto"/>
                <w:right w:val="none" w:sz="0" w:space="0" w:color="auto"/>
              </w:divBdr>
              <w:divsChild>
                <w:div w:id="1099834957">
                  <w:marLeft w:val="0"/>
                  <w:marRight w:val="0"/>
                  <w:marTop w:val="0"/>
                  <w:marBottom w:val="0"/>
                  <w:divBdr>
                    <w:top w:val="none" w:sz="0" w:space="0" w:color="auto"/>
                    <w:left w:val="none" w:sz="0" w:space="0" w:color="auto"/>
                    <w:bottom w:val="none" w:sz="0" w:space="0" w:color="auto"/>
                    <w:right w:val="none" w:sz="0" w:space="0" w:color="auto"/>
                  </w:divBdr>
                  <w:divsChild>
                    <w:div w:id="2131779485">
                      <w:marLeft w:val="0"/>
                      <w:marRight w:val="0"/>
                      <w:marTop w:val="0"/>
                      <w:marBottom w:val="0"/>
                      <w:divBdr>
                        <w:top w:val="none" w:sz="0" w:space="0" w:color="auto"/>
                        <w:left w:val="none" w:sz="0" w:space="0" w:color="auto"/>
                        <w:bottom w:val="none" w:sz="0" w:space="0" w:color="auto"/>
                        <w:right w:val="none" w:sz="0" w:space="0" w:color="auto"/>
                      </w:divBdr>
                      <w:divsChild>
                        <w:div w:id="1139807193">
                          <w:marLeft w:val="0"/>
                          <w:marRight w:val="0"/>
                          <w:marTop w:val="0"/>
                          <w:marBottom w:val="0"/>
                          <w:divBdr>
                            <w:top w:val="none" w:sz="0" w:space="0" w:color="auto"/>
                            <w:left w:val="none" w:sz="0" w:space="0" w:color="auto"/>
                            <w:bottom w:val="none" w:sz="0" w:space="0" w:color="auto"/>
                            <w:right w:val="none" w:sz="0" w:space="0" w:color="auto"/>
                          </w:divBdr>
                          <w:divsChild>
                            <w:div w:id="121380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867115">
      <w:bodyDiv w:val="1"/>
      <w:marLeft w:val="0"/>
      <w:marRight w:val="0"/>
      <w:marTop w:val="0"/>
      <w:marBottom w:val="0"/>
      <w:divBdr>
        <w:top w:val="none" w:sz="0" w:space="0" w:color="auto"/>
        <w:left w:val="none" w:sz="0" w:space="0" w:color="auto"/>
        <w:bottom w:val="none" w:sz="0" w:space="0" w:color="auto"/>
        <w:right w:val="none" w:sz="0" w:space="0" w:color="auto"/>
      </w:divBdr>
    </w:div>
    <w:div w:id="80759701">
      <w:bodyDiv w:val="1"/>
      <w:marLeft w:val="0"/>
      <w:marRight w:val="0"/>
      <w:marTop w:val="0"/>
      <w:marBottom w:val="0"/>
      <w:divBdr>
        <w:top w:val="none" w:sz="0" w:space="0" w:color="auto"/>
        <w:left w:val="none" w:sz="0" w:space="0" w:color="auto"/>
        <w:bottom w:val="none" w:sz="0" w:space="0" w:color="auto"/>
        <w:right w:val="none" w:sz="0" w:space="0" w:color="auto"/>
      </w:divBdr>
    </w:div>
    <w:div w:id="152260011">
      <w:bodyDiv w:val="1"/>
      <w:marLeft w:val="0"/>
      <w:marRight w:val="0"/>
      <w:marTop w:val="0"/>
      <w:marBottom w:val="0"/>
      <w:divBdr>
        <w:top w:val="none" w:sz="0" w:space="0" w:color="auto"/>
        <w:left w:val="none" w:sz="0" w:space="0" w:color="auto"/>
        <w:bottom w:val="none" w:sz="0" w:space="0" w:color="auto"/>
        <w:right w:val="none" w:sz="0" w:space="0" w:color="auto"/>
      </w:divBdr>
    </w:div>
    <w:div w:id="155342147">
      <w:bodyDiv w:val="1"/>
      <w:marLeft w:val="0"/>
      <w:marRight w:val="0"/>
      <w:marTop w:val="0"/>
      <w:marBottom w:val="0"/>
      <w:divBdr>
        <w:top w:val="none" w:sz="0" w:space="0" w:color="auto"/>
        <w:left w:val="none" w:sz="0" w:space="0" w:color="auto"/>
        <w:bottom w:val="none" w:sz="0" w:space="0" w:color="auto"/>
        <w:right w:val="none" w:sz="0" w:space="0" w:color="auto"/>
      </w:divBdr>
    </w:div>
    <w:div w:id="163739808">
      <w:bodyDiv w:val="1"/>
      <w:marLeft w:val="0"/>
      <w:marRight w:val="0"/>
      <w:marTop w:val="0"/>
      <w:marBottom w:val="0"/>
      <w:divBdr>
        <w:top w:val="none" w:sz="0" w:space="0" w:color="auto"/>
        <w:left w:val="none" w:sz="0" w:space="0" w:color="auto"/>
        <w:bottom w:val="none" w:sz="0" w:space="0" w:color="auto"/>
        <w:right w:val="none" w:sz="0" w:space="0" w:color="auto"/>
      </w:divBdr>
    </w:div>
    <w:div w:id="214464550">
      <w:bodyDiv w:val="1"/>
      <w:marLeft w:val="0"/>
      <w:marRight w:val="0"/>
      <w:marTop w:val="0"/>
      <w:marBottom w:val="0"/>
      <w:divBdr>
        <w:top w:val="none" w:sz="0" w:space="0" w:color="auto"/>
        <w:left w:val="none" w:sz="0" w:space="0" w:color="auto"/>
        <w:bottom w:val="none" w:sz="0" w:space="0" w:color="auto"/>
        <w:right w:val="none" w:sz="0" w:space="0" w:color="auto"/>
      </w:divBdr>
      <w:divsChild>
        <w:div w:id="17846863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4780842">
      <w:bodyDiv w:val="1"/>
      <w:marLeft w:val="0"/>
      <w:marRight w:val="0"/>
      <w:marTop w:val="0"/>
      <w:marBottom w:val="0"/>
      <w:divBdr>
        <w:top w:val="none" w:sz="0" w:space="0" w:color="auto"/>
        <w:left w:val="none" w:sz="0" w:space="0" w:color="auto"/>
        <w:bottom w:val="none" w:sz="0" w:space="0" w:color="auto"/>
        <w:right w:val="none" w:sz="0" w:space="0" w:color="auto"/>
      </w:divBdr>
    </w:div>
    <w:div w:id="242834046">
      <w:bodyDiv w:val="1"/>
      <w:marLeft w:val="0"/>
      <w:marRight w:val="0"/>
      <w:marTop w:val="0"/>
      <w:marBottom w:val="0"/>
      <w:divBdr>
        <w:top w:val="none" w:sz="0" w:space="0" w:color="auto"/>
        <w:left w:val="none" w:sz="0" w:space="0" w:color="auto"/>
        <w:bottom w:val="none" w:sz="0" w:space="0" w:color="auto"/>
        <w:right w:val="none" w:sz="0" w:space="0" w:color="auto"/>
      </w:divBdr>
    </w:div>
    <w:div w:id="282813615">
      <w:bodyDiv w:val="1"/>
      <w:marLeft w:val="0"/>
      <w:marRight w:val="0"/>
      <w:marTop w:val="0"/>
      <w:marBottom w:val="0"/>
      <w:divBdr>
        <w:top w:val="none" w:sz="0" w:space="0" w:color="auto"/>
        <w:left w:val="none" w:sz="0" w:space="0" w:color="auto"/>
        <w:bottom w:val="none" w:sz="0" w:space="0" w:color="auto"/>
        <w:right w:val="none" w:sz="0" w:space="0" w:color="auto"/>
      </w:divBdr>
    </w:div>
    <w:div w:id="325209588">
      <w:bodyDiv w:val="1"/>
      <w:marLeft w:val="0"/>
      <w:marRight w:val="0"/>
      <w:marTop w:val="0"/>
      <w:marBottom w:val="0"/>
      <w:divBdr>
        <w:top w:val="none" w:sz="0" w:space="0" w:color="auto"/>
        <w:left w:val="none" w:sz="0" w:space="0" w:color="auto"/>
        <w:bottom w:val="none" w:sz="0" w:space="0" w:color="auto"/>
        <w:right w:val="none" w:sz="0" w:space="0" w:color="auto"/>
      </w:divBdr>
    </w:div>
    <w:div w:id="343288336">
      <w:bodyDiv w:val="1"/>
      <w:marLeft w:val="0"/>
      <w:marRight w:val="0"/>
      <w:marTop w:val="0"/>
      <w:marBottom w:val="0"/>
      <w:divBdr>
        <w:top w:val="none" w:sz="0" w:space="0" w:color="auto"/>
        <w:left w:val="none" w:sz="0" w:space="0" w:color="auto"/>
        <w:bottom w:val="none" w:sz="0" w:space="0" w:color="auto"/>
        <w:right w:val="none" w:sz="0" w:space="0" w:color="auto"/>
      </w:divBdr>
    </w:div>
    <w:div w:id="352196215">
      <w:bodyDiv w:val="1"/>
      <w:marLeft w:val="0"/>
      <w:marRight w:val="0"/>
      <w:marTop w:val="0"/>
      <w:marBottom w:val="0"/>
      <w:divBdr>
        <w:top w:val="none" w:sz="0" w:space="0" w:color="auto"/>
        <w:left w:val="none" w:sz="0" w:space="0" w:color="auto"/>
        <w:bottom w:val="none" w:sz="0" w:space="0" w:color="auto"/>
        <w:right w:val="none" w:sz="0" w:space="0" w:color="auto"/>
      </w:divBdr>
    </w:div>
    <w:div w:id="353969132">
      <w:bodyDiv w:val="1"/>
      <w:marLeft w:val="0"/>
      <w:marRight w:val="0"/>
      <w:marTop w:val="0"/>
      <w:marBottom w:val="0"/>
      <w:divBdr>
        <w:top w:val="none" w:sz="0" w:space="0" w:color="auto"/>
        <w:left w:val="none" w:sz="0" w:space="0" w:color="auto"/>
        <w:bottom w:val="none" w:sz="0" w:space="0" w:color="auto"/>
        <w:right w:val="none" w:sz="0" w:space="0" w:color="auto"/>
      </w:divBdr>
    </w:div>
    <w:div w:id="355890103">
      <w:bodyDiv w:val="1"/>
      <w:marLeft w:val="0"/>
      <w:marRight w:val="0"/>
      <w:marTop w:val="0"/>
      <w:marBottom w:val="0"/>
      <w:divBdr>
        <w:top w:val="none" w:sz="0" w:space="0" w:color="auto"/>
        <w:left w:val="none" w:sz="0" w:space="0" w:color="auto"/>
        <w:bottom w:val="none" w:sz="0" w:space="0" w:color="auto"/>
        <w:right w:val="none" w:sz="0" w:space="0" w:color="auto"/>
      </w:divBdr>
    </w:div>
    <w:div w:id="362826077">
      <w:bodyDiv w:val="1"/>
      <w:marLeft w:val="0"/>
      <w:marRight w:val="0"/>
      <w:marTop w:val="0"/>
      <w:marBottom w:val="0"/>
      <w:divBdr>
        <w:top w:val="none" w:sz="0" w:space="0" w:color="auto"/>
        <w:left w:val="none" w:sz="0" w:space="0" w:color="auto"/>
        <w:bottom w:val="none" w:sz="0" w:space="0" w:color="auto"/>
        <w:right w:val="none" w:sz="0" w:space="0" w:color="auto"/>
      </w:divBdr>
    </w:div>
    <w:div w:id="403719085">
      <w:bodyDiv w:val="1"/>
      <w:marLeft w:val="0"/>
      <w:marRight w:val="0"/>
      <w:marTop w:val="0"/>
      <w:marBottom w:val="0"/>
      <w:divBdr>
        <w:top w:val="none" w:sz="0" w:space="0" w:color="auto"/>
        <w:left w:val="none" w:sz="0" w:space="0" w:color="auto"/>
        <w:bottom w:val="none" w:sz="0" w:space="0" w:color="auto"/>
        <w:right w:val="none" w:sz="0" w:space="0" w:color="auto"/>
      </w:divBdr>
      <w:divsChild>
        <w:div w:id="8935468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6706520">
      <w:bodyDiv w:val="1"/>
      <w:marLeft w:val="0"/>
      <w:marRight w:val="0"/>
      <w:marTop w:val="0"/>
      <w:marBottom w:val="0"/>
      <w:divBdr>
        <w:top w:val="none" w:sz="0" w:space="0" w:color="auto"/>
        <w:left w:val="none" w:sz="0" w:space="0" w:color="auto"/>
        <w:bottom w:val="none" w:sz="0" w:space="0" w:color="auto"/>
        <w:right w:val="none" w:sz="0" w:space="0" w:color="auto"/>
      </w:divBdr>
    </w:div>
    <w:div w:id="426584155">
      <w:bodyDiv w:val="1"/>
      <w:marLeft w:val="0"/>
      <w:marRight w:val="0"/>
      <w:marTop w:val="0"/>
      <w:marBottom w:val="0"/>
      <w:divBdr>
        <w:top w:val="none" w:sz="0" w:space="0" w:color="auto"/>
        <w:left w:val="none" w:sz="0" w:space="0" w:color="auto"/>
        <w:bottom w:val="none" w:sz="0" w:space="0" w:color="auto"/>
        <w:right w:val="none" w:sz="0" w:space="0" w:color="auto"/>
      </w:divBdr>
    </w:div>
    <w:div w:id="443117037">
      <w:bodyDiv w:val="1"/>
      <w:marLeft w:val="0"/>
      <w:marRight w:val="0"/>
      <w:marTop w:val="0"/>
      <w:marBottom w:val="0"/>
      <w:divBdr>
        <w:top w:val="none" w:sz="0" w:space="0" w:color="auto"/>
        <w:left w:val="none" w:sz="0" w:space="0" w:color="auto"/>
        <w:bottom w:val="none" w:sz="0" w:space="0" w:color="auto"/>
        <w:right w:val="none" w:sz="0" w:space="0" w:color="auto"/>
      </w:divBdr>
    </w:div>
    <w:div w:id="450243348">
      <w:bodyDiv w:val="1"/>
      <w:marLeft w:val="0"/>
      <w:marRight w:val="0"/>
      <w:marTop w:val="0"/>
      <w:marBottom w:val="0"/>
      <w:divBdr>
        <w:top w:val="none" w:sz="0" w:space="0" w:color="auto"/>
        <w:left w:val="none" w:sz="0" w:space="0" w:color="auto"/>
        <w:bottom w:val="none" w:sz="0" w:space="0" w:color="auto"/>
        <w:right w:val="none" w:sz="0" w:space="0" w:color="auto"/>
      </w:divBdr>
    </w:div>
    <w:div w:id="475294301">
      <w:bodyDiv w:val="1"/>
      <w:marLeft w:val="0"/>
      <w:marRight w:val="0"/>
      <w:marTop w:val="0"/>
      <w:marBottom w:val="0"/>
      <w:divBdr>
        <w:top w:val="none" w:sz="0" w:space="0" w:color="auto"/>
        <w:left w:val="none" w:sz="0" w:space="0" w:color="auto"/>
        <w:bottom w:val="none" w:sz="0" w:space="0" w:color="auto"/>
        <w:right w:val="none" w:sz="0" w:space="0" w:color="auto"/>
      </w:divBdr>
    </w:div>
    <w:div w:id="494616880">
      <w:bodyDiv w:val="1"/>
      <w:marLeft w:val="0"/>
      <w:marRight w:val="0"/>
      <w:marTop w:val="0"/>
      <w:marBottom w:val="0"/>
      <w:divBdr>
        <w:top w:val="none" w:sz="0" w:space="0" w:color="auto"/>
        <w:left w:val="none" w:sz="0" w:space="0" w:color="auto"/>
        <w:bottom w:val="none" w:sz="0" w:space="0" w:color="auto"/>
        <w:right w:val="none" w:sz="0" w:space="0" w:color="auto"/>
      </w:divBdr>
      <w:divsChild>
        <w:div w:id="1255094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26867002">
      <w:bodyDiv w:val="1"/>
      <w:marLeft w:val="0"/>
      <w:marRight w:val="0"/>
      <w:marTop w:val="0"/>
      <w:marBottom w:val="0"/>
      <w:divBdr>
        <w:top w:val="none" w:sz="0" w:space="0" w:color="auto"/>
        <w:left w:val="none" w:sz="0" w:space="0" w:color="auto"/>
        <w:bottom w:val="none" w:sz="0" w:space="0" w:color="auto"/>
        <w:right w:val="none" w:sz="0" w:space="0" w:color="auto"/>
      </w:divBdr>
    </w:div>
    <w:div w:id="544370470">
      <w:bodyDiv w:val="1"/>
      <w:marLeft w:val="0"/>
      <w:marRight w:val="0"/>
      <w:marTop w:val="0"/>
      <w:marBottom w:val="0"/>
      <w:divBdr>
        <w:top w:val="none" w:sz="0" w:space="0" w:color="auto"/>
        <w:left w:val="none" w:sz="0" w:space="0" w:color="auto"/>
        <w:bottom w:val="none" w:sz="0" w:space="0" w:color="auto"/>
        <w:right w:val="none" w:sz="0" w:space="0" w:color="auto"/>
      </w:divBdr>
    </w:div>
    <w:div w:id="573975819">
      <w:bodyDiv w:val="1"/>
      <w:marLeft w:val="0"/>
      <w:marRight w:val="0"/>
      <w:marTop w:val="0"/>
      <w:marBottom w:val="0"/>
      <w:divBdr>
        <w:top w:val="none" w:sz="0" w:space="0" w:color="auto"/>
        <w:left w:val="none" w:sz="0" w:space="0" w:color="auto"/>
        <w:bottom w:val="none" w:sz="0" w:space="0" w:color="auto"/>
        <w:right w:val="none" w:sz="0" w:space="0" w:color="auto"/>
      </w:divBdr>
    </w:div>
    <w:div w:id="586423566">
      <w:bodyDiv w:val="1"/>
      <w:marLeft w:val="0"/>
      <w:marRight w:val="0"/>
      <w:marTop w:val="0"/>
      <w:marBottom w:val="0"/>
      <w:divBdr>
        <w:top w:val="none" w:sz="0" w:space="0" w:color="auto"/>
        <w:left w:val="none" w:sz="0" w:space="0" w:color="auto"/>
        <w:bottom w:val="none" w:sz="0" w:space="0" w:color="auto"/>
        <w:right w:val="none" w:sz="0" w:space="0" w:color="auto"/>
      </w:divBdr>
    </w:div>
    <w:div w:id="628822293">
      <w:bodyDiv w:val="1"/>
      <w:marLeft w:val="0"/>
      <w:marRight w:val="0"/>
      <w:marTop w:val="0"/>
      <w:marBottom w:val="0"/>
      <w:divBdr>
        <w:top w:val="none" w:sz="0" w:space="0" w:color="auto"/>
        <w:left w:val="none" w:sz="0" w:space="0" w:color="auto"/>
        <w:bottom w:val="none" w:sz="0" w:space="0" w:color="auto"/>
        <w:right w:val="none" w:sz="0" w:space="0" w:color="auto"/>
      </w:divBdr>
    </w:div>
    <w:div w:id="631058291">
      <w:bodyDiv w:val="1"/>
      <w:marLeft w:val="0"/>
      <w:marRight w:val="0"/>
      <w:marTop w:val="0"/>
      <w:marBottom w:val="0"/>
      <w:divBdr>
        <w:top w:val="none" w:sz="0" w:space="0" w:color="auto"/>
        <w:left w:val="none" w:sz="0" w:space="0" w:color="auto"/>
        <w:bottom w:val="none" w:sz="0" w:space="0" w:color="auto"/>
        <w:right w:val="none" w:sz="0" w:space="0" w:color="auto"/>
      </w:divBdr>
    </w:div>
    <w:div w:id="656999118">
      <w:bodyDiv w:val="1"/>
      <w:marLeft w:val="0"/>
      <w:marRight w:val="0"/>
      <w:marTop w:val="0"/>
      <w:marBottom w:val="0"/>
      <w:divBdr>
        <w:top w:val="none" w:sz="0" w:space="0" w:color="auto"/>
        <w:left w:val="none" w:sz="0" w:space="0" w:color="auto"/>
        <w:bottom w:val="none" w:sz="0" w:space="0" w:color="auto"/>
        <w:right w:val="none" w:sz="0" w:space="0" w:color="auto"/>
      </w:divBdr>
    </w:div>
    <w:div w:id="666589339">
      <w:bodyDiv w:val="1"/>
      <w:marLeft w:val="0"/>
      <w:marRight w:val="0"/>
      <w:marTop w:val="0"/>
      <w:marBottom w:val="0"/>
      <w:divBdr>
        <w:top w:val="none" w:sz="0" w:space="0" w:color="auto"/>
        <w:left w:val="none" w:sz="0" w:space="0" w:color="auto"/>
        <w:bottom w:val="none" w:sz="0" w:space="0" w:color="auto"/>
        <w:right w:val="none" w:sz="0" w:space="0" w:color="auto"/>
      </w:divBdr>
    </w:div>
    <w:div w:id="682586445">
      <w:bodyDiv w:val="1"/>
      <w:marLeft w:val="0"/>
      <w:marRight w:val="0"/>
      <w:marTop w:val="0"/>
      <w:marBottom w:val="0"/>
      <w:divBdr>
        <w:top w:val="none" w:sz="0" w:space="0" w:color="auto"/>
        <w:left w:val="none" w:sz="0" w:space="0" w:color="auto"/>
        <w:bottom w:val="none" w:sz="0" w:space="0" w:color="auto"/>
        <w:right w:val="none" w:sz="0" w:space="0" w:color="auto"/>
      </w:divBdr>
    </w:div>
    <w:div w:id="726143829">
      <w:bodyDiv w:val="1"/>
      <w:marLeft w:val="0"/>
      <w:marRight w:val="0"/>
      <w:marTop w:val="0"/>
      <w:marBottom w:val="0"/>
      <w:divBdr>
        <w:top w:val="none" w:sz="0" w:space="0" w:color="auto"/>
        <w:left w:val="none" w:sz="0" w:space="0" w:color="auto"/>
        <w:bottom w:val="none" w:sz="0" w:space="0" w:color="auto"/>
        <w:right w:val="none" w:sz="0" w:space="0" w:color="auto"/>
      </w:divBdr>
    </w:div>
    <w:div w:id="749888161">
      <w:bodyDiv w:val="1"/>
      <w:marLeft w:val="0"/>
      <w:marRight w:val="0"/>
      <w:marTop w:val="0"/>
      <w:marBottom w:val="0"/>
      <w:divBdr>
        <w:top w:val="none" w:sz="0" w:space="0" w:color="auto"/>
        <w:left w:val="none" w:sz="0" w:space="0" w:color="auto"/>
        <w:bottom w:val="none" w:sz="0" w:space="0" w:color="auto"/>
        <w:right w:val="none" w:sz="0" w:space="0" w:color="auto"/>
      </w:divBdr>
    </w:div>
    <w:div w:id="752702848">
      <w:bodyDiv w:val="1"/>
      <w:marLeft w:val="0"/>
      <w:marRight w:val="0"/>
      <w:marTop w:val="0"/>
      <w:marBottom w:val="0"/>
      <w:divBdr>
        <w:top w:val="none" w:sz="0" w:space="0" w:color="auto"/>
        <w:left w:val="none" w:sz="0" w:space="0" w:color="auto"/>
        <w:bottom w:val="none" w:sz="0" w:space="0" w:color="auto"/>
        <w:right w:val="none" w:sz="0" w:space="0" w:color="auto"/>
      </w:divBdr>
    </w:div>
    <w:div w:id="762337503">
      <w:bodyDiv w:val="1"/>
      <w:marLeft w:val="0"/>
      <w:marRight w:val="0"/>
      <w:marTop w:val="0"/>
      <w:marBottom w:val="0"/>
      <w:divBdr>
        <w:top w:val="none" w:sz="0" w:space="0" w:color="auto"/>
        <w:left w:val="none" w:sz="0" w:space="0" w:color="auto"/>
        <w:bottom w:val="none" w:sz="0" w:space="0" w:color="auto"/>
        <w:right w:val="none" w:sz="0" w:space="0" w:color="auto"/>
      </w:divBdr>
      <w:divsChild>
        <w:div w:id="627514920">
          <w:marLeft w:val="0"/>
          <w:marRight w:val="0"/>
          <w:marTop w:val="0"/>
          <w:marBottom w:val="0"/>
          <w:divBdr>
            <w:top w:val="none" w:sz="0" w:space="0" w:color="auto"/>
            <w:left w:val="none" w:sz="0" w:space="0" w:color="auto"/>
            <w:bottom w:val="none" w:sz="0" w:space="0" w:color="auto"/>
            <w:right w:val="none" w:sz="0" w:space="0" w:color="auto"/>
          </w:divBdr>
          <w:divsChild>
            <w:div w:id="8065106">
              <w:marLeft w:val="0"/>
              <w:marRight w:val="0"/>
              <w:marTop w:val="0"/>
              <w:marBottom w:val="0"/>
              <w:divBdr>
                <w:top w:val="none" w:sz="0" w:space="0" w:color="auto"/>
                <w:left w:val="none" w:sz="0" w:space="0" w:color="auto"/>
                <w:bottom w:val="none" w:sz="0" w:space="0" w:color="auto"/>
                <w:right w:val="none" w:sz="0" w:space="0" w:color="auto"/>
              </w:divBdr>
              <w:divsChild>
                <w:div w:id="1006710247">
                  <w:marLeft w:val="0"/>
                  <w:marRight w:val="0"/>
                  <w:marTop w:val="0"/>
                  <w:marBottom w:val="0"/>
                  <w:divBdr>
                    <w:top w:val="none" w:sz="0" w:space="0" w:color="auto"/>
                    <w:left w:val="none" w:sz="0" w:space="0" w:color="auto"/>
                    <w:bottom w:val="none" w:sz="0" w:space="0" w:color="auto"/>
                    <w:right w:val="none" w:sz="0" w:space="0" w:color="auto"/>
                  </w:divBdr>
                  <w:divsChild>
                    <w:div w:id="1201211634">
                      <w:marLeft w:val="0"/>
                      <w:marRight w:val="0"/>
                      <w:marTop w:val="0"/>
                      <w:marBottom w:val="0"/>
                      <w:divBdr>
                        <w:top w:val="none" w:sz="0" w:space="0" w:color="auto"/>
                        <w:left w:val="none" w:sz="0" w:space="0" w:color="auto"/>
                        <w:bottom w:val="none" w:sz="0" w:space="0" w:color="auto"/>
                        <w:right w:val="none" w:sz="0" w:space="0" w:color="auto"/>
                      </w:divBdr>
                      <w:divsChild>
                        <w:div w:id="1866088644">
                          <w:marLeft w:val="0"/>
                          <w:marRight w:val="0"/>
                          <w:marTop w:val="0"/>
                          <w:marBottom w:val="0"/>
                          <w:divBdr>
                            <w:top w:val="none" w:sz="0" w:space="0" w:color="auto"/>
                            <w:left w:val="none" w:sz="0" w:space="0" w:color="auto"/>
                            <w:bottom w:val="none" w:sz="0" w:space="0" w:color="auto"/>
                            <w:right w:val="none" w:sz="0" w:space="0" w:color="auto"/>
                          </w:divBdr>
                          <w:divsChild>
                            <w:div w:id="30941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0723014">
          <w:marLeft w:val="0"/>
          <w:marRight w:val="0"/>
          <w:marTop w:val="0"/>
          <w:marBottom w:val="0"/>
          <w:divBdr>
            <w:top w:val="none" w:sz="0" w:space="0" w:color="auto"/>
            <w:left w:val="none" w:sz="0" w:space="0" w:color="auto"/>
            <w:bottom w:val="none" w:sz="0" w:space="0" w:color="auto"/>
            <w:right w:val="none" w:sz="0" w:space="0" w:color="auto"/>
          </w:divBdr>
          <w:divsChild>
            <w:div w:id="1178423318">
              <w:marLeft w:val="0"/>
              <w:marRight w:val="0"/>
              <w:marTop w:val="0"/>
              <w:marBottom w:val="0"/>
              <w:divBdr>
                <w:top w:val="none" w:sz="0" w:space="0" w:color="auto"/>
                <w:left w:val="none" w:sz="0" w:space="0" w:color="auto"/>
                <w:bottom w:val="none" w:sz="0" w:space="0" w:color="auto"/>
                <w:right w:val="none" w:sz="0" w:space="0" w:color="auto"/>
              </w:divBdr>
              <w:divsChild>
                <w:div w:id="1221550892">
                  <w:marLeft w:val="0"/>
                  <w:marRight w:val="0"/>
                  <w:marTop w:val="0"/>
                  <w:marBottom w:val="0"/>
                  <w:divBdr>
                    <w:top w:val="none" w:sz="0" w:space="0" w:color="auto"/>
                    <w:left w:val="none" w:sz="0" w:space="0" w:color="auto"/>
                    <w:bottom w:val="none" w:sz="0" w:space="0" w:color="auto"/>
                    <w:right w:val="none" w:sz="0" w:space="0" w:color="auto"/>
                  </w:divBdr>
                  <w:divsChild>
                    <w:div w:id="2007126093">
                      <w:marLeft w:val="0"/>
                      <w:marRight w:val="0"/>
                      <w:marTop w:val="0"/>
                      <w:marBottom w:val="0"/>
                      <w:divBdr>
                        <w:top w:val="none" w:sz="0" w:space="0" w:color="auto"/>
                        <w:left w:val="none" w:sz="0" w:space="0" w:color="auto"/>
                        <w:bottom w:val="none" w:sz="0" w:space="0" w:color="auto"/>
                        <w:right w:val="none" w:sz="0" w:space="0" w:color="auto"/>
                      </w:divBdr>
                      <w:divsChild>
                        <w:div w:id="529149241">
                          <w:marLeft w:val="0"/>
                          <w:marRight w:val="0"/>
                          <w:marTop w:val="0"/>
                          <w:marBottom w:val="0"/>
                          <w:divBdr>
                            <w:top w:val="none" w:sz="0" w:space="0" w:color="auto"/>
                            <w:left w:val="none" w:sz="0" w:space="0" w:color="auto"/>
                            <w:bottom w:val="none" w:sz="0" w:space="0" w:color="auto"/>
                            <w:right w:val="none" w:sz="0" w:space="0" w:color="auto"/>
                          </w:divBdr>
                          <w:divsChild>
                            <w:div w:id="212796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5931333">
      <w:bodyDiv w:val="1"/>
      <w:marLeft w:val="0"/>
      <w:marRight w:val="0"/>
      <w:marTop w:val="0"/>
      <w:marBottom w:val="0"/>
      <w:divBdr>
        <w:top w:val="none" w:sz="0" w:space="0" w:color="auto"/>
        <w:left w:val="none" w:sz="0" w:space="0" w:color="auto"/>
        <w:bottom w:val="none" w:sz="0" w:space="0" w:color="auto"/>
        <w:right w:val="none" w:sz="0" w:space="0" w:color="auto"/>
      </w:divBdr>
    </w:div>
    <w:div w:id="787701558">
      <w:bodyDiv w:val="1"/>
      <w:marLeft w:val="0"/>
      <w:marRight w:val="0"/>
      <w:marTop w:val="0"/>
      <w:marBottom w:val="0"/>
      <w:divBdr>
        <w:top w:val="none" w:sz="0" w:space="0" w:color="auto"/>
        <w:left w:val="none" w:sz="0" w:space="0" w:color="auto"/>
        <w:bottom w:val="none" w:sz="0" w:space="0" w:color="auto"/>
        <w:right w:val="none" w:sz="0" w:space="0" w:color="auto"/>
      </w:divBdr>
    </w:div>
    <w:div w:id="861170707">
      <w:bodyDiv w:val="1"/>
      <w:marLeft w:val="0"/>
      <w:marRight w:val="0"/>
      <w:marTop w:val="0"/>
      <w:marBottom w:val="0"/>
      <w:divBdr>
        <w:top w:val="none" w:sz="0" w:space="0" w:color="auto"/>
        <w:left w:val="none" w:sz="0" w:space="0" w:color="auto"/>
        <w:bottom w:val="none" w:sz="0" w:space="0" w:color="auto"/>
        <w:right w:val="none" w:sz="0" w:space="0" w:color="auto"/>
      </w:divBdr>
    </w:div>
    <w:div w:id="863052589">
      <w:bodyDiv w:val="1"/>
      <w:marLeft w:val="0"/>
      <w:marRight w:val="0"/>
      <w:marTop w:val="0"/>
      <w:marBottom w:val="0"/>
      <w:divBdr>
        <w:top w:val="none" w:sz="0" w:space="0" w:color="auto"/>
        <w:left w:val="none" w:sz="0" w:space="0" w:color="auto"/>
        <w:bottom w:val="none" w:sz="0" w:space="0" w:color="auto"/>
        <w:right w:val="none" w:sz="0" w:space="0" w:color="auto"/>
      </w:divBdr>
    </w:div>
    <w:div w:id="874735731">
      <w:bodyDiv w:val="1"/>
      <w:marLeft w:val="0"/>
      <w:marRight w:val="0"/>
      <w:marTop w:val="0"/>
      <w:marBottom w:val="0"/>
      <w:divBdr>
        <w:top w:val="none" w:sz="0" w:space="0" w:color="auto"/>
        <w:left w:val="none" w:sz="0" w:space="0" w:color="auto"/>
        <w:bottom w:val="none" w:sz="0" w:space="0" w:color="auto"/>
        <w:right w:val="none" w:sz="0" w:space="0" w:color="auto"/>
      </w:divBdr>
    </w:div>
    <w:div w:id="910893426">
      <w:bodyDiv w:val="1"/>
      <w:marLeft w:val="0"/>
      <w:marRight w:val="0"/>
      <w:marTop w:val="0"/>
      <w:marBottom w:val="0"/>
      <w:divBdr>
        <w:top w:val="none" w:sz="0" w:space="0" w:color="auto"/>
        <w:left w:val="none" w:sz="0" w:space="0" w:color="auto"/>
        <w:bottom w:val="none" w:sz="0" w:space="0" w:color="auto"/>
        <w:right w:val="none" w:sz="0" w:space="0" w:color="auto"/>
      </w:divBdr>
    </w:div>
    <w:div w:id="912815582">
      <w:bodyDiv w:val="1"/>
      <w:marLeft w:val="0"/>
      <w:marRight w:val="0"/>
      <w:marTop w:val="0"/>
      <w:marBottom w:val="0"/>
      <w:divBdr>
        <w:top w:val="none" w:sz="0" w:space="0" w:color="auto"/>
        <w:left w:val="none" w:sz="0" w:space="0" w:color="auto"/>
        <w:bottom w:val="none" w:sz="0" w:space="0" w:color="auto"/>
        <w:right w:val="none" w:sz="0" w:space="0" w:color="auto"/>
      </w:divBdr>
    </w:div>
    <w:div w:id="963272966">
      <w:bodyDiv w:val="1"/>
      <w:marLeft w:val="0"/>
      <w:marRight w:val="0"/>
      <w:marTop w:val="0"/>
      <w:marBottom w:val="0"/>
      <w:divBdr>
        <w:top w:val="none" w:sz="0" w:space="0" w:color="auto"/>
        <w:left w:val="none" w:sz="0" w:space="0" w:color="auto"/>
        <w:bottom w:val="none" w:sz="0" w:space="0" w:color="auto"/>
        <w:right w:val="none" w:sz="0" w:space="0" w:color="auto"/>
      </w:divBdr>
    </w:div>
    <w:div w:id="990790575">
      <w:bodyDiv w:val="1"/>
      <w:marLeft w:val="0"/>
      <w:marRight w:val="0"/>
      <w:marTop w:val="0"/>
      <w:marBottom w:val="0"/>
      <w:divBdr>
        <w:top w:val="none" w:sz="0" w:space="0" w:color="auto"/>
        <w:left w:val="none" w:sz="0" w:space="0" w:color="auto"/>
        <w:bottom w:val="none" w:sz="0" w:space="0" w:color="auto"/>
        <w:right w:val="none" w:sz="0" w:space="0" w:color="auto"/>
      </w:divBdr>
    </w:div>
    <w:div w:id="991372720">
      <w:bodyDiv w:val="1"/>
      <w:marLeft w:val="0"/>
      <w:marRight w:val="0"/>
      <w:marTop w:val="0"/>
      <w:marBottom w:val="0"/>
      <w:divBdr>
        <w:top w:val="none" w:sz="0" w:space="0" w:color="auto"/>
        <w:left w:val="none" w:sz="0" w:space="0" w:color="auto"/>
        <w:bottom w:val="none" w:sz="0" w:space="0" w:color="auto"/>
        <w:right w:val="none" w:sz="0" w:space="0" w:color="auto"/>
      </w:divBdr>
    </w:div>
    <w:div w:id="1009524406">
      <w:bodyDiv w:val="1"/>
      <w:marLeft w:val="0"/>
      <w:marRight w:val="0"/>
      <w:marTop w:val="0"/>
      <w:marBottom w:val="0"/>
      <w:divBdr>
        <w:top w:val="none" w:sz="0" w:space="0" w:color="auto"/>
        <w:left w:val="none" w:sz="0" w:space="0" w:color="auto"/>
        <w:bottom w:val="none" w:sz="0" w:space="0" w:color="auto"/>
        <w:right w:val="none" w:sz="0" w:space="0" w:color="auto"/>
      </w:divBdr>
    </w:div>
    <w:div w:id="1011762369">
      <w:bodyDiv w:val="1"/>
      <w:marLeft w:val="0"/>
      <w:marRight w:val="0"/>
      <w:marTop w:val="0"/>
      <w:marBottom w:val="0"/>
      <w:divBdr>
        <w:top w:val="none" w:sz="0" w:space="0" w:color="auto"/>
        <w:left w:val="none" w:sz="0" w:space="0" w:color="auto"/>
        <w:bottom w:val="none" w:sz="0" w:space="0" w:color="auto"/>
        <w:right w:val="none" w:sz="0" w:space="0" w:color="auto"/>
      </w:divBdr>
    </w:div>
    <w:div w:id="1021130358">
      <w:bodyDiv w:val="1"/>
      <w:marLeft w:val="0"/>
      <w:marRight w:val="0"/>
      <w:marTop w:val="0"/>
      <w:marBottom w:val="0"/>
      <w:divBdr>
        <w:top w:val="none" w:sz="0" w:space="0" w:color="auto"/>
        <w:left w:val="none" w:sz="0" w:space="0" w:color="auto"/>
        <w:bottom w:val="none" w:sz="0" w:space="0" w:color="auto"/>
        <w:right w:val="none" w:sz="0" w:space="0" w:color="auto"/>
      </w:divBdr>
    </w:div>
    <w:div w:id="1031146398">
      <w:bodyDiv w:val="1"/>
      <w:marLeft w:val="0"/>
      <w:marRight w:val="0"/>
      <w:marTop w:val="0"/>
      <w:marBottom w:val="0"/>
      <w:divBdr>
        <w:top w:val="none" w:sz="0" w:space="0" w:color="auto"/>
        <w:left w:val="none" w:sz="0" w:space="0" w:color="auto"/>
        <w:bottom w:val="none" w:sz="0" w:space="0" w:color="auto"/>
        <w:right w:val="none" w:sz="0" w:space="0" w:color="auto"/>
      </w:divBdr>
    </w:div>
    <w:div w:id="1058239180">
      <w:bodyDiv w:val="1"/>
      <w:marLeft w:val="0"/>
      <w:marRight w:val="0"/>
      <w:marTop w:val="0"/>
      <w:marBottom w:val="0"/>
      <w:divBdr>
        <w:top w:val="none" w:sz="0" w:space="0" w:color="auto"/>
        <w:left w:val="none" w:sz="0" w:space="0" w:color="auto"/>
        <w:bottom w:val="none" w:sz="0" w:space="0" w:color="auto"/>
        <w:right w:val="none" w:sz="0" w:space="0" w:color="auto"/>
      </w:divBdr>
    </w:div>
    <w:div w:id="1060716801">
      <w:bodyDiv w:val="1"/>
      <w:marLeft w:val="0"/>
      <w:marRight w:val="0"/>
      <w:marTop w:val="0"/>
      <w:marBottom w:val="0"/>
      <w:divBdr>
        <w:top w:val="none" w:sz="0" w:space="0" w:color="auto"/>
        <w:left w:val="none" w:sz="0" w:space="0" w:color="auto"/>
        <w:bottom w:val="none" w:sz="0" w:space="0" w:color="auto"/>
        <w:right w:val="none" w:sz="0" w:space="0" w:color="auto"/>
      </w:divBdr>
    </w:div>
    <w:div w:id="1067996042">
      <w:bodyDiv w:val="1"/>
      <w:marLeft w:val="0"/>
      <w:marRight w:val="0"/>
      <w:marTop w:val="0"/>
      <w:marBottom w:val="0"/>
      <w:divBdr>
        <w:top w:val="none" w:sz="0" w:space="0" w:color="auto"/>
        <w:left w:val="none" w:sz="0" w:space="0" w:color="auto"/>
        <w:bottom w:val="none" w:sz="0" w:space="0" w:color="auto"/>
        <w:right w:val="none" w:sz="0" w:space="0" w:color="auto"/>
      </w:divBdr>
    </w:div>
    <w:div w:id="1077871493">
      <w:bodyDiv w:val="1"/>
      <w:marLeft w:val="0"/>
      <w:marRight w:val="0"/>
      <w:marTop w:val="0"/>
      <w:marBottom w:val="0"/>
      <w:divBdr>
        <w:top w:val="none" w:sz="0" w:space="0" w:color="auto"/>
        <w:left w:val="none" w:sz="0" w:space="0" w:color="auto"/>
        <w:bottom w:val="none" w:sz="0" w:space="0" w:color="auto"/>
        <w:right w:val="none" w:sz="0" w:space="0" w:color="auto"/>
      </w:divBdr>
    </w:div>
    <w:div w:id="1091974127">
      <w:bodyDiv w:val="1"/>
      <w:marLeft w:val="0"/>
      <w:marRight w:val="0"/>
      <w:marTop w:val="0"/>
      <w:marBottom w:val="0"/>
      <w:divBdr>
        <w:top w:val="none" w:sz="0" w:space="0" w:color="auto"/>
        <w:left w:val="none" w:sz="0" w:space="0" w:color="auto"/>
        <w:bottom w:val="none" w:sz="0" w:space="0" w:color="auto"/>
        <w:right w:val="none" w:sz="0" w:space="0" w:color="auto"/>
      </w:divBdr>
    </w:div>
    <w:div w:id="1175221039">
      <w:bodyDiv w:val="1"/>
      <w:marLeft w:val="0"/>
      <w:marRight w:val="0"/>
      <w:marTop w:val="0"/>
      <w:marBottom w:val="0"/>
      <w:divBdr>
        <w:top w:val="none" w:sz="0" w:space="0" w:color="auto"/>
        <w:left w:val="none" w:sz="0" w:space="0" w:color="auto"/>
        <w:bottom w:val="none" w:sz="0" w:space="0" w:color="auto"/>
        <w:right w:val="none" w:sz="0" w:space="0" w:color="auto"/>
      </w:divBdr>
    </w:div>
    <w:div w:id="1201897403">
      <w:bodyDiv w:val="1"/>
      <w:marLeft w:val="0"/>
      <w:marRight w:val="0"/>
      <w:marTop w:val="0"/>
      <w:marBottom w:val="0"/>
      <w:divBdr>
        <w:top w:val="none" w:sz="0" w:space="0" w:color="auto"/>
        <w:left w:val="none" w:sz="0" w:space="0" w:color="auto"/>
        <w:bottom w:val="none" w:sz="0" w:space="0" w:color="auto"/>
        <w:right w:val="none" w:sz="0" w:space="0" w:color="auto"/>
      </w:divBdr>
    </w:div>
    <w:div w:id="1306619074">
      <w:bodyDiv w:val="1"/>
      <w:marLeft w:val="0"/>
      <w:marRight w:val="0"/>
      <w:marTop w:val="0"/>
      <w:marBottom w:val="0"/>
      <w:divBdr>
        <w:top w:val="none" w:sz="0" w:space="0" w:color="auto"/>
        <w:left w:val="none" w:sz="0" w:space="0" w:color="auto"/>
        <w:bottom w:val="none" w:sz="0" w:space="0" w:color="auto"/>
        <w:right w:val="none" w:sz="0" w:space="0" w:color="auto"/>
      </w:divBdr>
    </w:div>
    <w:div w:id="1307708552">
      <w:bodyDiv w:val="1"/>
      <w:marLeft w:val="0"/>
      <w:marRight w:val="0"/>
      <w:marTop w:val="0"/>
      <w:marBottom w:val="0"/>
      <w:divBdr>
        <w:top w:val="none" w:sz="0" w:space="0" w:color="auto"/>
        <w:left w:val="none" w:sz="0" w:space="0" w:color="auto"/>
        <w:bottom w:val="none" w:sz="0" w:space="0" w:color="auto"/>
        <w:right w:val="none" w:sz="0" w:space="0" w:color="auto"/>
      </w:divBdr>
    </w:div>
    <w:div w:id="1314138027">
      <w:bodyDiv w:val="1"/>
      <w:marLeft w:val="0"/>
      <w:marRight w:val="0"/>
      <w:marTop w:val="0"/>
      <w:marBottom w:val="0"/>
      <w:divBdr>
        <w:top w:val="none" w:sz="0" w:space="0" w:color="auto"/>
        <w:left w:val="none" w:sz="0" w:space="0" w:color="auto"/>
        <w:bottom w:val="none" w:sz="0" w:space="0" w:color="auto"/>
        <w:right w:val="none" w:sz="0" w:space="0" w:color="auto"/>
      </w:divBdr>
    </w:div>
    <w:div w:id="1314942196">
      <w:bodyDiv w:val="1"/>
      <w:marLeft w:val="0"/>
      <w:marRight w:val="0"/>
      <w:marTop w:val="0"/>
      <w:marBottom w:val="0"/>
      <w:divBdr>
        <w:top w:val="none" w:sz="0" w:space="0" w:color="auto"/>
        <w:left w:val="none" w:sz="0" w:space="0" w:color="auto"/>
        <w:bottom w:val="none" w:sz="0" w:space="0" w:color="auto"/>
        <w:right w:val="none" w:sz="0" w:space="0" w:color="auto"/>
      </w:divBdr>
      <w:divsChild>
        <w:div w:id="5057487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7756898">
      <w:bodyDiv w:val="1"/>
      <w:marLeft w:val="0"/>
      <w:marRight w:val="0"/>
      <w:marTop w:val="0"/>
      <w:marBottom w:val="0"/>
      <w:divBdr>
        <w:top w:val="none" w:sz="0" w:space="0" w:color="auto"/>
        <w:left w:val="none" w:sz="0" w:space="0" w:color="auto"/>
        <w:bottom w:val="none" w:sz="0" w:space="0" w:color="auto"/>
        <w:right w:val="none" w:sz="0" w:space="0" w:color="auto"/>
      </w:divBdr>
    </w:div>
    <w:div w:id="1348410923">
      <w:bodyDiv w:val="1"/>
      <w:marLeft w:val="0"/>
      <w:marRight w:val="0"/>
      <w:marTop w:val="0"/>
      <w:marBottom w:val="0"/>
      <w:divBdr>
        <w:top w:val="none" w:sz="0" w:space="0" w:color="auto"/>
        <w:left w:val="none" w:sz="0" w:space="0" w:color="auto"/>
        <w:bottom w:val="none" w:sz="0" w:space="0" w:color="auto"/>
        <w:right w:val="none" w:sz="0" w:space="0" w:color="auto"/>
      </w:divBdr>
    </w:div>
    <w:div w:id="1395153463">
      <w:bodyDiv w:val="1"/>
      <w:marLeft w:val="0"/>
      <w:marRight w:val="0"/>
      <w:marTop w:val="0"/>
      <w:marBottom w:val="0"/>
      <w:divBdr>
        <w:top w:val="none" w:sz="0" w:space="0" w:color="auto"/>
        <w:left w:val="none" w:sz="0" w:space="0" w:color="auto"/>
        <w:bottom w:val="none" w:sz="0" w:space="0" w:color="auto"/>
        <w:right w:val="none" w:sz="0" w:space="0" w:color="auto"/>
      </w:divBdr>
      <w:divsChild>
        <w:div w:id="12950616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14354555">
      <w:bodyDiv w:val="1"/>
      <w:marLeft w:val="0"/>
      <w:marRight w:val="0"/>
      <w:marTop w:val="0"/>
      <w:marBottom w:val="0"/>
      <w:divBdr>
        <w:top w:val="none" w:sz="0" w:space="0" w:color="auto"/>
        <w:left w:val="none" w:sz="0" w:space="0" w:color="auto"/>
        <w:bottom w:val="none" w:sz="0" w:space="0" w:color="auto"/>
        <w:right w:val="none" w:sz="0" w:space="0" w:color="auto"/>
      </w:divBdr>
    </w:div>
    <w:div w:id="1428648180">
      <w:bodyDiv w:val="1"/>
      <w:marLeft w:val="0"/>
      <w:marRight w:val="0"/>
      <w:marTop w:val="0"/>
      <w:marBottom w:val="0"/>
      <w:divBdr>
        <w:top w:val="none" w:sz="0" w:space="0" w:color="auto"/>
        <w:left w:val="none" w:sz="0" w:space="0" w:color="auto"/>
        <w:bottom w:val="none" w:sz="0" w:space="0" w:color="auto"/>
        <w:right w:val="none" w:sz="0" w:space="0" w:color="auto"/>
      </w:divBdr>
    </w:div>
    <w:div w:id="1462071017">
      <w:bodyDiv w:val="1"/>
      <w:marLeft w:val="0"/>
      <w:marRight w:val="0"/>
      <w:marTop w:val="0"/>
      <w:marBottom w:val="0"/>
      <w:divBdr>
        <w:top w:val="none" w:sz="0" w:space="0" w:color="auto"/>
        <w:left w:val="none" w:sz="0" w:space="0" w:color="auto"/>
        <w:bottom w:val="none" w:sz="0" w:space="0" w:color="auto"/>
        <w:right w:val="none" w:sz="0" w:space="0" w:color="auto"/>
      </w:divBdr>
    </w:div>
    <w:div w:id="1482387361">
      <w:bodyDiv w:val="1"/>
      <w:marLeft w:val="0"/>
      <w:marRight w:val="0"/>
      <w:marTop w:val="0"/>
      <w:marBottom w:val="0"/>
      <w:divBdr>
        <w:top w:val="none" w:sz="0" w:space="0" w:color="auto"/>
        <w:left w:val="none" w:sz="0" w:space="0" w:color="auto"/>
        <w:bottom w:val="none" w:sz="0" w:space="0" w:color="auto"/>
        <w:right w:val="none" w:sz="0" w:space="0" w:color="auto"/>
      </w:divBdr>
      <w:divsChild>
        <w:div w:id="2442622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5707833">
      <w:bodyDiv w:val="1"/>
      <w:marLeft w:val="0"/>
      <w:marRight w:val="0"/>
      <w:marTop w:val="0"/>
      <w:marBottom w:val="0"/>
      <w:divBdr>
        <w:top w:val="none" w:sz="0" w:space="0" w:color="auto"/>
        <w:left w:val="none" w:sz="0" w:space="0" w:color="auto"/>
        <w:bottom w:val="none" w:sz="0" w:space="0" w:color="auto"/>
        <w:right w:val="none" w:sz="0" w:space="0" w:color="auto"/>
      </w:divBdr>
    </w:div>
    <w:div w:id="1643805671">
      <w:bodyDiv w:val="1"/>
      <w:marLeft w:val="0"/>
      <w:marRight w:val="0"/>
      <w:marTop w:val="0"/>
      <w:marBottom w:val="0"/>
      <w:divBdr>
        <w:top w:val="none" w:sz="0" w:space="0" w:color="auto"/>
        <w:left w:val="none" w:sz="0" w:space="0" w:color="auto"/>
        <w:bottom w:val="none" w:sz="0" w:space="0" w:color="auto"/>
        <w:right w:val="none" w:sz="0" w:space="0" w:color="auto"/>
      </w:divBdr>
    </w:div>
    <w:div w:id="1679381970">
      <w:bodyDiv w:val="1"/>
      <w:marLeft w:val="0"/>
      <w:marRight w:val="0"/>
      <w:marTop w:val="0"/>
      <w:marBottom w:val="0"/>
      <w:divBdr>
        <w:top w:val="none" w:sz="0" w:space="0" w:color="auto"/>
        <w:left w:val="none" w:sz="0" w:space="0" w:color="auto"/>
        <w:bottom w:val="none" w:sz="0" w:space="0" w:color="auto"/>
        <w:right w:val="none" w:sz="0" w:space="0" w:color="auto"/>
      </w:divBdr>
      <w:divsChild>
        <w:div w:id="20977080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87487087">
      <w:bodyDiv w:val="1"/>
      <w:marLeft w:val="0"/>
      <w:marRight w:val="0"/>
      <w:marTop w:val="0"/>
      <w:marBottom w:val="0"/>
      <w:divBdr>
        <w:top w:val="none" w:sz="0" w:space="0" w:color="auto"/>
        <w:left w:val="none" w:sz="0" w:space="0" w:color="auto"/>
        <w:bottom w:val="none" w:sz="0" w:space="0" w:color="auto"/>
        <w:right w:val="none" w:sz="0" w:space="0" w:color="auto"/>
      </w:divBdr>
      <w:divsChild>
        <w:div w:id="7944508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95424286">
      <w:bodyDiv w:val="1"/>
      <w:marLeft w:val="0"/>
      <w:marRight w:val="0"/>
      <w:marTop w:val="0"/>
      <w:marBottom w:val="0"/>
      <w:divBdr>
        <w:top w:val="none" w:sz="0" w:space="0" w:color="auto"/>
        <w:left w:val="none" w:sz="0" w:space="0" w:color="auto"/>
        <w:bottom w:val="none" w:sz="0" w:space="0" w:color="auto"/>
        <w:right w:val="none" w:sz="0" w:space="0" w:color="auto"/>
      </w:divBdr>
      <w:divsChild>
        <w:div w:id="11256123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3724999">
      <w:bodyDiv w:val="1"/>
      <w:marLeft w:val="0"/>
      <w:marRight w:val="0"/>
      <w:marTop w:val="0"/>
      <w:marBottom w:val="0"/>
      <w:divBdr>
        <w:top w:val="none" w:sz="0" w:space="0" w:color="auto"/>
        <w:left w:val="none" w:sz="0" w:space="0" w:color="auto"/>
        <w:bottom w:val="none" w:sz="0" w:space="0" w:color="auto"/>
        <w:right w:val="none" w:sz="0" w:space="0" w:color="auto"/>
      </w:divBdr>
    </w:div>
    <w:div w:id="1715690875">
      <w:bodyDiv w:val="1"/>
      <w:marLeft w:val="0"/>
      <w:marRight w:val="0"/>
      <w:marTop w:val="0"/>
      <w:marBottom w:val="0"/>
      <w:divBdr>
        <w:top w:val="none" w:sz="0" w:space="0" w:color="auto"/>
        <w:left w:val="none" w:sz="0" w:space="0" w:color="auto"/>
        <w:bottom w:val="none" w:sz="0" w:space="0" w:color="auto"/>
        <w:right w:val="none" w:sz="0" w:space="0" w:color="auto"/>
      </w:divBdr>
      <w:divsChild>
        <w:div w:id="13011579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9274711">
      <w:bodyDiv w:val="1"/>
      <w:marLeft w:val="0"/>
      <w:marRight w:val="0"/>
      <w:marTop w:val="0"/>
      <w:marBottom w:val="0"/>
      <w:divBdr>
        <w:top w:val="none" w:sz="0" w:space="0" w:color="auto"/>
        <w:left w:val="none" w:sz="0" w:space="0" w:color="auto"/>
        <w:bottom w:val="none" w:sz="0" w:space="0" w:color="auto"/>
        <w:right w:val="none" w:sz="0" w:space="0" w:color="auto"/>
      </w:divBdr>
    </w:div>
    <w:div w:id="1794522690">
      <w:bodyDiv w:val="1"/>
      <w:marLeft w:val="0"/>
      <w:marRight w:val="0"/>
      <w:marTop w:val="0"/>
      <w:marBottom w:val="0"/>
      <w:divBdr>
        <w:top w:val="none" w:sz="0" w:space="0" w:color="auto"/>
        <w:left w:val="none" w:sz="0" w:space="0" w:color="auto"/>
        <w:bottom w:val="none" w:sz="0" w:space="0" w:color="auto"/>
        <w:right w:val="none" w:sz="0" w:space="0" w:color="auto"/>
      </w:divBdr>
    </w:div>
    <w:div w:id="1813058953">
      <w:bodyDiv w:val="1"/>
      <w:marLeft w:val="0"/>
      <w:marRight w:val="0"/>
      <w:marTop w:val="0"/>
      <w:marBottom w:val="0"/>
      <w:divBdr>
        <w:top w:val="none" w:sz="0" w:space="0" w:color="auto"/>
        <w:left w:val="none" w:sz="0" w:space="0" w:color="auto"/>
        <w:bottom w:val="none" w:sz="0" w:space="0" w:color="auto"/>
        <w:right w:val="none" w:sz="0" w:space="0" w:color="auto"/>
      </w:divBdr>
    </w:div>
    <w:div w:id="1855879101">
      <w:bodyDiv w:val="1"/>
      <w:marLeft w:val="0"/>
      <w:marRight w:val="0"/>
      <w:marTop w:val="0"/>
      <w:marBottom w:val="0"/>
      <w:divBdr>
        <w:top w:val="none" w:sz="0" w:space="0" w:color="auto"/>
        <w:left w:val="none" w:sz="0" w:space="0" w:color="auto"/>
        <w:bottom w:val="none" w:sz="0" w:space="0" w:color="auto"/>
        <w:right w:val="none" w:sz="0" w:space="0" w:color="auto"/>
      </w:divBdr>
    </w:div>
    <w:div w:id="1902204155">
      <w:bodyDiv w:val="1"/>
      <w:marLeft w:val="0"/>
      <w:marRight w:val="0"/>
      <w:marTop w:val="0"/>
      <w:marBottom w:val="0"/>
      <w:divBdr>
        <w:top w:val="none" w:sz="0" w:space="0" w:color="auto"/>
        <w:left w:val="none" w:sz="0" w:space="0" w:color="auto"/>
        <w:bottom w:val="none" w:sz="0" w:space="0" w:color="auto"/>
        <w:right w:val="none" w:sz="0" w:space="0" w:color="auto"/>
      </w:divBdr>
    </w:div>
    <w:div w:id="1906181695">
      <w:bodyDiv w:val="1"/>
      <w:marLeft w:val="0"/>
      <w:marRight w:val="0"/>
      <w:marTop w:val="0"/>
      <w:marBottom w:val="0"/>
      <w:divBdr>
        <w:top w:val="none" w:sz="0" w:space="0" w:color="auto"/>
        <w:left w:val="none" w:sz="0" w:space="0" w:color="auto"/>
        <w:bottom w:val="none" w:sz="0" w:space="0" w:color="auto"/>
        <w:right w:val="none" w:sz="0" w:space="0" w:color="auto"/>
      </w:divBdr>
    </w:div>
    <w:div w:id="1937133894">
      <w:bodyDiv w:val="1"/>
      <w:marLeft w:val="0"/>
      <w:marRight w:val="0"/>
      <w:marTop w:val="0"/>
      <w:marBottom w:val="0"/>
      <w:divBdr>
        <w:top w:val="none" w:sz="0" w:space="0" w:color="auto"/>
        <w:left w:val="none" w:sz="0" w:space="0" w:color="auto"/>
        <w:bottom w:val="none" w:sz="0" w:space="0" w:color="auto"/>
        <w:right w:val="none" w:sz="0" w:space="0" w:color="auto"/>
      </w:divBdr>
      <w:divsChild>
        <w:div w:id="18680581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2442641">
      <w:bodyDiv w:val="1"/>
      <w:marLeft w:val="0"/>
      <w:marRight w:val="0"/>
      <w:marTop w:val="0"/>
      <w:marBottom w:val="0"/>
      <w:divBdr>
        <w:top w:val="none" w:sz="0" w:space="0" w:color="auto"/>
        <w:left w:val="none" w:sz="0" w:space="0" w:color="auto"/>
        <w:bottom w:val="none" w:sz="0" w:space="0" w:color="auto"/>
        <w:right w:val="none" w:sz="0" w:space="0" w:color="auto"/>
      </w:divBdr>
    </w:div>
    <w:div w:id="1973552866">
      <w:bodyDiv w:val="1"/>
      <w:marLeft w:val="0"/>
      <w:marRight w:val="0"/>
      <w:marTop w:val="0"/>
      <w:marBottom w:val="0"/>
      <w:divBdr>
        <w:top w:val="none" w:sz="0" w:space="0" w:color="auto"/>
        <w:left w:val="none" w:sz="0" w:space="0" w:color="auto"/>
        <w:bottom w:val="none" w:sz="0" w:space="0" w:color="auto"/>
        <w:right w:val="none" w:sz="0" w:space="0" w:color="auto"/>
      </w:divBdr>
    </w:div>
    <w:div w:id="1975134933">
      <w:bodyDiv w:val="1"/>
      <w:marLeft w:val="0"/>
      <w:marRight w:val="0"/>
      <w:marTop w:val="0"/>
      <w:marBottom w:val="0"/>
      <w:divBdr>
        <w:top w:val="none" w:sz="0" w:space="0" w:color="auto"/>
        <w:left w:val="none" w:sz="0" w:space="0" w:color="auto"/>
        <w:bottom w:val="none" w:sz="0" w:space="0" w:color="auto"/>
        <w:right w:val="none" w:sz="0" w:space="0" w:color="auto"/>
      </w:divBdr>
    </w:div>
    <w:div w:id="1989476479">
      <w:bodyDiv w:val="1"/>
      <w:marLeft w:val="0"/>
      <w:marRight w:val="0"/>
      <w:marTop w:val="0"/>
      <w:marBottom w:val="0"/>
      <w:divBdr>
        <w:top w:val="none" w:sz="0" w:space="0" w:color="auto"/>
        <w:left w:val="none" w:sz="0" w:space="0" w:color="auto"/>
        <w:bottom w:val="none" w:sz="0" w:space="0" w:color="auto"/>
        <w:right w:val="none" w:sz="0" w:space="0" w:color="auto"/>
      </w:divBdr>
    </w:div>
    <w:div w:id="2016378792">
      <w:bodyDiv w:val="1"/>
      <w:marLeft w:val="0"/>
      <w:marRight w:val="0"/>
      <w:marTop w:val="0"/>
      <w:marBottom w:val="0"/>
      <w:divBdr>
        <w:top w:val="none" w:sz="0" w:space="0" w:color="auto"/>
        <w:left w:val="none" w:sz="0" w:space="0" w:color="auto"/>
        <w:bottom w:val="none" w:sz="0" w:space="0" w:color="auto"/>
        <w:right w:val="none" w:sz="0" w:space="0" w:color="auto"/>
      </w:divBdr>
    </w:div>
    <w:div w:id="2021813033">
      <w:bodyDiv w:val="1"/>
      <w:marLeft w:val="0"/>
      <w:marRight w:val="0"/>
      <w:marTop w:val="0"/>
      <w:marBottom w:val="0"/>
      <w:divBdr>
        <w:top w:val="none" w:sz="0" w:space="0" w:color="auto"/>
        <w:left w:val="none" w:sz="0" w:space="0" w:color="auto"/>
        <w:bottom w:val="none" w:sz="0" w:space="0" w:color="auto"/>
        <w:right w:val="none" w:sz="0" w:space="0" w:color="auto"/>
      </w:divBdr>
    </w:div>
    <w:div w:id="2074891228">
      <w:bodyDiv w:val="1"/>
      <w:marLeft w:val="0"/>
      <w:marRight w:val="0"/>
      <w:marTop w:val="0"/>
      <w:marBottom w:val="0"/>
      <w:divBdr>
        <w:top w:val="none" w:sz="0" w:space="0" w:color="auto"/>
        <w:left w:val="none" w:sz="0" w:space="0" w:color="auto"/>
        <w:bottom w:val="none" w:sz="0" w:space="0" w:color="auto"/>
        <w:right w:val="none" w:sz="0" w:space="0" w:color="auto"/>
      </w:divBdr>
      <w:divsChild>
        <w:div w:id="9025630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5373944">
      <w:bodyDiv w:val="1"/>
      <w:marLeft w:val="0"/>
      <w:marRight w:val="0"/>
      <w:marTop w:val="0"/>
      <w:marBottom w:val="0"/>
      <w:divBdr>
        <w:top w:val="none" w:sz="0" w:space="0" w:color="auto"/>
        <w:left w:val="none" w:sz="0" w:space="0" w:color="auto"/>
        <w:bottom w:val="none" w:sz="0" w:space="0" w:color="auto"/>
        <w:right w:val="none" w:sz="0" w:space="0" w:color="auto"/>
      </w:divBdr>
    </w:div>
    <w:div w:id="2115900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gnews.com/hilton-enhances-esg-targets-to-drive-climate-action-and-social-impact/" TargetMode="External"/><Relationship Id="rId18" Type="http://schemas.openxmlformats.org/officeDocument/2006/relationships/hyperlink" Target="https://doi.org/10.1080/10438599.2020.1843989" TargetMode="External"/><Relationship Id="rId26" Type="http://schemas.openxmlformats.org/officeDocument/2006/relationships/hyperlink" Target="https://doi.org/10.1016/j.heliyon.2024.e26472" TargetMode="External"/><Relationship Id="rId39" Type="http://schemas.openxmlformats.org/officeDocument/2006/relationships/fontTable" Target="fontTable.xml"/><Relationship Id="rId21" Type="http://schemas.openxmlformats.org/officeDocument/2006/relationships/hyperlink" Target="https://esg.hilton.com/our-progress/" TargetMode="External"/><Relationship Id="rId34" Type="http://schemas.openxmlformats.org/officeDocument/2006/relationships/hyperlink" Target="https://www.legislation.gov.uk/ukdsi/2011/9780111506462" TargetMode="External"/><Relationship Id="rId7" Type="http://schemas.openxmlformats.org/officeDocument/2006/relationships/endnotes" Target="endnotes.xml"/><Relationship Id="rId12" Type="http://schemas.openxmlformats.org/officeDocument/2006/relationships/hyperlink" Target="https://doi.org/10.1002/sd.2059" TargetMode="External"/><Relationship Id="rId17" Type="http://schemas.openxmlformats.org/officeDocument/2006/relationships/hyperlink" Target="https://doi.org/10.1287/mnsc.2020.3724" TargetMode="External"/><Relationship Id="rId25" Type="http://schemas.openxmlformats.org/officeDocument/2006/relationships/hyperlink" Target="https://doi.org/10.1016/j.ijhm.2020.102565" TargetMode="External"/><Relationship Id="rId33" Type="http://schemas.openxmlformats.org/officeDocument/2006/relationships/hyperlink" Target="https://doi.org/10.1080/10913211.2011.10653898" TargetMode="External"/><Relationship Id="rId38" Type="http://schemas.openxmlformats.org/officeDocument/2006/relationships/hyperlink" Target="https://doi.org/10.3390/en13092303" TargetMode="External"/><Relationship Id="rId2" Type="http://schemas.openxmlformats.org/officeDocument/2006/relationships/numbering" Target="numbering.xml"/><Relationship Id="rId16" Type="http://schemas.openxmlformats.org/officeDocument/2006/relationships/hyperlink" Target="https://doi.org/10.3390/SU13041657" TargetMode="External"/><Relationship Id="rId20" Type="http://schemas.openxmlformats.org/officeDocument/2006/relationships/hyperlink" Target="https://esg.hilton.com/wp-content/uploads/sites/4/2023/05/HILTON-2022-CDP-Water.pdf" TargetMode="External"/><Relationship Id="rId29" Type="http://schemas.openxmlformats.org/officeDocument/2006/relationships/hyperlink" Target="https://doi.org/10.1002/bse.36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clepro.2021.127516" TargetMode="External"/><Relationship Id="rId24" Type="http://schemas.openxmlformats.org/officeDocument/2006/relationships/hyperlink" Target="https://doi.org/10.1016/j.jclepro.2019.118827" TargetMode="External"/><Relationship Id="rId32" Type="http://schemas.openxmlformats.org/officeDocument/2006/relationships/hyperlink" Target="https://www.proquest.com/docview/2625320056?sourcetype=Scholarly%20Journals" TargetMode="External"/><Relationship Id="rId37" Type="http://schemas.openxmlformats.org/officeDocument/2006/relationships/hyperlink" Target="https://doi.org/10.1016/j.jclepro.2020.123330"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ijfs10010015" TargetMode="External"/><Relationship Id="rId23" Type="http://schemas.openxmlformats.org/officeDocument/2006/relationships/hyperlink" Target="https://iclg.com/practice-areas/environment-and-climate-change-laws-and-regulations/united-kingdom" TargetMode="External"/><Relationship Id="rId28" Type="http://schemas.openxmlformats.org/officeDocument/2006/relationships/hyperlink" Target="https://doi.org/10.3390/EN14061706" TargetMode="External"/><Relationship Id="rId36" Type="http://schemas.openxmlformats.org/officeDocument/2006/relationships/hyperlink" Target="https://doi.org/10.1016/j.jclepro.2020.123319" TargetMode="External"/><Relationship Id="rId10" Type="http://schemas.openxmlformats.org/officeDocument/2006/relationships/hyperlink" Target="https://doi.org/10.47540/ijsei.v4i2.1009" TargetMode="External"/><Relationship Id="rId19" Type="http://schemas.openxmlformats.org/officeDocument/2006/relationships/hyperlink" Target="https://esg.hilton.com/wp-content/uploads/sites/4/2024/05/2023-Travel-with-Purpose-Report-ADA-final.pdf" TargetMode="External"/><Relationship Id="rId31" Type="http://schemas.openxmlformats.org/officeDocument/2006/relationships/hyperlink" Target="https://doi.org/10.1016/j.clet.2022.100407" TargetMode="External"/><Relationship Id="rId4" Type="http://schemas.openxmlformats.org/officeDocument/2006/relationships/settings" Target="settings.xml"/><Relationship Id="rId9" Type="http://schemas.openxmlformats.org/officeDocument/2006/relationships/hyperlink" Target="https://doi.org/10.1080/1528008X.2021.1913691" TargetMode="External"/><Relationship Id="rId14" Type="http://schemas.openxmlformats.org/officeDocument/2006/relationships/hyperlink" Target="https://doi.org/10.2139/SSRN.3804530" TargetMode="External"/><Relationship Id="rId22" Type="http://schemas.openxmlformats.org/officeDocument/2006/relationships/hyperlink" Target="https://stories.hilton.com/emea/releases/hilton-and-the-hilton-global-foundation-announce-notable-year-of-progress-towards-2030-travel-with-purpose-goals" TargetMode="External"/><Relationship Id="rId27" Type="http://schemas.openxmlformats.org/officeDocument/2006/relationships/hyperlink" Target="https://www.proquest.com/docview/2625320978?sourcetype=Scholarly%20Journals" TargetMode="External"/><Relationship Id="rId30" Type="http://schemas.openxmlformats.org/officeDocument/2006/relationships/hyperlink" Target="https://doi.org/10.1016/j.ijpe.2020.107867" TargetMode="External"/><Relationship Id="rId35" Type="http://schemas.openxmlformats.org/officeDocument/2006/relationships/hyperlink" Target="https://www.legislation.gov.uk/ukpga/2008/27/contents" TargetMode="External"/><Relationship Id="rId8" Type="http://schemas.openxmlformats.org/officeDocument/2006/relationships/hyperlink" Target="https://doi.org/10.3390/su15107952" TargetMode="External"/><Relationship Id="rId3" Type="http://schemas.openxmlformats.org/officeDocument/2006/relationships/styles" Target="styl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B892EF-55A0-4E8D-AD7E-2C10D711D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3029</Words>
  <Characters>21377</Characters>
  <Application>Microsoft Office Word</Application>
  <DocSecurity>0</DocSecurity>
  <Lines>333</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2024-10-20T16:04:00Z</dcterms:created>
  <dcterms:modified xsi:type="dcterms:W3CDTF">2024-10-20T16:15:00Z</dcterms:modified>
</cp:coreProperties>
</file>