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5087D" w14:textId="058AB06F" w:rsidR="004D36DF" w:rsidRPr="00EE547D" w:rsidRDefault="007D484B">
      <w:pPr>
        <w:rPr>
          <w:u w:val="single"/>
        </w:rPr>
      </w:pPr>
      <w:r w:rsidRPr="00EE547D">
        <w:rPr>
          <w:u w:val="single"/>
        </w:rPr>
        <w:t>The Material Culture of Death</w:t>
      </w:r>
      <w:r w:rsidR="00EE547D">
        <w:rPr>
          <w:u w:val="single"/>
        </w:rPr>
        <w:t xml:space="preserve"> in Ancient Egypt</w:t>
      </w:r>
      <w:r w:rsidRPr="00EE547D">
        <w:rPr>
          <w:u w:val="single"/>
        </w:rPr>
        <w:t>:</w:t>
      </w:r>
    </w:p>
    <w:p w14:paraId="1D3761DE" w14:textId="3385B8AC" w:rsidR="00B84148" w:rsidRDefault="00B84148">
      <w:r w:rsidRPr="00B84148">
        <w:t>The tomb of Senneferi is one of the 'Tombs of the Nobles' on the West Bank at Luxor in Egypt.</w:t>
      </w:r>
      <w:r>
        <w:rPr>
          <w:rStyle w:val="FootnoteReference"/>
        </w:rPr>
        <w:footnoteReference w:id="1"/>
      </w:r>
      <w:r w:rsidR="003026C4">
        <w:t xml:space="preserve"> This tomb is key as </w:t>
      </w:r>
      <w:r w:rsidR="007B4CAF">
        <w:t xml:space="preserve">it possesses a trove of evidence about </w:t>
      </w:r>
      <w:r w:rsidR="0036409D">
        <w:t xml:space="preserve">wealthy Egyptian burial culture and customs, ranging from what would be inscribed on tombs to what would be placed in a tomb. </w:t>
      </w:r>
      <w:r w:rsidR="00FA48A1">
        <w:t>Analysin</w:t>
      </w:r>
      <w:r w:rsidR="00CC0F1E">
        <w:t>g and studying the objects found in the tomb</w:t>
      </w:r>
      <w:r w:rsidR="0036409D">
        <w:t xml:space="preserve"> also </w:t>
      </w:r>
      <w:r w:rsidR="00C2058F">
        <w:t>allows a further understanding of the material culture of death in Ancient Egypt</w:t>
      </w:r>
      <w:r w:rsidR="000E69DD">
        <w:t>.</w:t>
      </w:r>
      <w:r w:rsidR="00210956">
        <w:t xml:space="preserve"> For Ancient Egyptians, death was not considered as an end but rather as a transition</w:t>
      </w:r>
      <w:r w:rsidR="00555C12">
        <w:t xml:space="preserve">, this is why people were placed in their tomb with objects from their life, as it was believed that they would still require these objects such as </w:t>
      </w:r>
      <w:r w:rsidR="00B5658B">
        <w:t>food containers or writing materials.</w:t>
      </w:r>
      <w:r w:rsidR="00B5658B">
        <w:rPr>
          <w:rStyle w:val="FootnoteReference"/>
        </w:rPr>
        <w:footnoteReference w:id="2"/>
      </w:r>
      <w:r w:rsidR="00CD5EEB">
        <w:t xml:space="preserve"> For example, in many cases they would have </w:t>
      </w:r>
      <w:r w:rsidR="00CD5EEB" w:rsidRPr="00CD5EEB">
        <w:t>placed foodstuff in gra</w:t>
      </w:r>
      <w:r w:rsidR="00CD5EEB">
        <w:t>v</w:t>
      </w:r>
      <w:r w:rsidR="00CD5EEB" w:rsidRPr="00CD5EEB">
        <w:t>e or burial chamber to nourish the dead</w:t>
      </w:r>
      <w:r w:rsidR="00CD5EEB">
        <w:t>.</w:t>
      </w:r>
      <w:r w:rsidR="00CD5EEB">
        <w:rPr>
          <w:rStyle w:val="FootnoteReference"/>
        </w:rPr>
        <w:footnoteReference w:id="3"/>
      </w:r>
      <w:r w:rsidR="00CD5EEB" w:rsidRPr="00CD5EEB">
        <w:t xml:space="preserve"> </w:t>
      </w:r>
      <w:r w:rsidR="007278AF">
        <w:t xml:space="preserve">There would also be objects </w:t>
      </w:r>
      <w:r w:rsidR="00985486">
        <w:t>placed</w:t>
      </w:r>
      <w:r w:rsidR="007278AF">
        <w:t xml:space="preserve"> in the tombs such as amulets or statues that would be related to different Gods</w:t>
      </w:r>
      <w:r w:rsidR="00985486">
        <w:t xml:space="preserve">, in order for the deceased to be connected to their chosen deity. These material customs and traditions were all seen as important </w:t>
      </w:r>
      <w:r w:rsidR="004C1426">
        <w:t>for the transition to the afterlife.</w:t>
      </w:r>
    </w:p>
    <w:p w14:paraId="2724E916" w14:textId="22A1D892" w:rsidR="009A0A95" w:rsidRDefault="00DE57C7">
      <w:r>
        <w:t xml:space="preserve">In order to study the material culture of death, it is key to first look at </w:t>
      </w:r>
      <w:r w:rsidR="009A0A95">
        <w:t>aspects of the archaeology of death.</w:t>
      </w:r>
      <w:r w:rsidR="00B42B72">
        <w:t xml:space="preserve"> </w:t>
      </w:r>
      <w:r w:rsidR="004C1426">
        <w:t xml:space="preserve">This can be studied using </w:t>
      </w:r>
      <w:r w:rsidR="00892D94">
        <w:t xml:space="preserve">tombs that still exist as they were and the remains of tombs that have been damaged or destroyed. </w:t>
      </w:r>
      <w:r w:rsidR="00B42B72">
        <w:t xml:space="preserve">This involves </w:t>
      </w:r>
      <w:r w:rsidR="00892D94">
        <w:t xml:space="preserve">looking at </w:t>
      </w:r>
      <w:r w:rsidR="00B42B72">
        <w:t>bodies, burials and beliefs</w:t>
      </w:r>
      <w:r w:rsidR="00391F40">
        <w:t xml:space="preserve"> as well as tomb goods</w:t>
      </w:r>
      <w:r w:rsidR="0045021A">
        <w:t>, all of which can be studied using TT99</w:t>
      </w:r>
      <w:r w:rsidR="00A02620">
        <w:t>.</w:t>
      </w:r>
      <w:r w:rsidR="008A19ED">
        <w:t xml:space="preserve"> </w:t>
      </w:r>
      <w:r w:rsidR="00846097">
        <w:t>However, tombs and burial goods do differ based on the wealth and status of a person as well as the time period they were buried in as there were many changes throughout the different time periods</w:t>
      </w:r>
      <w:r w:rsidR="00A31D56">
        <w:t xml:space="preserve">. Therefore, in order to develop </w:t>
      </w:r>
      <w:r w:rsidR="009430CA">
        <w:t>an understanding of the material culture of death in Ancient Egypt, it is key to relate tombs to the time period in which they were created and the wealth of the tomb owner, it can also be key to look at other tombs from this time period and others in order to allow comparison.</w:t>
      </w:r>
      <w:r w:rsidR="008A19ED">
        <w:t xml:space="preserve"> The</w:t>
      </w:r>
      <w:r w:rsidR="007F534E">
        <w:t xml:space="preserve"> archaeology of tomb TT99 shows that this tomb has been fairly well preserved and due to this being well documented, there is a wealth of information available. </w:t>
      </w:r>
      <w:r w:rsidR="00666619">
        <w:t>The findings related to this tomb suggest that the tomb owner, Sennef</w:t>
      </w:r>
      <w:r w:rsidR="004D5F92">
        <w:t>e</w:t>
      </w:r>
      <w:r w:rsidR="00666619">
        <w:t>ri</w:t>
      </w:r>
      <w:r w:rsidR="004D5F92">
        <w:t>, was wealthy.</w:t>
      </w:r>
    </w:p>
    <w:p w14:paraId="55B0C3B9" w14:textId="30CB35B5" w:rsidR="00A47C16" w:rsidRDefault="004D5F92">
      <w:r>
        <w:t>T</w:t>
      </w:r>
      <w:r w:rsidR="000C3377">
        <w:t xml:space="preserve">ombs can </w:t>
      </w:r>
      <w:r w:rsidR="005C2CFA">
        <w:t>show</w:t>
      </w:r>
      <w:r w:rsidR="000C3377">
        <w:t xml:space="preserve"> </w:t>
      </w:r>
      <w:r w:rsidR="005C2CFA">
        <w:t>a</w:t>
      </w:r>
      <w:r w:rsidR="000C3377">
        <w:t xml:space="preserve"> lot about individual Ancient Egyptian lives but also </w:t>
      </w:r>
      <w:r w:rsidR="00E06C11">
        <w:t>Ancient Egyptian life as a whole in terms of culture and rituals</w:t>
      </w:r>
      <w:r w:rsidR="00243C68">
        <w:t xml:space="preserve"> and ideas about life and death</w:t>
      </w:r>
      <w:r w:rsidR="000B71F9">
        <w:t xml:space="preserve">. For example, through studying tombs, it is clear that the concept of death </w:t>
      </w:r>
      <w:r w:rsidR="00243C68">
        <w:t xml:space="preserve">was extremely important and had many material aspects. </w:t>
      </w:r>
      <w:r w:rsidR="00A47C16" w:rsidRPr="00A47C16">
        <w:t>The focus on the material aspects of death reflected a deep love for life, which Egyptians hoped to continue eternally, viewing the tomb as a necessary functional vessel</w:t>
      </w:r>
      <w:r w:rsidR="00C93296">
        <w:t>.</w:t>
      </w:r>
      <w:r w:rsidR="000D3183">
        <w:t xml:space="preserve"> </w:t>
      </w:r>
      <w:r w:rsidR="00C309D0">
        <w:t xml:space="preserve">This idea was </w:t>
      </w:r>
      <w:r w:rsidR="0065612E">
        <w:t xml:space="preserve">created and </w:t>
      </w:r>
      <w:r w:rsidR="00A47CF7">
        <w:t>adapted previous</w:t>
      </w:r>
      <w:r w:rsidR="0065612E">
        <w:t xml:space="preserve"> to this time </w:t>
      </w:r>
      <w:r w:rsidR="00107CE5">
        <w:t>period,</w:t>
      </w:r>
      <w:r w:rsidR="00B96AD1">
        <w:t xml:space="preserve"> but it was during </w:t>
      </w:r>
      <w:r w:rsidR="00910D4D" w:rsidRPr="00910D4D">
        <w:t xml:space="preserve">the second dynasty </w:t>
      </w:r>
      <w:r w:rsidR="00B96AD1">
        <w:t xml:space="preserve">that </w:t>
      </w:r>
      <w:r w:rsidR="00910D4D" w:rsidRPr="00910D4D">
        <w:t>the idea of the tomb as a house for the afterlife was perfected</w:t>
      </w:r>
      <w:r w:rsidR="00B96AD1">
        <w:t>.</w:t>
      </w:r>
      <w:r w:rsidR="00B96AD1">
        <w:rPr>
          <w:rStyle w:val="FootnoteReference"/>
        </w:rPr>
        <w:footnoteReference w:id="4"/>
      </w:r>
      <w:r w:rsidR="00144F40">
        <w:t xml:space="preserve"> This tomb (TT99) </w:t>
      </w:r>
      <w:r w:rsidR="00797885">
        <w:t xml:space="preserve">contains </w:t>
      </w:r>
      <w:r w:rsidR="004A7432">
        <w:t>much</w:t>
      </w:r>
      <w:r w:rsidR="00797885">
        <w:t xml:space="preserve"> evidence that suggests the Egyptian love of life as it has depictions of life all throughout, as do many Egyptian tombs</w:t>
      </w:r>
      <w:r w:rsidR="009F1CF2">
        <w:t>.</w:t>
      </w:r>
    </w:p>
    <w:p w14:paraId="07D5825F" w14:textId="3E6D22B1" w:rsidR="005F507E" w:rsidRDefault="005F507E" w:rsidP="00A75D5F">
      <w:r w:rsidRPr="005F507E">
        <w:t>Many bodies in Ancient E</w:t>
      </w:r>
      <w:r w:rsidR="00C40E0C">
        <w:t xml:space="preserve">gypt </w:t>
      </w:r>
      <w:r w:rsidR="00F92A26">
        <w:t xml:space="preserve">were preserved using mummification. </w:t>
      </w:r>
      <w:r w:rsidR="00F92A26" w:rsidRPr="00F92A26">
        <w:t>Mummification refers to extensive, physical, tangible preparation made to ensure survival in the afterlife</w:t>
      </w:r>
      <w:r w:rsidR="00F92A26">
        <w:t xml:space="preserve">. This was due to the belief in the afterlife as a continuation. </w:t>
      </w:r>
      <w:r w:rsidR="00EF5EB4">
        <w:t>Most ‘mummies’ from this time are well-preserved.</w:t>
      </w:r>
      <w:r w:rsidR="00EF5EB4">
        <w:rPr>
          <w:rStyle w:val="FootnoteReference"/>
        </w:rPr>
        <w:footnoteReference w:id="5"/>
      </w:r>
      <w:r w:rsidR="00DD477D">
        <w:t xml:space="preserve"> </w:t>
      </w:r>
      <w:r w:rsidR="00DD477D">
        <w:lastRenderedPageBreak/>
        <w:t>However in the case of Tomb T</w:t>
      </w:r>
      <w:r w:rsidR="00DD477D">
        <w:tab/>
        <w:t xml:space="preserve">T99, </w:t>
      </w:r>
      <w:r w:rsidR="00765D79">
        <w:t>m</w:t>
      </w:r>
      <w:r w:rsidR="00765D79" w:rsidRPr="00765D79">
        <w:t>ost of the human remains were badly damaged and had lost most of the evidence of mummification.</w:t>
      </w:r>
      <w:r w:rsidR="00765D79">
        <w:rPr>
          <w:rStyle w:val="FootnoteReference"/>
        </w:rPr>
        <w:footnoteReference w:id="6"/>
      </w:r>
      <w:r w:rsidR="00C747C2">
        <w:t xml:space="preserve"> </w:t>
      </w:r>
      <w:r w:rsidR="008C21FF">
        <w:t>In many cases, these ‘mummies’ were placed into coffins</w:t>
      </w:r>
      <w:r w:rsidR="007B37BF">
        <w:t>,</w:t>
      </w:r>
      <w:r w:rsidR="00607CD7">
        <w:t xml:space="preserve"> often wooden</w:t>
      </w:r>
      <w:r w:rsidR="008C21FF">
        <w:t>.</w:t>
      </w:r>
      <w:r w:rsidR="007B37BF" w:rsidRPr="007B37BF">
        <w:t xml:space="preserve"> </w:t>
      </w:r>
      <w:r w:rsidR="007B37BF" w:rsidRPr="007B37BF">
        <w:t xml:space="preserve">These would often have been </w:t>
      </w:r>
      <w:r w:rsidR="00F67BD1" w:rsidRPr="007B37BF">
        <w:t>decorated,</w:t>
      </w:r>
      <w:r w:rsidR="007B37BF" w:rsidRPr="007B37BF">
        <w:t xml:space="preserve"> and some would have had inscriptions.</w:t>
      </w:r>
      <w:r w:rsidR="008C21FF">
        <w:t xml:space="preserve"> In Tomb TT99 </w:t>
      </w:r>
      <w:r w:rsidR="007B5381">
        <w:t>a</w:t>
      </w:r>
      <w:r w:rsidR="007B5381" w:rsidRPr="007B5381">
        <w:t xml:space="preserve"> number of small fragments of wooden coffins were recovered</w:t>
      </w:r>
      <w:r w:rsidR="007B5381">
        <w:t>.</w:t>
      </w:r>
      <w:r w:rsidR="007B5381">
        <w:rPr>
          <w:rStyle w:val="FootnoteReference"/>
        </w:rPr>
        <w:footnoteReference w:id="7"/>
      </w:r>
      <w:r w:rsidR="00D02BBD">
        <w:t xml:space="preserve"> </w:t>
      </w:r>
      <w:r w:rsidR="00A75D5F">
        <w:t>During t</w:t>
      </w:r>
      <w:r w:rsidR="00A75D5F">
        <w:t>he early part of the 18th dynasty</w:t>
      </w:r>
      <w:r w:rsidR="00A75D5F">
        <w:t xml:space="preserve"> </w:t>
      </w:r>
      <w:r w:rsidR="00A75D5F">
        <w:t>three types of coffins were in use in non-royal</w:t>
      </w:r>
      <w:r w:rsidR="00A75D5F">
        <w:t xml:space="preserve"> </w:t>
      </w:r>
      <w:r w:rsidR="00A75D5F">
        <w:t>burials at Thebes</w:t>
      </w:r>
      <w:r w:rsidR="00A75D5F">
        <w:t>.</w:t>
      </w:r>
      <w:r w:rsidR="00A75D5F">
        <w:rPr>
          <w:rStyle w:val="FootnoteReference"/>
        </w:rPr>
        <w:footnoteReference w:id="8"/>
      </w:r>
    </w:p>
    <w:p w14:paraId="7148CE64" w14:textId="1D3FF4B7" w:rsidR="005F507E" w:rsidRDefault="002E0981">
      <w:r>
        <w:t xml:space="preserve">It could be suggested that </w:t>
      </w:r>
      <w:r w:rsidRPr="002E0981">
        <w:t>‘</w:t>
      </w:r>
      <w:r>
        <w:t>t</w:t>
      </w:r>
      <w:r w:rsidRPr="002E0981">
        <w:t>he energy devoted by the ancient Egyptians to their tombs is legendary’</w:t>
      </w:r>
      <w:r>
        <w:t>.</w:t>
      </w:r>
      <w:r w:rsidR="001B3BD5">
        <w:rPr>
          <w:rStyle w:val="FootnoteReference"/>
        </w:rPr>
        <w:footnoteReference w:id="9"/>
      </w:r>
      <w:r>
        <w:t xml:space="preserve"> This is due to the process of burial and the effort that was put </w:t>
      </w:r>
      <w:r w:rsidR="00680E8A">
        <w:t>into</w:t>
      </w:r>
      <w:r w:rsidR="0045666C">
        <w:t xml:space="preserve"> the burials and the tombs, even before and after the burial took place</w:t>
      </w:r>
      <w:r w:rsidR="00E90A28">
        <w:t xml:space="preserve"> and was key as it was believed that </w:t>
      </w:r>
      <w:r w:rsidR="00337435">
        <w:t>tombs allowed restoration of life and led to immortality.</w:t>
      </w:r>
      <w:r w:rsidR="00337435">
        <w:rPr>
          <w:rStyle w:val="FootnoteReference"/>
        </w:rPr>
        <w:footnoteReference w:id="10"/>
      </w:r>
      <w:r w:rsidR="00680E8A">
        <w:t xml:space="preserve"> For example, many people held jobs responsible for building tombs, making coffins, </w:t>
      </w:r>
      <w:r w:rsidR="00CA72B6">
        <w:t xml:space="preserve">and even caring for the tomb and the body after burial. Within Ancient </w:t>
      </w:r>
      <w:r w:rsidR="00460865">
        <w:t>Egypt</w:t>
      </w:r>
      <w:r w:rsidR="00CA72B6">
        <w:t xml:space="preserve">, the </w:t>
      </w:r>
      <w:r w:rsidR="008D72C0">
        <w:t xml:space="preserve">living played many roles that were seen as key to the </w:t>
      </w:r>
      <w:r w:rsidR="00460865">
        <w:t>transition of the spirit to the afterlife.</w:t>
      </w:r>
      <w:r w:rsidR="00603DE7">
        <w:t xml:space="preserve"> </w:t>
      </w:r>
      <w:r w:rsidR="00C2571B">
        <w:t xml:space="preserve">An example of this is the </w:t>
      </w:r>
      <w:r w:rsidR="00C23169">
        <w:t>Opening of the Mouth ritual.</w:t>
      </w:r>
      <w:r w:rsidR="00C23169">
        <w:rPr>
          <w:rStyle w:val="FootnoteReference"/>
        </w:rPr>
        <w:footnoteReference w:id="11"/>
      </w:r>
      <w:r w:rsidR="00C23169">
        <w:t xml:space="preserve"> </w:t>
      </w:r>
      <w:r w:rsidR="00F86289">
        <w:t xml:space="preserve">During this time, coffins were </w:t>
      </w:r>
      <w:r w:rsidR="007E26C2">
        <w:t>typical of elite burials but not to all burials.</w:t>
      </w:r>
      <w:r w:rsidR="007E26C2">
        <w:rPr>
          <w:rStyle w:val="FootnoteReference"/>
        </w:rPr>
        <w:footnoteReference w:id="12"/>
      </w:r>
      <w:r w:rsidR="00573989">
        <w:t xml:space="preserve"> Tombs were seen as a person’s ‘House of Eternity’.</w:t>
      </w:r>
      <w:r w:rsidR="00573989">
        <w:rPr>
          <w:rStyle w:val="FootnoteReference"/>
        </w:rPr>
        <w:footnoteReference w:id="13"/>
      </w:r>
      <w:r w:rsidR="00FC7393">
        <w:t xml:space="preserve"> </w:t>
      </w:r>
      <w:r w:rsidR="00411024">
        <w:t xml:space="preserve">Therefore, building tombs in the correct manner was an </w:t>
      </w:r>
      <w:r w:rsidR="00967B46">
        <w:t>extremely important practi</w:t>
      </w:r>
      <w:r w:rsidR="00143FCC">
        <w:t>ce.</w:t>
      </w:r>
      <w:r w:rsidR="00D52DD2">
        <w:t xml:space="preserve"> It could also be suggested that ‘</w:t>
      </w:r>
      <w:r w:rsidR="00D52DD2" w:rsidRPr="00D52DD2">
        <w:t>tombs evolved into complex architectural structures and proper burial ultimately came to involve a series of rituals and the provision of magical texts and images’</w:t>
      </w:r>
      <w:r w:rsidR="00D52DD2">
        <w:t>.</w:t>
      </w:r>
      <w:r w:rsidR="00D52DD2">
        <w:rPr>
          <w:rStyle w:val="FootnoteReference"/>
        </w:rPr>
        <w:footnoteReference w:id="14"/>
      </w:r>
      <w:r w:rsidR="00A6325C">
        <w:t xml:space="preserve"> These burial customs were also changed and developed throughout the Ancient Egyptian period, for example </w:t>
      </w:r>
      <w:r w:rsidR="00A6325C" w:rsidRPr="00A6325C">
        <w:t>‘the second half of the 3rd intermediate period saw a dramatic change in burial customs’</w:t>
      </w:r>
      <w:r w:rsidR="00A6325C">
        <w:t>.</w:t>
      </w:r>
      <w:r w:rsidR="00A6325C">
        <w:rPr>
          <w:rStyle w:val="FootnoteReference"/>
        </w:rPr>
        <w:footnoteReference w:id="15"/>
      </w:r>
      <w:r w:rsidR="00D32F55">
        <w:t xml:space="preserve"> </w:t>
      </w:r>
    </w:p>
    <w:p w14:paraId="4E6B7738" w14:textId="5EE4C47E" w:rsidR="005F507E" w:rsidRDefault="00603DE7">
      <w:r>
        <w:t>The Ancient Egyptians held many beliefs related to death and the afterlife</w:t>
      </w:r>
      <w:r w:rsidR="00C93296">
        <w:t xml:space="preserve">. There is lots of evidence that reflects the belief </w:t>
      </w:r>
      <w:r w:rsidR="00C93296" w:rsidRPr="00C93296">
        <w:t>that the deceased required a preserved body and specific goods to achieve immortality</w:t>
      </w:r>
      <w:r w:rsidR="00573989">
        <w:t>.</w:t>
      </w:r>
      <w:r w:rsidR="00422D71">
        <w:t xml:space="preserve"> These beliefs were the reason that the burial customs existed, as it was to ensure that the body was well prepared for the afterlife</w:t>
      </w:r>
      <w:r w:rsidR="0001406B">
        <w:t xml:space="preserve">. These beliefs also </w:t>
      </w:r>
      <w:r w:rsidR="005E4F96">
        <w:t xml:space="preserve">developed throughout the different dynasties and time </w:t>
      </w:r>
      <w:r w:rsidR="0089626F">
        <w:t>period;</w:t>
      </w:r>
      <w:r w:rsidR="005E4F96">
        <w:t xml:space="preserve"> this is reflected through objects and inscriptions found in tombs.</w:t>
      </w:r>
      <w:r w:rsidR="0089626F">
        <w:t xml:space="preserve"> The main beliefs were that ‘</w:t>
      </w:r>
      <w:r w:rsidR="0089626F" w:rsidRPr="0089626F">
        <w:t xml:space="preserve">‘death </w:t>
      </w:r>
      <w:r w:rsidR="0089626F">
        <w:t>w</w:t>
      </w:r>
      <w:r w:rsidR="0089626F" w:rsidRPr="0089626F">
        <w:t>as one of the great rites of passage of human existence’</w:t>
      </w:r>
      <w:r w:rsidR="0089626F">
        <w:t xml:space="preserve"> and</w:t>
      </w:r>
      <w:r w:rsidR="00AF3D81">
        <w:t xml:space="preserve"> that</w:t>
      </w:r>
      <w:r w:rsidR="0089626F">
        <w:t xml:space="preserve"> </w:t>
      </w:r>
      <w:r w:rsidR="0089626F" w:rsidRPr="0089626F">
        <w:t>‘the afterlife was regarded as an extension of earthly existence’</w:t>
      </w:r>
      <w:r w:rsidR="00AF3D81">
        <w:t>.</w:t>
      </w:r>
      <w:r w:rsidR="00AF3D81">
        <w:rPr>
          <w:rStyle w:val="FootnoteReference"/>
        </w:rPr>
        <w:footnoteReference w:id="16"/>
      </w:r>
      <w:r w:rsidR="006E43BF">
        <w:t xml:space="preserve"> There were also many rituals that would be performed for the benefit of the dead.</w:t>
      </w:r>
      <w:r w:rsidR="00EC1E00">
        <w:t xml:space="preserve"> </w:t>
      </w:r>
      <w:r w:rsidR="00D22DF2">
        <w:t xml:space="preserve">Another belief held was that </w:t>
      </w:r>
      <w:r w:rsidR="00D22DF2" w:rsidRPr="00D22DF2">
        <w:t xml:space="preserve">‘the state of existence which the deceased arrived to reach in the </w:t>
      </w:r>
      <w:r w:rsidR="00D22DF2" w:rsidRPr="00D22DF2">
        <w:lastRenderedPageBreak/>
        <w:t>beyond was called akh’</w:t>
      </w:r>
      <w:r w:rsidR="00D22DF2">
        <w:t>.</w:t>
      </w:r>
      <w:r w:rsidR="00D22DF2">
        <w:rPr>
          <w:rStyle w:val="FootnoteReference"/>
        </w:rPr>
        <w:footnoteReference w:id="17"/>
      </w:r>
      <w:r w:rsidR="000B0ABF">
        <w:t xml:space="preserve"> </w:t>
      </w:r>
      <w:r w:rsidR="00682A01">
        <w:t>These beliefs show the Ancient Egyptian reasoning for caring for the bodies of the deceased and preparing them from eternity.</w:t>
      </w:r>
    </w:p>
    <w:p w14:paraId="5CBCB3F5" w14:textId="728AB0BF" w:rsidR="00362F46" w:rsidRDefault="00842194" w:rsidP="00362F46">
      <w:r>
        <w:t>The</w:t>
      </w:r>
      <w:r w:rsidR="00B84148">
        <w:t xml:space="preserve"> Tomb of S</w:t>
      </w:r>
      <w:r w:rsidR="00E91D19">
        <w:t>enneferi</w:t>
      </w:r>
      <w:r w:rsidR="003C0770">
        <w:t xml:space="preserve">, which is located </w:t>
      </w:r>
      <w:r w:rsidR="000A5794">
        <w:t>t</w:t>
      </w:r>
      <w:r w:rsidR="000A5794" w:rsidRPr="000A5794">
        <w:t xml:space="preserve">he hill of Sheikh </w:t>
      </w:r>
      <w:r w:rsidR="00C86861" w:rsidRPr="000A5794">
        <w:t>Abd</w:t>
      </w:r>
      <w:r w:rsidR="000A5794" w:rsidRPr="000A5794">
        <w:t xml:space="preserve"> el-Qurna, a prominent hill on the West Bank at Luxor</w:t>
      </w:r>
      <w:r w:rsidR="000A5794">
        <w:t>,</w:t>
      </w:r>
      <w:r w:rsidR="0009056A">
        <w:t xml:space="preserve"> contains many </w:t>
      </w:r>
      <w:r w:rsidR="00112014">
        <w:t>tomb goods.</w:t>
      </w:r>
      <w:r w:rsidR="000A5794">
        <w:rPr>
          <w:rStyle w:val="FootnoteReference"/>
        </w:rPr>
        <w:footnoteReference w:id="18"/>
      </w:r>
      <w:r w:rsidR="000A5794">
        <w:t xml:space="preserve"> </w:t>
      </w:r>
      <w:r w:rsidR="006457DA">
        <w:t xml:space="preserve">These goods were seen as functional materials. </w:t>
      </w:r>
      <w:r w:rsidR="00972BA5">
        <w:t>There are many e</w:t>
      </w:r>
      <w:r w:rsidR="006457DA" w:rsidRPr="006457DA">
        <w:t>xamples of personal objects found in Egyptian tombs</w:t>
      </w:r>
      <w:r w:rsidR="00972BA5">
        <w:t xml:space="preserve">, these include: </w:t>
      </w:r>
      <w:r w:rsidR="000A4CA4" w:rsidRPr="00972BA5">
        <w:t>boxes, canopic jars and other vessels, coffin fragments, food and food containers, funerary cones, human remains, linen shrouds, ostraka, papyri, pottery, ritual objects, statu</w:t>
      </w:r>
      <w:r w:rsidR="000A4CA4">
        <w:t>es or statue fragments</w:t>
      </w:r>
      <w:r w:rsidR="000A4CA4" w:rsidRPr="00972BA5">
        <w:t>, stone vessels, amulets, faience vessels</w:t>
      </w:r>
      <w:r w:rsidR="00F1471A">
        <w:t xml:space="preserve">, </w:t>
      </w:r>
      <w:r w:rsidR="000A4CA4" w:rsidRPr="00972BA5">
        <w:t xml:space="preserve">pottery, figures, shabtis (inscribed or not), </w:t>
      </w:r>
      <w:r w:rsidR="00F1471A">
        <w:t>and t</w:t>
      </w:r>
      <w:r w:rsidR="000A4CA4" w:rsidRPr="00972BA5">
        <w:t>extiles.</w:t>
      </w:r>
      <w:r w:rsidR="001378F3">
        <w:t xml:space="preserve"> </w:t>
      </w:r>
      <w:r w:rsidR="00F1471A">
        <w:t xml:space="preserve">Many of these examples can be seen within Tomb TT99. </w:t>
      </w:r>
      <w:r w:rsidR="00920773">
        <w:t>For example, the funerary cone</w:t>
      </w:r>
      <w:r w:rsidR="00362F46">
        <w:t xml:space="preserve">. </w:t>
      </w:r>
      <w:r w:rsidR="00362F46">
        <w:t>The only</w:t>
      </w:r>
      <w:r w:rsidR="00362F46">
        <w:t xml:space="preserve"> funerary cone</w:t>
      </w:r>
      <w:r w:rsidR="0017669F">
        <w:t xml:space="preserve">, </w:t>
      </w:r>
      <w:r w:rsidR="00362F46">
        <w:t>identified by Davies and Macadam</w:t>
      </w:r>
      <w:r w:rsidR="0017669F">
        <w:t>,</w:t>
      </w:r>
      <w:r w:rsidR="00362F46">
        <w:t xml:space="preserve"> as belonging</w:t>
      </w:r>
      <w:r w:rsidR="00362F46">
        <w:t xml:space="preserve"> </w:t>
      </w:r>
      <w:r w:rsidR="00362F46">
        <w:t>to the owner of TT99 is DM 154</w:t>
      </w:r>
      <w:r w:rsidR="0017669F">
        <w:t>, and 130 examples of this cone were found in the whole complex.</w:t>
      </w:r>
      <w:r w:rsidR="0017669F">
        <w:rPr>
          <w:rStyle w:val="FootnoteReference"/>
        </w:rPr>
        <w:footnoteReference w:id="19"/>
      </w:r>
    </w:p>
    <w:p w14:paraId="74DCF106" w14:textId="36BC44DC" w:rsidR="00B84148" w:rsidRDefault="00202F61" w:rsidP="00112014">
      <w:r>
        <w:t xml:space="preserve">Some of these objects were used for daily life whereas others </w:t>
      </w:r>
      <w:r w:rsidR="009347F7">
        <w:t>have</w:t>
      </w:r>
      <w:r>
        <w:t xml:space="preserve"> religious or ritual purpose. </w:t>
      </w:r>
      <w:r w:rsidR="001378F3">
        <w:t xml:space="preserve">These objects varied throughout time </w:t>
      </w:r>
      <w:r w:rsidR="004775FE">
        <w:t>periods;</w:t>
      </w:r>
      <w:r w:rsidR="001378F3">
        <w:t xml:space="preserve"> </w:t>
      </w:r>
      <w:r w:rsidR="00AE771D">
        <w:t>however,</w:t>
      </w:r>
      <w:r w:rsidR="001378F3">
        <w:t xml:space="preserve"> some remain consistent.</w:t>
      </w:r>
      <w:r w:rsidR="00667B7D">
        <w:t xml:space="preserve"> For example, </w:t>
      </w:r>
      <w:r w:rsidR="00AE771D">
        <w:t xml:space="preserve">there were some </w:t>
      </w:r>
      <w:r w:rsidR="00AE771D" w:rsidRPr="00AE771D">
        <w:t>new burial goods introduced in the late fifth dynasty</w:t>
      </w:r>
      <w:r w:rsidR="00AE771D">
        <w:t>.</w:t>
      </w:r>
      <w:r w:rsidR="00AE771D">
        <w:rPr>
          <w:rStyle w:val="FootnoteReference"/>
        </w:rPr>
        <w:footnoteReference w:id="20"/>
      </w:r>
      <w:r w:rsidR="00FA6163">
        <w:t xml:space="preserve"> Then in the middle of the twelfth dynasty ‘</w:t>
      </w:r>
      <w:r w:rsidR="00FA6163" w:rsidRPr="00FA6163">
        <w:t>certain new objects such as mummy-shaped figures [..] appear for the first time in burials’</w:t>
      </w:r>
      <w:r w:rsidR="00FA6163">
        <w:t>.</w:t>
      </w:r>
      <w:r w:rsidR="00FA6163">
        <w:rPr>
          <w:rStyle w:val="FootnoteReference"/>
        </w:rPr>
        <w:footnoteReference w:id="21"/>
      </w:r>
      <w:r w:rsidR="008A2E93">
        <w:t xml:space="preserve"> T</w:t>
      </w:r>
      <w:r w:rsidR="008A2E93" w:rsidRPr="008A2E93">
        <w:t xml:space="preserve">hese changes show that it is important to compare tombs from different time periods as they may </w:t>
      </w:r>
      <w:r w:rsidR="00292F2C">
        <w:t>have many slight changes, and by comparing these changes it allows researchers to understand when these changes may have taken place.</w:t>
      </w:r>
    </w:p>
    <w:p w14:paraId="1E28F6B7" w14:textId="0B0235F1" w:rsidR="00495F4E" w:rsidRDefault="00495F4E" w:rsidP="00444A3D">
      <w:r>
        <w:t xml:space="preserve">This tomb </w:t>
      </w:r>
      <w:r w:rsidR="00BD7B55">
        <w:t xml:space="preserve">is believed to have been constructed in 1420 BC which is during the </w:t>
      </w:r>
      <w:r w:rsidR="00A83F1B">
        <w:t xml:space="preserve">‘New </w:t>
      </w:r>
      <w:r w:rsidR="00BE0CCF">
        <w:t>Kingdom</w:t>
      </w:r>
      <w:r w:rsidR="00A83F1B">
        <w:t>’ era and the eighteenth dynasty.</w:t>
      </w:r>
      <w:r w:rsidR="00BE0CCF">
        <w:rPr>
          <w:rStyle w:val="FootnoteReference"/>
        </w:rPr>
        <w:footnoteReference w:id="22"/>
      </w:r>
      <w:r w:rsidR="001220B3">
        <w:t xml:space="preserve"> This tomb belonged to </w:t>
      </w:r>
      <w:r w:rsidR="00823934">
        <w:t>Sen</w:t>
      </w:r>
      <w:r w:rsidR="000E3FE0">
        <w:t xml:space="preserve">neferi, who is believed to have been </w:t>
      </w:r>
      <w:r w:rsidR="0008266F">
        <w:t xml:space="preserve">an important official, </w:t>
      </w:r>
      <w:r w:rsidR="00002262" w:rsidRPr="00002262">
        <w:t>Senneferi's important status is emphasised by the fact that four statues (or parts thereof) have survived</w:t>
      </w:r>
      <w:r w:rsidR="00002262">
        <w:t>.</w:t>
      </w:r>
      <w:r w:rsidR="00002262">
        <w:rPr>
          <w:rStyle w:val="FootnoteReference"/>
        </w:rPr>
        <w:footnoteReference w:id="23"/>
      </w:r>
      <w:r w:rsidR="00860AF7">
        <w:t xml:space="preserve"> </w:t>
      </w:r>
      <w:r w:rsidR="007B6EBF">
        <w:t xml:space="preserve">Within the tomb, </w:t>
      </w:r>
      <w:r w:rsidR="00444A3D">
        <w:t>there may have been information about his family, however d</w:t>
      </w:r>
      <w:r w:rsidR="00444A3D">
        <w:t xml:space="preserve">ue primarily to the </w:t>
      </w:r>
      <w:r w:rsidR="009367DD">
        <w:t>damage to</w:t>
      </w:r>
      <w:r w:rsidR="00444A3D">
        <w:t xml:space="preserve"> the wall scenes, little information about Senneferi’s </w:t>
      </w:r>
      <w:r w:rsidR="009367DD">
        <w:t>family, particularly</w:t>
      </w:r>
      <w:r w:rsidR="00444A3D">
        <w:t xml:space="preserve"> his children, is forthcomin</w:t>
      </w:r>
      <w:r w:rsidR="00444A3D">
        <w:t>g.</w:t>
      </w:r>
      <w:r w:rsidR="00444A3D">
        <w:rPr>
          <w:rStyle w:val="FootnoteReference"/>
        </w:rPr>
        <w:footnoteReference w:id="24"/>
      </w:r>
      <w:r w:rsidR="009367DD">
        <w:t xml:space="preserve"> </w:t>
      </w:r>
      <w:r w:rsidR="00125DDE">
        <w:t xml:space="preserve">However there are some mentions of him and his family in surviving texts from the time. </w:t>
      </w:r>
      <w:r w:rsidR="004C2B59">
        <w:t xml:space="preserve">It is believed that his parents are </w:t>
      </w:r>
      <w:r w:rsidR="004C2B59" w:rsidRPr="004C2B59">
        <w:t>Haydjehuty and Zatdjehuty</w:t>
      </w:r>
      <w:r w:rsidR="004C2B59">
        <w:t xml:space="preserve"> </w:t>
      </w:r>
      <w:r w:rsidR="003D2B4B">
        <w:t>and</w:t>
      </w:r>
      <w:r w:rsidR="004C2B59">
        <w:t xml:space="preserve"> they are depicted</w:t>
      </w:r>
      <w:r w:rsidR="003D2B4B">
        <w:t xml:space="preserve"> on a scene in the tomb possibly</w:t>
      </w:r>
      <w:r w:rsidR="004C2B59">
        <w:t xml:space="preserve"> </w:t>
      </w:r>
      <w:r w:rsidR="003D2B4B">
        <w:t xml:space="preserve">taking part in an offering ritual. </w:t>
      </w:r>
    </w:p>
    <w:p w14:paraId="63A80147" w14:textId="721891EE" w:rsidR="005F0448" w:rsidRDefault="00573989" w:rsidP="00112014">
      <w:r>
        <w:t xml:space="preserve">An element that </w:t>
      </w:r>
      <w:r w:rsidR="00C07CA2">
        <w:t xml:space="preserve">can </w:t>
      </w:r>
      <w:r>
        <w:t xml:space="preserve">make studying the material culture of death in Ancient Egypt </w:t>
      </w:r>
      <w:r w:rsidR="00C07CA2">
        <w:t xml:space="preserve">difficult </w:t>
      </w:r>
      <w:r w:rsidR="002F7B2F">
        <w:t xml:space="preserve">is social stratification. There </w:t>
      </w:r>
      <w:r w:rsidR="003205BD">
        <w:t>are</w:t>
      </w:r>
      <w:r w:rsidR="002F7B2F">
        <w:t xml:space="preserve"> often many </w:t>
      </w:r>
      <w:r w:rsidR="006457DA">
        <w:t>differences in the tombs and burials of elites compared to those of common people.</w:t>
      </w:r>
      <w:r w:rsidR="004B5400">
        <w:t xml:space="preserve"> The material culture of a tomb can be used to </w:t>
      </w:r>
      <w:r w:rsidR="005F0448">
        <w:t>illustrate the position a person may have had in Ancient Egyptian society</w:t>
      </w:r>
      <w:r w:rsidR="00273F21">
        <w:t>.</w:t>
      </w:r>
      <w:r w:rsidR="009713C6">
        <w:t xml:space="preserve"> For example, </w:t>
      </w:r>
      <w:r w:rsidR="00FB16D8">
        <w:t>for</w:t>
      </w:r>
      <w:r w:rsidR="009713C6">
        <w:t xml:space="preserve"> this tomb </w:t>
      </w:r>
      <w:r w:rsidR="001A51DE">
        <w:t>due to the materials found inside, it suggests that this tomb belongs to a wealthier individual.</w:t>
      </w:r>
    </w:p>
    <w:p w14:paraId="4D65203D" w14:textId="0D00E1DA" w:rsidR="00112014" w:rsidRDefault="003E24A0" w:rsidP="00112014">
      <w:r>
        <w:lastRenderedPageBreak/>
        <w:t xml:space="preserve">Many people have worked on excavating or exploring and studying this tomb, therefore </w:t>
      </w:r>
      <w:r w:rsidR="00440806">
        <w:t xml:space="preserve">many discoveries have been </w:t>
      </w:r>
      <w:r w:rsidR="00CA09A4">
        <w:t>made.</w:t>
      </w:r>
      <w:r w:rsidR="00877DA8">
        <w:t xml:space="preserve"> </w:t>
      </w:r>
      <w:r w:rsidR="004F4C6E">
        <w:t xml:space="preserve">This tomb was first mentioned in scholarly texts in </w:t>
      </w:r>
      <w:r w:rsidR="00205F8B">
        <w:t>1895,</w:t>
      </w:r>
      <w:r w:rsidR="007064F1">
        <w:t xml:space="preserve"> and it is </w:t>
      </w:r>
      <w:r w:rsidR="00EA7D25">
        <w:t>believed</w:t>
      </w:r>
      <w:r w:rsidR="007064F1">
        <w:t xml:space="preserve"> that the first archaeological study </w:t>
      </w:r>
      <w:r w:rsidR="00205F8B">
        <w:t>took place in the 1900s.</w:t>
      </w:r>
      <w:r w:rsidR="00205F8B">
        <w:rPr>
          <w:rStyle w:val="FootnoteReference"/>
        </w:rPr>
        <w:footnoteReference w:id="25"/>
      </w:r>
      <w:r w:rsidR="00B86F06">
        <w:t xml:space="preserve"> The </w:t>
      </w:r>
      <w:r w:rsidR="00B86F06" w:rsidRPr="00B86F06">
        <w:t xml:space="preserve">Cambridge Theban Tombs Project </w:t>
      </w:r>
      <w:r w:rsidR="00B86F06">
        <w:t>began</w:t>
      </w:r>
      <w:r w:rsidR="00B86F06" w:rsidRPr="00B86F06">
        <w:t xml:space="preserve"> work in the tomb</w:t>
      </w:r>
      <w:r w:rsidR="00B86F06">
        <w:t xml:space="preserve"> in </w:t>
      </w:r>
      <w:r w:rsidR="00F86516">
        <w:t>1992.</w:t>
      </w:r>
      <w:r w:rsidR="00B6391A">
        <w:t xml:space="preserve"> Information about this tomb is very well documented with the main sources being </w:t>
      </w:r>
      <w:r w:rsidR="00AC7A50">
        <w:t xml:space="preserve">a book entitled </w:t>
      </w:r>
      <w:r w:rsidR="00CF4856">
        <w:t>‘</w:t>
      </w:r>
      <w:r w:rsidR="00CF4856" w:rsidRPr="00CF4856">
        <w:t>The Tomb of Pharaoh’s Chancellor Senneferi at Thebes (TT99)</w:t>
      </w:r>
      <w:r w:rsidR="00CF4856">
        <w:t>’ by Nigel Strudwick and the corresponding website</w:t>
      </w:r>
      <w:r w:rsidR="00A25A28">
        <w:t xml:space="preserve"> ‘</w:t>
      </w:r>
      <w:r w:rsidR="00A25A28" w:rsidRPr="00A25A28">
        <w:t>The tomb of Senneferi at Luxor in Egypt’</w:t>
      </w:r>
      <w:r w:rsidR="00CF4856">
        <w:t>.</w:t>
      </w:r>
      <w:r w:rsidR="00CF4856">
        <w:rPr>
          <w:rStyle w:val="FootnoteReference"/>
        </w:rPr>
        <w:footnoteReference w:id="26"/>
      </w:r>
    </w:p>
    <w:p w14:paraId="1AE40CEA" w14:textId="50C1B9D5" w:rsidR="00CA09A4" w:rsidRDefault="00CA09A4" w:rsidP="00E23E7E">
      <w:r>
        <w:t>This tomb is very complex,</w:t>
      </w:r>
      <w:r w:rsidR="009A5709">
        <w:t xml:space="preserve"> like most Theban tombs,</w:t>
      </w:r>
      <w:r>
        <w:t xml:space="preserve"> it includes</w:t>
      </w:r>
      <w:r w:rsidR="00891EEB">
        <w:t xml:space="preserve"> a </w:t>
      </w:r>
      <w:r w:rsidR="008A64BB">
        <w:t xml:space="preserve">façade </w:t>
      </w:r>
      <w:r w:rsidR="00B04D5B">
        <w:t xml:space="preserve">on the top level, a </w:t>
      </w:r>
      <w:r w:rsidR="00891EEB">
        <w:t>chapel and a courtyard</w:t>
      </w:r>
      <w:r w:rsidR="00B04D5B">
        <w:t xml:space="preserve"> in the middle level</w:t>
      </w:r>
      <w:r w:rsidR="00891EEB">
        <w:t xml:space="preserve"> as well as the burial chambers</w:t>
      </w:r>
      <w:r w:rsidR="00E473F9">
        <w:t xml:space="preserve"> </w:t>
      </w:r>
      <w:r w:rsidR="00B04D5B">
        <w:t>in the bottom level.</w:t>
      </w:r>
      <w:r w:rsidR="003559E1">
        <w:rPr>
          <w:rStyle w:val="FootnoteReference"/>
        </w:rPr>
        <w:footnoteReference w:id="27"/>
      </w:r>
      <w:r w:rsidR="00B04FDA">
        <w:t xml:space="preserve"> </w:t>
      </w:r>
      <w:r w:rsidR="00E77775">
        <w:t>T</w:t>
      </w:r>
      <w:r w:rsidR="00E77775">
        <w:t>he solar level of the</w:t>
      </w:r>
      <w:r w:rsidR="00E77775">
        <w:t xml:space="preserve"> </w:t>
      </w:r>
      <w:r w:rsidR="00E77775">
        <w:t xml:space="preserve">tomb is incorporated into the </w:t>
      </w:r>
      <w:r w:rsidR="00E77775">
        <w:t xml:space="preserve">façade, and the façade is </w:t>
      </w:r>
      <w:r w:rsidR="00380985">
        <w:t>built up with stones and mortar.</w:t>
      </w:r>
      <w:r w:rsidR="00380985">
        <w:rPr>
          <w:rStyle w:val="FootnoteReference"/>
        </w:rPr>
        <w:footnoteReference w:id="28"/>
      </w:r>
      <w:r w:rsidR="00E23E7E" w:rsidRPr="00E23E7E">
        <w:t xml:space="preserve"> </w:t>
      </w:r>
      <w:r w:rsidR="00FB16D8">
        <w:t>I</w:t>
      </w:r>
      <w:r w:rsidR="00E23E7E">
        <w:t>n the centre of the Facade, above the entrance door,</w:t>
      </w:r>
      <w:r w:rsidR="00FB16D8">
        <w:t xml:space="preserve"> </w:t>
      </w:r>
      <w:r w:rsidR="00E23E7E">
        <w:t>is a small niche.</w:t>
      </w:r>
      <w:r w:rsidR="00380985">
        <w:t xml:space="preserve"> </w:t>
      </w:r>
      <w:r w:rsidR="00D0766A">
        <w:t>The courtyard is roughly square and w</w:t>
      </w:r>
      <w:r w:rsidR="00CB255A">
        <w:t xml:space="preserve">ithin the courtyard there are </w:t>
      </w:r>
      <w:r w:rsidR="00AE0E64">
        <w:t>three shafts</w:t>
      </w:r>
      <w:r w:rsidR="00D0766A">
        <w:t xml:space="preserve"> (</w:t>
      </w:r>
      <w:r w:rsidR="002D6168">
        <w:t>G, H and I)</w:t>
      </w:r>
      <w:r w:rsidR="00AE0E64">
        <w:t xml:space="preserve">. </w:t>
      </w:r>
      <w:r w:rsidR="00A81799">
        <w:t>The Chapel is conventionally ‘T-shaped’.</w:t>
      </w:r>
      <w:r w:rsidR="00A81799">
        <w:rPr>
          <w:rStyle w:val="FootnoteReference"/>
        </w:rPr>
        <w:footnoteReference w:id="29"/>
      </w:r>
      <w:r w:rsidR="00A81799">
        <w:t xml:space="preserve"> </w:t>
      </w:r>
      <w:r w:rsidR="00AE0E64">
        <w:t xml:space="preserve">There are </w:t>
      </w:r>
      <w:r w:rsidR="00AE7B40">
        <w:t>also six</w:t>
      </w:r>
      <w:r w:rsidR="002F3913">
        <w:t xml:space="preserve"> </w:t>
      </w:r>
      <w:r w:rsidR="00AE0E64">
        <w:t xml:space="preserve">shafts </w:t>
      </w:r>
      <w:r w:rsidR="002F3913">
        <w:t xml:space="preserve">(A to </w:t>
      </w:r>
      <w:r w:rsidR="0099040C">
        <w:t xml:space="preserve">F), </w:t>
      </w:r>
      <w:r w:rsidR="00AE0E64">
        <w:t xml:space="preserve">and </w:t>
      </w:r>
      <w:r w:rsidR="002F3913">
        <w:t xml:space="preserve">some </w:t>
      </w:r>
      <w:r w:rsidR="00AE0E64">
        <w:t>chambers inside the tomb chapel</w:t>
      </w:r>
      <w:r w:rsidR="00B83490">
        <w:t xml:space="preserve">. </w:t>
      </w:r>
      <w:r w:rsidR="00B83490">
        <w:t xml:space="preserve">The archaeological information from these shafts </w:t>
      </w:r>
      <w:r w:rsidR="00B83490">
        <w:t xml:space="preserve">indicates </w:t>
      </w:r>
      <w:r w:rsidR="00B83490">
        <w:t>that they were cut in the Third Intermediate Period</w:t>
      </w:r>
      <w:r w:rsidR="00B83490">
        <w:t>.</w:t>
      </w:r>
      <w:r w:rsidR="00B83490">
        <w:rPr>
          <w:rStyle w:val="FootnoteReference"/>
        </w:rPr>
        <w:footnoteReference w:id="30"/>
      </w:r>
      <w:r w:rsidR="002D6168">
        <w:t xml:space="preserve"> S</w:t>
      </w:r>
      <w:r w:rsidR="00627BCF">
        <w:t>haft</w:t>
      </w:r>
      <w:r w:rsidR="002D6168">
        <w:t xml:space="preserve"> I</w:t>
      </w:r>
      <w:r w:rsidR="00627BCF">
        <w:t xml:space="preserve"> of the courtyard is </w:t>
      </w:r>
      <w:r w:rsidR="00086246">
        <w:t>the main shaft and</w:t>
      </w:r>
      <w:r w:rsidR="00086246">
        <w:t xml:space="preserve"> is</w:t>
      </w:r>
      <w:r w:rsidR="00086246">
        <w:t xml:space="preserve"> the burial place of Senneferi and several</w:t>
      </w:r>
      <w:r w:rsidR="00086246">
        <w:t xml:space="preserve"> </w:t>
      </w:r>
      <w:r w:rsidR="00086246">
        <w:t>family member</w:t>
      </w:r>
      <w:r w:rsidR="00086246">
        <w:t>s.</w:t>
      </w:r>
      <w:r w:rsidR="00086246">
        <w:rPr>
          <w:rStyle w:val="FootnoteReference"/>
        </w:rPr>
        <w:footnoteReference w:id="31"/>
      </w:r>
      <w:r w:rsidR="00627BCF">
        <w:t xml:space="preserve"> </w:t>
      </w:r>
      <w:r w:rsidR="008A1323">
        <w:t xml:space="preserve">It was believed that the further into a tomb </w:t>
      </w:r>
      <w:r w:rsidR="0099040C">
        <w:t>the body was</w:t>
      </w:r>
      <w:r w:rsidR="008A1323">
        <w:t xml:space="preserve">, the more connected </w:t>
      </w:r>
      <w:r w:rsidR="0099040C">
        <w:t>it would be</w:t>
      </w:r>
      <w:r w:rsidR="008A1323">
        <w:t xml:space="preserve"> with the dead</w:t>
      </w:r>
      <w:r w:rsidR="001075B1">
        <w:t xml:space="preserve"> and that the dead need to connect with the world, this is the reasoning for the multiple layers</w:t>
      </w:r>
      <w:r w:rsidR="00F146BA">
        <w:t>, this may have also been done to protect the body from the outside</w:t>
      </w:r>
      <w:r w:rsidR="008047B8">
        <w:t xml:space="preserve"> events such as weather.</w:t>
      </w:r>
      <w:r w:rsidR="00D769C6">
        <w:t xml:space="preserve"> </w:t>
      </w:r>
    </w:p>
    <w:p w14:paraId="3FB40DC3" w14:textId="6737836C" w:rsidR="00BE0CCF" w:rsidRDefault="00224672" w:rsidP="00E71C56">
      <w:r>
        <w:t xml:space="preserve">In order to study the Material Culture of death in Ancient </w:t>
      </w:r>
      <w:r w:rsidR="00FC1959">
        <w:t>Egypt</w:t>
      </w:r>
      <w:r>
        <w:t>, it is important to use sources, like any other source of study</w:t>
      </w:r>
      <w:r w:rsidR="00B62CA6">
        <w:t xml:space="preserve">, however </w:t>
      </w:r>
      <w:r w:rsidR="00554D47">
        <w:t xml:space="preserve">only </w:t>
      </w:r>
      <w:r w:rsidR="00B62CA6">
        <w:t>a small proportion of sources have survived, therefore tombs are used as a source to extract information about this topic.</w:t>
      </w:r>
      <w:r w:rsidR="00FC2F8E">
        <w:t xml:space="preserve"> Some tombs may also have been damaged or destroyed by natural causes which could further the difficulty of extracting information.</w:t>
      </w:r>
      <w:r w:rsidR="00A30972">
        <w:t xml:space="preserve"> Another reason that tombs may be difficult to study is due to </w:t>
      </w:r>
      <w:r w:rsidR="00757D3C">
        <w:t>thefts. There have been many recorded robberies of tombs throughout history.</w:t>
      </w:r>
    </w:p>
    <w:p w14:paraId="0EFFF23F" w14:textId="77777777" w:rsidR="00094D2B" w:rsidRDefault="008047B8" w:rsidP="00E71C56">
      <w:r>
        <w:t xml:space="preserve">Overall, </w:t>
      </w:r>
      <w:r w:rsidR="00C41CE1">
        <w:t xml:space="preserve">the </w:t>
      </w:r>
      <w:r w:rsidR="00C41CE1" w:rsidRPr="00C41CE1">
        <w:t>Tomb of Pharaoh’s Chancellor Senneferi at Thebes (TT99)</w:t>
      </w:r>
      <w:r w:rsidR="006A66D8">
        <w:t xml:space="preserve"> </w:t>
      </w:r>
      <w:r w:rsidR="002555F4">
        <w:t xml:space="preserve">is useful for understanding the Material Culture of death in Ancient Egypt </w:t>
      </w:r>
      <w:r w:rsidR="00E50EF5">
        <w:t xml:space="preserve">as it contains evidence that provide information about the Ancient Egyptians treated bodies and burials and their beliefs </w:t>
      </w:r>
      <w:r w:rsidR="00000236">
        <w:t>about the afterlife and the importance of tomb goods.</w:t>
      </w:r>
    </w:p>
    <w:p w14:paraId="08925B23" w14:textId="77777777" w:rsidR="00094D2B" w:rsidRDefault="00094D2B" w:rsidP="00E71C56"/>
    <w:p w14:paraId="6C56D40F" w14:textId="7E28BADC" w:rsidR="00060906" w:rsidRDefault="00C57719" w:rsidP="00E71C56">
      <w:r>
        <w:t xml:space="preserve"> </w:t>
      </w:r>
    </w:p>
    <w:sdt>
      <w:sdtPr>
        <w:id w:val="1757556341"/>
        <w:docPartObj>
          <w:docPartGallery w:val="Bibliographies"/>
          <w:docPartUnique/>
        </w:docPartObj>
      </w:sdtPr>
      <w:sdtEndPr>
        <w:rPr>
          <w:rFonts w:asciiTheme="minorHAnsi" w:eastAsiaTheme="minorHAnsi" w:hAnsiTheme="minorHAnsi" w:cstheme="minorBidi"/>
          <w:color w:val="auto"/>
          <w:sz w:val="22"/>
          <w:szCs w:val="22"/>
        </w:rPr>
      </w:sdtEndPr>
      <w:sdtContent>
        <w:p w14:paraId="7EDD44E6" w14:textId="4ED616CD" w:rsidR="00060906" w:rsidRDefault="00060906">
          <w:pPr>
            <w:pStyle w:val="Heading1"/>
          </w:pPr>
          <w:r>
            <w:t>Reference List:</w:t>
          </w:r>
        </w:p>
        <w:p w14:paraId="2589B2D4" w14:textId="29FC5D5E" w:rsidR="00FF4933" w:rsidRDefault="00FF4933" w:rsidP="00FF4933">
          <w:r w:rsidRPr="00FF4933">
            <w:t xml:space="preserve">Grajetzki, W. (2003). </w:t>
          </w:r>
          <w:r w:rsidRPr="00FF4933">
            <w:rPr>
              <w:i/>
              <w:iCs/>
            </w:rPr>
            <w:t xml:space="preserve">Burial customs in ancient </w:t>
          </w:r>
          <w:r w:rsidRPr="00FF4933">
            <w:rPr>
              <w:i/>
              <w:iCs/>
            </w:rPr>
            <w:t>Egypt</w:t>
          </w:r>
          <w:r w:rsidRPr="00FF4933">
            <w:rPr>
              <w:rFonts w:ascii="Arial" w:hAnsi="Arial" w:cs="Arial"/>
              <w:i/>
              <w:iCs/>
            </w:rPr>
            <w:t>:</w:t>
          </w:r>
          <w:r w:rsidRPr="00FF4933">
            <w:rPr>
              <w:i/>
              <w:iCs/>
            </w:rPr>
            <w:t xml:space="preserve"> life in death for rich and poor</w:t>
          </w:r>
          <w:r w:rsidRPr="00FF4933">
            <w:t>. Duckworth</w:t>
          </w:r>
        </w:p>
        <w:p w14:paraId="2ABDFC46" w14:textId="1E65C9B5" w:rsidR="00D9093B" w:rsidRDefault="00D9093B" w:rsidP="00FF4933">
          <w:r w:rsidRPr="00D9093B">
            <w:t xml:space="preserve">Strudwick, N. (2016), Ed., </w:t>
          </w:r>
          <w:r w:rsidRPr="00D9093B">
            <w:rPr>
              <w:i/>
              <w:iCs/>
            </w:rPr>
            <w:t xml:space="preserve">The tomb of Pharaoh’s Chancellor Senneferi at Thebes (TT99) Volume </w:t>
          </w:r>
          <w:r w:rsidRPr="00D9093B">
            <w:rPr>
              <w:i/>
              <w:iCs/>
            </w:rPr>
            <w:t>I</w:t>
          </w:r>
          <w:r w:rsidRPr="00D9093B">
            <w:rPr>
              <w:rFonts w:ascii="Arial" w:hAnsi="Arial" w:cs="Arial"/>
              <w:i/>
              <w:iCs/>
            </w:rPr>
            <w:t>:</w:t>
          </w:r>
          <w:r w:rsidRPr="00D9093B">
            <w:rPr>
              <w:i/>
              <w:iCs/>
            </w:rPr>
            <w:t xml:space="preserve"> the New Kingdom</w:t>
          </w:r>
          <w:r w:rsidRPr="00D9093B">
            <w:t xml:space="preserve">. </w:t>
          </w:r>
          <w:r w:rsidRPr="00D9093B">
            <w:t>Oxford</w:t>
          </w:r>
          <w:r w:rsidRPr="00D9093B">
            <w:rPr>
              <w:rFonts w:ascii="Arial" w:hAnsi="Arial" w:cs="Arial"/>
            </w:rPr>
            <w:t>;</w:t>
          </w:r>
          <w:r w:rsidRPr="00D9093B">
            <w:t xml:space="preserve"> Oxbow Books</w:t>
          </w:r>
        </w:p>
        <w:p w14:paraId="61923562" w14:textId="5E0C4BA3" w:rsidR="00D9093B" w:rsidRDefault="00D9093B" w:rsidP="00FF4933">
          <w:r w:rsidRPr="00D9093B">
            <w:t>Taylor, J. H. (2001</w:t>
          </w:r>
          <w:r w:rsidRPr="00D9093B">
            <w:t>),</w:t>
          </w:r>
          <w:r w:rsidRPr="00D9093B">
            <w:t xml:space="preserve"> </w:t>
          </w:r>
          <w:r w:rsidRPr="00D9093B">
            <w:rPr>
              <w:i/>
              <w:iCs/>
            </w:rPr>
            <w:t>Death and the afterlife in ancient Egypt</w:t>
          </w:r>
          <w:r w:rsidRPr="00D9093B">
            <w:t>. Chicago: University of Chicago Press</w:t>
          </w:r>
        </w:p>
        <w:p w14:paraId="7834C715" w14:textId="4815868D" w:rsidR="00D9093B" w:rsidRPr="00FF4933" w:rsidRDefault="00D9093B" w:rsidP="00FF4933">
          <w:r w:rsidRPr="00D9093B">
            <w:t xml:space="preserve">Taylor, J. H., Antoine, D., Moreno, B., Vandenbeusch, M., &amp; British Museum. (2014). </w:t>
          </w:r>
          <w:r w:rsidRPr="00D9093B">
            <w:rPr>
              <w:i/>
              <w:iCs/>
            </w:rPr>
            <w:t xml:space="preserve">Ancient </w:t>
          </w:r>
          <w:r w:rsidRPr="00D9093B">
            <w:rPr>
              <w:i/>
              <w:iCs/>
            </w:rPr>
            <w:t>lives</w:t>
          </w:r>
          <w:r w:rsidRPr="00D9093B">
            <w:rPr>
              <w:rFonts w:ascii="Arial" w:hAnsi="Arial" w:cs="Arial"/>
              <w:i/>
              <w:iCs/>
            </w:rPr>
            <w:t>:</w:t>
          </w:r>
          <w:r w:rsidRPr="00D9093B">
            <w:rPr>
              <w:i/>
              <w:iCs/>
            </w:rPr>
            <w:t xml:space="preserve"> new discoveries: eight mummies, eight stories </w:t>
          </w:r>
          <w:r w:rsidRPr="00D9093B">
            <w:t>(B. Moreno, Ill.). The British Museum</w:t>
          </w:r>
        </w:p>
        <w:sdt>
          <w:sdtPr>
            <w:id w:val="-573587230"/>
            <w:bibliography/>
          </w:sdtPr>
          <w:sdtContent>
            <w:p w14:paraId="38EDDF24" w14:textId="7CD7A769" w:rsidR="00060906" w:rsidRPr="00D9093B" w:rsidRDefault="00060906">
              <w:pPr>
                <w:rPr>
                  <w:noProof/>
                </w:rPr>
              </w:pPr>
              <w:r w:rsidRPr="00D9093B">
                <w:fldChar w:fldCharType="begin"/>
              </w:r>
              <w:r w:rsidRPr="00D9093B">
                <w:instrText xml:space="preserve"> BIBLIOGRAPHY </w:instrText>
              </w:r>
              <w:r w:rsidRPr="00D9093B">
                <w:fldChar w:fldCharType="separate"/>
              </w:r>
              <w:r w:rsidRPr="00D9093B">
                <w:rPr>
                  <w:noProof/>
                </w:rPr>
                <w:fldChar w:fldCharType="end"/>
              </w:r>
              <w:r w:rsidRPr="00D9093B">
                <w:rPr>
                  <w:i/>
                  <w:iCs/>
                  <w:noProof/>
                </w:rPr>
                <w:t>The tomb of Senneferi at Luxor in Egypt’</w:t>
              </w:r>
              <w:r w:rsidRPr="00D9093B">
                <w:rPr>
                  <w:noProof/>
                </w:rPr>
                <w:t>, The tomb of Senneferi at Luxor in Egypt, n.d., &lt;https://tt99.fitz.ms/index.html&gt; [accessed 11 March 2026]</w:t>
              </w:r>
            </w:p>
            <w:p w14:paraId="7F26ACF4" w14:textId="77777777" w:rsidR="009161B6" w:rsidRDefault="009161B6" w:rsidP="00794FA1">
              <w:pPr>
                <w:rPr>
                  <w:b/>
                  <w:bCs/>
                  <w:noProof/>
                </w:rPr>
              </w:pPr>
            </w:p>
            <w:p w14:paraId="404DBD4D" w14:textId="77777777" w:rsidR="003B7944" w:rsidRDefault="003B7944">
              <w:pPr>
                <w:rPr>
                  <w:b/>
                  <w:bCs/>
                  <w:noProof/>
                </w:rPr>
              </w:pPr>
            </w:p>
            <w:p w14:paraId="09A9344D" w14:textId="7DC2E591" w:rsidR="00060906" w:rsidRDefault="00060906"/>
          </w:sdtContent>
        </w:sdt>
      </w:sdtContent>
    </w:sdt>
    <w:p w14:paraId="0502E5BC" w14:textId="77777777" w:rsidR="00060906" w:rsidRDefault="00060906" w:rsidP="00E71C56"/>
    <w:sectPr w:rsidR="000609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149FE" w14:textId="77777777" w:rsidR="00FE317F" w:rsidRDefault="00FE317F" w:rsidP="00491E94">
      <w:pPr>
        <w:spacing w:after="0" w:line="240" w:lineRule="auto"/>
      </w:pPr>
      <w:r>
        <w:separator/>
      </w:r>
    </w:p>
  </w:endnote>
  <w:endnote w:type="continuationSeparator" w:id="0">
    <w:p w14:paraId="245C1892" w14:textId="77777777" w:rsidR="00FE317F" w:rsidRDefault="00FE317F" w:rsidP="00491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50DE8" w14:textId="77777777" w:rsidR="00FE317F" w:rsidRDefault="00FE317F" w:rsidP="00491E94">
      <w:pPr>
        <w:spacing w:after="0" w:line="240" w:lineRule="auto"/>
      </w:pPr>
      <w:r>
        <w:separator/>
      </w:r>
    </w:p>
  </w:footnote>
  <w:footnote w:type="continuationSeparator" w:id="0">
    <w:p w14:paraId="60A10EC6" w14:textId="77777777" w:rsidR="00FE317F" w:rsidRDefault="00FE317F" w:rsidP="00491E94">
      <w:pPr>
        <w:spacing w:after="0" w:line="240" w:lineRule="auto"/>
      </w:pPr>
      <w:r>
        <w:continuationSeparator/>
      </w:r>
    </w:p>
  </w:footnote>
  <w:footnote w:id="1">
    <w:p w14:paraId="3545094E" w14:textId="09BC6162" w:rsidR="00B84148" w:rsidRDefault="00B84148">
      <w:pPr>
        <w:pStyle w:val="FootnoteText"/>
      </w:pPr>
      <w:r>
        <w:rPr>
          <w:rStyle w:val="FootnoteReference"/>
        </w:rPr>
        <w:footnoteRef/>
      </w:r>
      <w:r>
        <w:t xml:space="preserve"> </w:t>
      </w:r>
      <w:r w:rsidR="00094D2B" w:rsidRPr="00094D2B">
        <w:t>The tomb of Senneferi at Luxor in Egypt’, The tomb of Senneferi at Luxor in Egypt, n.d., &lt;https://tt99.fitz.ms/index.html&gt; [accessed 11 March 2026]</w:t>
      </w:r>
    </w:p>
  </w:footnote>
  <w:footnote w:id="2">
    <w:p w14:paraId="38FE9273" w14:textId="51BC907A" w:rsidR="00B5658B" w:rsidRDefault="00B5658B">
      <w:pPr>
        <w:pStyle w:val="FootnoteText"/>
      </w:pPr>
      <w:r>
        <w:rPr>
          <w:rStyle w:val="FootnoteReference"/>
        </w:rPr>
        <w:footnoteRef/>
      </w:r>
      <w:r>
        <w:t xml:space="preserve"> </w:t>
      </w:r>
      <w:r w:rsidR="00094D2B" w:rsidRPr="00094D2B">
        <w:t>The tomb of Senneferi at Luxor in Egypt’, The tomb of Senneferi at Luxor in Egypt, n.d., &lt;https://tt99.fitz.ms/index.html&gt; [accessed 11 March 2026]</w:t>
      </w:r>
    </w:p>
  </w:footnote>
  <w:footnote w:id="3">
    <w:p w14:paraId="21A23E2A" w14:textId="08720B34" w:rsidR="00CD5EEB" w:rsidRDefault="00CD5EEB">
      <w:pPr>
        <w:pStyle w:val="FootnoteText"/>
      </w:pPr>
      <w:r>
        <w:rPr>
          <w:rStyle w:val="FootnoteReference"/>
        </w:rPr>
        <w:footnoteRef/>
      </w:r>
      <w:r w:rsidR="007F4FF4">
        <w:t xml:space="preserve"> </w:t>
      </w:r>
      <w:r w:rsidR="007F4FF4" w:rsidRPr="007F4FF4">
        <w:t>Taylor, J. H. (2001</w:t>
      </w:r>
      <w:r w:rsidR="007F4FF4" w:rsidRPr="007F4FF4">
        <w:t>),</w:t>
      </w:r>
      <w:r w:rsidR="007F4FF4" w:rsidRPr="007F4FF4">
        <w:t xml:space="preserve"> Death and the afterlife in ancient Egypt. Chicago: University of Chicago Press</w:t>
      </w:r>
      <w:r w:rsidR="007F4FF4">
        <w:t>. P</w:t>
      </w:r>
      <w:r>
        <w:t>age 92</w:t>
      </w:r>
    </w:p>
  </w:footnote>
  <w:footnote w:id="4">
    <w:p w14:paraId="351B52CE" w14:textId="41CBAA26" w:rsidR="00B96AD1" w:rsidRDefault="00B96AD1">
      <w:pPr>
        <w:pStyle w:val="FootnoteText"/>
      </w:pPr>
      <w:r>
        <w:rPr>
          <w:rStyle w:val="FootnoteReference"/>
        </w:rPr>
        <w:footnoteRef/>
      </w:r>
      <w:r>
        <w:t xml:space="preserve"> </w:t>
      </w:r>
      <w:r w:rsidR="00094D2B" w:rsidRPr="00094D2B">
        <w:t xml:space="preserve">Grajetzki, W. (2003). Burial customs in ancient </w:t>
      </w:r>
      <w:r w:rsidR="00053A86" w:rsidRPr="00094D2B">
        <w:t>Egypt</w:t>
      </w:r>
      <w:r w:rsidR="00053A86" w:rsidRPr="00094D2B">
        <w:rPr>
          <w:rFonts w:ascii="Arial" w:hAnsi="Arial" w:cs="Arial"/>
        </w:rPr>
        <w:t>:</w:t>
      </w:r>
      <w:r w:rsidR="00094D2B" w:rsidRPr="00094D2B">
        <w:t xml:space="preserve"> life in death for rich and poor. Duckworth</w:t>
      </w:r>
      <w:r w:rsidR="00094D2B">
        <w:t>.</w:t>
      </w:r>
      <w:r w:rsidR="00472A11">
        <w:t xml:space="preserve"> </w:t>
      </w:r>
      <w:r w:rsidR="00094D2B">
        <w:t>P</w:t>
      </w:r>
      <w:r w:rsidR="00472A11">
        <w:t>age 12</w:t>
      </w:r>
    </w:p>
  </w:footnote>
  <w:footnote w:id="5">
    <w:p w14:paraId="2728707E" w14:textId="6300F049" w:rsidR="00EF5EB4" w:rsidRDefault="00EF5EB4">
      <w:pPr>
        <w:pStyle w:val="FootnoteText"/>
      </w:pPr>
      <w:r>
        <w:rPr>
          <w:rStyle w:val="FootnoteReference"/>
        </w:rPr>
        <w:footnoteRef/>
      </w:r>
      <w:r w:rsidR="00C747C2">
        <w:t xml:space="preserve"> </w:t>
      </w:r>
      <w:r w:rsidR="00A228FD" w:rsidRPr="00A228FD">
        <w:t xml:space="preserve">Taylor, J. H., Antoine, D., Moreno, B., Vandenbeusch, M., &amp; British Museum. (2014). Ancient </w:t>
      </w:r>
      <w:r w:rsidR="00A228FD" w:rsidRPr="00A228FD">
        <w:t>lives</w:t>
      </w:r>
      <w:r w:rsidR="00A228FD" w:rsidRPr="00A228FD">
        <w:rPr>
          <w:rFonts w:ascii="Arial" w:hAnsi="Arial" w:cs="Arial"/>
        </w:rPr>
        <w:t>:</w:t>
      </w:r>
      <w:r w:rsidR="00A228FD" w:rsidRPr="00A228FD">
        <w:t xml:space="preserve"> new </w:t>
      </w:r>
      <w:r w:rsidR="004711C2" w:rsidRPr="00A228FD">
        <w:t>discoveries</w:t>
      </w:r>
      <w:r w:rsidR="004711C2" w:rsidRPr="00A228FD">
        <w:rPr>
          <w:rFonts w:ascii="Arial" w:hAnsi="Arial" w:cs="Arial"/>
        </w:rPr>
        <w:t>:</w:t>
      </w:r>
      <w:r w:rsidR="00A228FD" w:rsidRPr="00A228FD">
        <w:t xml:space="preserve"> eight mummies, eight stories (B. Moreno, Ill.). The British Museum</w:t>
      </w:r>
    </w:p>
  </w:footnote>
  <w:footnote w:id="6">
    <w:p w14:paraId="1BF11869" w14:textId="2D732BDE" w:rsidR="00765D79" w:rsidRDefault="00765D79">
      <w:pPr>
        <w:pStyle w:val="FootnoteText"/>
      </w:pPr>
      <w:r>
        <w:rPr>
          <w:rStyle w:val="FootnoteReference"/>
        </w:rPr>
        <w:footnoteRef/>
      </w:r>
      <w:r>
        <w:t xml:space="preserve"> </w:t>
      </w:r>
      <w:r w:rsidR="00094D2B" w:rsidRPr="00094D2B">
        <w:t>The tomb of Senneferi at Luxor in Egypt’, The tomb of Senneferi at Luxor in Egypt, n.d., &lt;https://tt99.fitz.ms/index.html&gt; [accessed 11 March 2026]</w:t>
      </w:r>
    </w:p>
  </w:footnote>
  <w:footnote w:id="7">
    <w:p w14:paraId="451533BF" w14:textId="51BF35D8" w:rsidR="007B5381" w:rsidRDefault="007B5381">
      <w:pPr>
        <w:pStyle w:val="FootnoteText"/>
      </w:pPr>
      <w:r>
        <w:rPr>
          <w:rStyle w:val="FootnoteReference"/>
        </w:rPr>
        <w:footnoteRef/>
      </w:r>
      <w:r>
        <w:t xml:space="preserve"> </w:t>
      </w:r>
      <w:r w:rsidR="00094D2B" w:rsidRPr="00094D2B">
        <w:t xml:space="preserve">Strudwick, N. (2016), Ed., The tomb of Pharaoh’s Chancellor Senneferi at Thebes (TT99) Volume </w:t>
      </w:r>
      <w:r w:rsidR="004711C2" w:rsidRPr="00094D2B">
        <w:t>I</w:t>
      </w:r>
      <w:r w:rsidR="004711C2" w:rsidRPr="00094D2B">
        <w:rPr>
          <w:rFonts w:ascii="Arial" w:hAnsi="Arial" w:cs="Arial"/>
        </w:rPr>
        <w:t>:</w:t>
      </w:r>
      <w:r w:rsidR="00094D2B" w:rsidRPr="00094D2B">
        <w:t xml:space="preserve"> the New Kingdom. </w:t>
      </w:r>
      <w:r w:rsidR="00053A86" w:rsidRPr="00094D2B">
        <w:t>Oxford</w:t>
      </w:r>
      <w:r w:rsidR="00053A86" w:rsidRPr="00094D2B">
        <w:rPr>
          <w:rFonts w:ascii="Arial" w:hAnsi="Arial" w:cs="Arial"/>
        </w:rPr>
        <w:t>;</w:t>
      </w:r>
      <w:r w:rsidR="00094D2B" w:rsidRPr="00094D2B">
        <w:t xml:space="preserve"> Oxbow Books</w:t>
      </w:r>
    </w:p>
  </w:footnote>
  <w:footnote w:id="8">
    <w:p w14:paraId="21B00CF0" w14:textId="408EF989" w:rsidR="00A75D5F" w:rsidRDefault="00A75D5F">
      <w:pPr>
        <w:pStyle w:val="FootnoteText"/>
      </w:pPr>
      <w:r>
        <w:rPr>
          <w:rStyle w:val="FootnoteReference"/>
        </w:rPr>
        <w:footnoteRef/>
      </w:r>
      <w:r>
        <w:t xml:space="preserve"> </w:t>
      </w:r>
      <w:r w:rsidR="00094D2B" w:rsidRPr="00094D2B">
        <w:t xml:space="preserve">Strudwick, N. (2016), Ed., The tomb of Pharaoh’s Chancellor Senneferi at Thebes (TT99) Volume </w:t>
      </w:r>
      <w:r w:rsidR="004711C2" w:rsidRPr="00094D2B">
        <w:t>I</w:t>
      </w:r>
      <w:r w:rsidR="004711C2" w:rsidRPr="00094D2B">
        <w:rPr>
          <w:rFonts w:ascii="Arial" w:hAnsi="Arial" w:cs="Arial"/>
        </w:rPr>
        <w:t>:</w:t>
      </w:r>
      <w:r w:rsidR="00094D2B" w:rsidRPr="00094D2B">
        <w:t xml:space="preserve"> the New Kingdom</w:t>
      </w:r>
    </w:p>
  </w:footnote>
  <w:footnote w:id="9">
    <w:p w14:paraId="73E1E7B5" w14:textId="6599C683" w:rsidR="001B3BD5" w:rsidRDefault="001B3BD5">
      <w:pPr>
        <w:pStyle w:val="FootnoteText"/>
      </w:pPr>
      <w:r>
        <w:rPr>
          <w:rStyle w:val="FootnoteReference"/>
        </w:rPr>
        <w:footnoteRef/>
      </w:r>
      <w:r>
        <w:t xml:space="preserve"> </w:t>
      </w:r>
      <w:r w:rsidR="00094D2B" w:rsidRPr="00094D2B">
        <w:t xml:space="preserve">Grajetzki, W. (2003). Burial customs in ancient </w:t>
      </w:r>
      <w:r w:rsidR="00053A86" w:rsidRPr="00094D2B">
        <w:t>Egypt</w:t>
      </w:r>
      <w:r w:rsidR="00053A86" w:rsidRPr="00094D2B">
        <w:rPr>
          <w:rFonts w:ascii="Arial" w:hAnsi="Arial" w:cs="Arial"/>
        </w:rPr>
        <w:t>:</w:t>
      </w:r>
      <w:r w:rsidR="00094D2B" w:rsidRPr="00094D2B">
        <w:t xml:space="preserve"> life in death for rich and poor. </w:t>
      </w:r>
      <w:r w:rsidR="00094D2B">
        <w:t>P</w:t>
      </w:r>
      <w:r>
        <w:t>age vii</w:t>
      </w:r>
    </w:p>
  </w:footnote>
  <w:footnote w:id="10">
    <w:p w14:paraId="223FAE21" w14:textId="39654CAB" w:rsidR="00337435" w:rsidRDefault="00337435">
      <w:pPr>
        <w:pStyle w:val="FootnoteText"/>
      </w:pPr>
      <w:r>
        <w:rPr>
          <w:rStyle w:val="FootnoteReference"/>
        </w:rPr>
        <w:footnoteRef/>
      </w:r>
      <w:r w:rsidR="00094D2B">
        <w:t xml:space="preserve"> </w:t>
      </w:r>
      <w:r w:rsidR="00094D2B" w:rsidRPr="00094D2B">
        <w:t xml:space="preserve">Strudwick, N. (2016), Ed., The tomb of Pharaoh’s Chancellor Senneferi at Thebes (TT99) Volume </w:t>
      </w:r>
      <w:r w:rsidR="004711C2" w:rsidRPr="00094D2B">
        <w:t>I</w:t>
      </w:r>
      <w:r w:rsidR="004711C2" w:rsidRPr="00094D2B">
        <w:rPr>
          <w:rFonts w:ascii="Arial" w:hAnsi="Arial" w:cs="Arial"/>
        </w:rPr>
        <w:t>:</w:t>
      </w:r>
      <w:r w:rsidR="00094D2B" w:rsidRPr="00094D2B">
        <w:t xml:space="preserve"> the New Kingdom</w:t>
      </w:r>
    </w:p>
  </w:footnote>
  <w:footnote w:id="11">
    <w:p w14:paraId="754243BF" w14:textId="31D1CF1A" w:rsidR="00C23169" w:rsidRDefault="00C23169">
      <w:pPr>
        <w:pStyle w:val="FootnoteText"/>
      </w:pPr>
      <w:r>
        <w:rPr>
          <w:rStyle w:val="FootnoteReference"/>
        </w:rPr>
        <w:footnoteRef/>
      </w:r>
      <w:r w:rsidR="00094D2B">
        <w:t xml:space="preserve"> </w:t>
      </w:r>
      <w:r w:rsidR="00094D2B" w:rsidRPr="00094D2B">
        <w:t xml:space="preserve">Strudwick, N. (2016), Ed., The tomb of Pharaoh’s Chancellor Senneferi at Thebes (TT99) Volume </w:t>
      </w:r>
      <w:r w:rsidR="004711C2" w:rsidRPr="00094D2B">
        <w:t>I</w:t>
      </w:r>
      <w:r w:rsidR="004711C2" w:rsidRPr="00094D2B">
        <w:rPr>
          <w:rFonts w:ascii="Arial" w:hAnsi="Arial" w:cs="Arial"/>
        </w:rPr>
        <w:t>:</w:t>
      </w:r>
      <w:r w:rsidR="00094D2B" w:rsidRPr="00094D2B">
        <w:t xml:space="preserve"> the New Kingdom</w:t>
      </w:r>
    </w:p>
  </w:footnote>
  <w:footnote w:id="12">
    <w:p w14:paraId="1872D185" w14:textId="149ECABF" w:rsidR="007E26C2" w:rsidRDefault="007E26C2">
      <w:pPr>
        <w:pStyle w:val="FootnoteText"/>
      </w:pPr>
      <w:r>
        <w:rPr>
          <w:rStyle w:val="FootnoteReference"/>
        </w:rPr>
        <w:footnoteRef/>
      </w:r>
      <w:r>
        <w:t xml:space="preserve"> </w:t>
      </w:r>
      <w:r w:rsidR="00094D2B" w:rsidRPr="00094D2B">
        <w:t xml:space="preserve">Grajetzki, W. (2003). Burial customs in ancient </w:t>
      </w:r>
      <w:r w:rsidR="00053A86" w:rsidRPr="00094D2B">
        <w:t>Egypt</w:t>
      </w:r>
      <w:r w:rsidR="00053A86" w:rsidRPr="00094D2B">
        <w:rPr>
          <w:rFonts w:ascii="Arial" w:hAnsi="Arial" w:cs="Arial"/>
        </w:rPr>
        <w:t>:</w:t>
      </w:r>
      <w:r w:rsidR="00094D2B" w:rsidRPr="00094D2B">
        <w:t xml:space="preserve"> life in death for rich and poor</w:t>
      </w:r>
      <w:r w:rsidR="00094D2B">
        <w:t>. P</w:t>
      </w:r>
      <w:r>
        <w:t>age 15</w:t>
      </w:r>
    </w:p>
  </w:footnote>
  <w:footnote w:id="13">
    <w:p w14:paraId="5BAA7DA7" w14:textId="345C55B4" w:rsidR="00573989" w:rsidRDefault="00573989">
      <w:pPr>
        <w:pStyle w:val="FootnoteText"/>
      </w:pPr>
      <w:r>
        <w:rPr>
          <w:rStyle w:val="FootnoteReference"/>
        </w:rPr>
        <w:footnoteRef/>
      </w:r>
      <w:r>
        <w:t xml:space="preserve"> </w:t>
      </w:r>
      <w:r w:rsidR="00094D2B" w:rsidRPr="00094D2B">
        <w:t xml:space="preserve">Strudwick, N. (2016), Ed., The tomb of Pharaoh’s Chancellor Senneferi at Thebes (TT99) Volume </w:t>
      </w:r>
      <w:r w:rsidR="004711C2" w:rsidRPr="00094D2B">
        <w:t>I</w:t>
      </w:r>
      <w:r w:rsidR="004711C2" w:rsidRPr="00094D2B">
        <w:rPr>
          <w:rFonts w:ascii="Arial" w:hAnsi="Arial" w:cs="Arial"/>
        </w:rPr>
        <w:t>:</w:t>
      </w:r>
      <w:r w:rsidR="00094D2B" w:rsidRPr="00094D2B">
        <w:t xml:space="preserve"> the New Kingdom</w:t>
      </w:r>
    </w:p>
  </w:footnote>
  <w:footnote w:id="14">
    <w:p w14:paraId="6186BA08" w14:textId="4FE80BC2" w:rsidR="00D52DD2" w:rsidRDefault="00D52DD2">
      <w:pPr>
        <w:pStyle w:val="FootnoteText"/>
      </w:pPr>
      <w:r>
        <w:rPr>
          <w:rStyle w:val="FootnoteReference"/>
        </w:rPr>
        <w:footnoteRef/>
      </w:r>
      <w:r>
        <w:t xml:space="preserve"> </w:t>
      </w:r>
      <w:r w:rsidR="00094D2B" w:rsidRPr="00094D2B">
        <w:t xml:space="preserve">Grajetzki, W. (2003). Burial customs in ancient </w:t>
      </w:r>
      <w:r w:rsidR="00053A86" w:rsidRPr="00094D2B">
        <w:t>Egypt</w:t>
      </w:r>
      <w:r w:rsidR="00053A86" w:rsidRPr="00094D2B">
        <w:rPr>
          <w:rFonts w:ascii="Arial" w:hAnsi="Arial" w:cs="Arial"/>
        </w:rPr>
        <w:t>:</w:t>
      </w:r>
      <w:r w:rsidR="00094D2B" w:rsidRPr="00094D2B">
        <w:t xml:space="preserve"> life in death for rich and poor</w:t>
      </w:r>
      <w:r w:rsidR="00053A86">
        <w:t>. P</w:t>
      </w:r>
      <w:r>
        <w:t>age 51</w:t>
      </w:r>
    </w:p>
  </w:footnote>
  <w:footnote w:id="15">
    <w:p w14:paraId="13958AAA" w14:textId="22BA7069" w:rsidR="00A6325C" w:rsidRDefault="00A6325C">
      <w:pPr>
        <w:pStyle w:val="FootnoteText"/>
      </w:pPr>
      <w:r>
        <w:rPr>
          <w:rStyle w:val="FootnoteReference"/>
        </w:rPr>
        <w:footnoteRef/>
      </w:r>
      <w:r>
        <w:t xml:space="preserve"> </w:t>
      </w:r>
      <w:r w:rsidR="00053A86" w:rsidRPr="00053A86">
        <w:t xml:space="preserve">Grajetzki, W. (2003). Burial customs in ancient </w:t>
      </w:r>
      <w:r w:rsidR="00053A86" w:rsidRPr="00053A86">
        <w:t>Egypt</w:t>
      </w:r>
      <w:r w:rsidR="00053A86" w:rsidRPr="00053A86">
        <w:rPr>
          <w:rFonts w:ascii="Arial" w:hAnsi="Arial" w:cs="Arial"/>
        </w:rPr>
        <w:t>:</w:t>
      </w:r>
      <w:r w:rsidR="00053A86" w:rsidRPr="00053A86">
        <w:t xml:space="preserve"> life in death for rich and poor</w:t>
      </w:r>
      <w:r w:rsidR="00053A86">
        <w:t>. P</w:t>
      </w:r>
      <w:r>
        <w:t>age 101</w:t>
      </w:r>
    </w:p>
  </w:footnote>
  <w:footnote w:id="16">
    <w:p w14:paraId="040FD1B4" w14:textId="636ACCB9" w:rsidR="00AF3D81" w:rsidRDefault="00AF3D81">
      <w:pPr>
        <w:pStyle w:val="FootnoteText"/>
      </w:pPr>
      <w:r>
        <w:rPr>
          <w:rStyle w:val="FootnoteReference"/>
        </w:rPr>
        <w:footnoteRef/>
      </w:r>
      <w:r>
        <w:t xml:space="preserve"> </w:t>
      </w:r>
      <w:r w:rsidR="004711C2" w:rsidRPr="004711C2">
        <w:t>Taylor, J. H. (2001</w:t>
      </w:r>
      <w:r w:rsidR="004711C2" w:rsidRPr="004711C2">
        <w:t>),</w:t>
      </w:r>
      <w:r w:rsidR="004711C2" w:rsidRPr="004711C2">
        <w:t xml:space="preserve"> Death and the afterlife in ancient Egypt</w:t>
      </w:r>
      <w:r w:rsidR="004711C2">
        <w:t>. Pa</w:t>
      </w:r>
      <w:r>
        <w:t>ges 7 and 13</w:t>
      </w:r>
    </w:p>
  </w:footnote>
  <w:footnote w:id="17">
    <w:p w14:paraId="1FCC67F5" w14:textId="55840F98" w:rsidR="00D22DF2" w:rsidRDefault="00D22DF2">
      <w:pPr>
        <w:pStyle w:val="FootnoteText"/>
      </w:pPr>
      <w:r>
        <w:rPr>
          <w:rStyle w:val="FootnoteReference"/>
        </w:rPr>
        <w:footnoteRef/>
      </w:r>
      <w:r w:rsidR="00053A86">
        <w:t xml:space="preserve"> </w:t>
      </w:r>
      <w:r w:rsidR="00053A86" w:rsidRPr="00053A86">
        <w:t xml:space="preserve">Grajetzki, W. (2003). Burial customs in ancient </w:t>
      </w:r>
      <w:r w:rsidR="00053A86" w:rsidRPr="00053A86">
        <w:t>Egypt</w:t>
      </w:r>
      <w:r w:rsidR="00053A86" w:rsidRPr="00053A86">
        <w:rPr>
          <w:rFonts w:ascii="Arial" w:hAnsi="Arial" w:cs="Arial"/>
        </w:rPr>
        <w:t>:</w:t>
      </w:r>
      <w:r w:rsidR="00053A86" w:rsidRPr="00053A86">
        <w:t xml:space="preserve"> life in death for rich and poor</w:t>
      </w:r>
      <w:r w:rsidR="00053A86">
        <w:t>. P</w:t>
      </w:r>
      <w:r>
        <w:t>age 31</w:t>
      </w:r>
    </w:p>
  </w:footnote>
  <w:footnote w:id="18">
    <w:p w14:paraId="51B68A25" w14:textId="04E043A1" w:rsidR="000A5794" w:rsidRDefault="000A5794">
      <w:pPr>
        <w:pStyle w:val="FootnoteText"/>
      </w:pPr>
      <w:r>
        <w:rPr>
          <w:rStyle w:val="FootnoteReference"/>
        </w:rPr>
        <w:footnoteRef/>
      </w:r>
      <w:r>
        <w:t xml:space="preserve"> </w:t>
      </w:r>
      <w:r w:rsidR="00094D2B" w:rsidRPr="00094D2B">
        <w:t>The tomb of Senneferi at Luxor in Egypt’, The tomb of Senneferi at Luxor in Egypt, n.d., &lt;https://tt99.fitz.ms/index.html&gt; [accessed 11 March 2026]</w:t>
      </w:r>
    </w:p>
  </w:footnote>
  <w:footnote w:id="19">
    <w:p w14:paraId="4DAB8A91" w14:textId="776BA03F" w:rsidR="0017669F" w:rsidRDefault="0017669F">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20">
    <w:p w14:paraId="5928603F" w14:textId="297A5BB4" w:rsidR="00AE771D" w:rsidRDefault="00AE771D">
      <w:pPr>
        <w:pStyle w:val="FootnoteText"/>
      </w:pPr>
      <w:r>
        <w:rPr>
          <w:rStyle w:val="FootnoteReference"/>
        </w:rPr>
        <w:footnoteRef/>
      </w:r>
      <w:r w:rsidR="00053A86">
        <w:t xml:space="preserve"> </w:t>
      </w:r>
      <w:r w:rsidR="00053A86" w:rsidRPr="00053A86">
        <w:t xml:space="preserve">Grajetzki, W. (2003). Burial customs in ancient </w:t>
      </w:r>
      <w:r w:rsidR="00053A86" w:rsidRPr="00053A86">
        <w:t>Egypt</w:t>
      </w:r>
      <w:r w:rsidR="00053A86" w:rsidRPr="00053A86">
        <w:rPr>
          <w:rFonts w:ascii="Arial" w:hAnsi="Arial" w:cs="Arial"/>
        </w:rPr>
        <w:t>:</w:t>
      </w:r>
      <w:r w:rsidR="00053A86" w:rsidRPr="00053A86">
        <w:t xml:space="preserve"> life in death for rich and poor</w:t>
      </w:r>
      <w:r w:rsidR="00053A86">
        <w:t xml:space="preserve">. Page </w:t>
      </w:r>
      <w:r w:rsidR="00EE3220">
        <w:t>27</w:t>
      </w:r>
    </w:p>
  </w:footnote>
  <w:footnote w:id="21">
    <w:p w14:paraId="24D8A96C" w14:textId="354169AB" w:rsidR="00FA6163" w:rsidRDefault="00FA6163">
      <w:pPr>
        <w:pStyle w:val="FootnoteText"/>
      </w:pPr>
      <w:r>
        <w:rPr>
          <w:rStyle w:val="FootnoteReference"/>
        </w:rPr>
        <w:footnoteRef/>
      </w:r>
      <w:r w:rsidR="00053A86" w:rsidRPr="00053A86">
        <w:t xml:space="preserve">Grajetzki, W. (2003). Burial customs in ancient </w:t>
      </w:r>
      <w:r w:rsidR="00053A86" w:rsidRPr="00053A86">
        <w:t>Egypt</w:t>
      </w:r>
      <w:r w:rsidR="00053A86" w:rsidRPr="00053A86">
        <w:rPr>
          <w:rFonts w:ascii="Arial" w:hAnsi="Arial" w:cs="Arial"/>
        </w:rPr>
        <w:t>:</w:t>
      </w:r>
      <w:r w:rsidR="00053A86" w:rsidRPr="00053A86">
        <w:t xml:space="preserve"> life in death for rich and poor</w:t>
      </w:r>
      <w:r w:rsidR="00053A86">
        <w:t>. Page</w:t>
      </w:r>
      <w:r>
        <w:t xml:space="preserve"> 49</w:t>
      </w:r>
    </w:p>
  </w:footnote>
  <w:footnote w:id="22">
    <w:p w14:paraId="1B2D0756" w14:textId="7D79C75C" w:rsidR="00BE0CCF" w:rsidRDefault="00BE0CCF">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23">
    <w:p w14:paraId="578A5BB9" w14:textId="4DD177C2" w:rsidR="00002262" w:rsidRDefault="00002262" w:rsidP="009D5D12">
      <w:pPr>
        <w:pStyle w:val="FootnoteText"/>
        <w:tabs>
          <w:tab w:val="left" w:pos="917"/>
        </w:tabs>
      </w:pPr>
      <w:r>
        <w:rPr>
          <w:rStyle w:val="FootnoteReference"/>
        </w:rPr>
        <w:footnoteRef/>
      </w:r>
      <w:r>
        <w:t xml:space="preserve"> </w:t>
      </w:r>
      <w:r w:rsidR="009D5D12" w:rsidRPr="009D5D12">
        <w:t>‘The tomb of Senneferi at Luxor in Egypt’, The tomb of Senneferi at Luxor in Egypt, n.d., &lt;https://tt99.fitz.ms/index.html&gt; [accessed 11 March 2026]</w:t>
      </w:r>
    </w:p>
  </w:footnote>
  <w:footnote w:id="24">
    <w:p w14:paraId="4EB50D1D" w14:textId="546FA72B" w:rsidR="00444A3D" w:rsidRDefault="00444A3D">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25">
    <w:p w14:paraId="61EDEE31" w14:textId="1058FC92" w:rsidR="00205F8B" w:rsidRDefault="00205F8B">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26">
    <w:p w14:paraId="270DB199" w14:textId="2A731EA0" w:rsidR="00CF4856" w:rsidRDefault="00CF4856">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27">
    <w:p w14:paraId="79FBAEB6" w14:textId="6032BC4D" w:rsidR="003559E1" w:rsidRDefault="003559E1">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28">
    <w:p w14:paraId="0EA0911A" w14:textId="56B3B1A4" w:rsidR="00380985" w:rsidRDefault="00380985">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29">
    <w:p w14:paraId="6AFA19C8" w14:textId="50E1811C" w:rsidR="00A81799" w:rsidRDefault="00A81799">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30">
    <w:p w14:paraId="1B1C4155" w14:textId="2D58C65D" w:rsidR="00B83490" w:rsidRDefault="00B83490">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 w:id="31">
    <w:p w14:paraId="192AB638" w14:textId="0E2E2783" w:rsidR="00086246" w:rsidRDefault="00086246">
      <w:pPr>
        <w:pStyle w:val="FootnoteText"/>
      </w:pPr>
      <w:r>
        <w:rPr>
          <w:rStyle w:val="FootnoteReference"/>
        </w:rPr>
        <w:footnoteRef/>
      </w:r>
      <w:r>
        <w:t xml:space="preserve"> </w:t>
      </w:r>
      <w:r w:rsidR="00094D2B" w:rsidRPr="00094D2B">
        <w:t xml:space="preserve">Strudwick, N. (2016), Ed., The tomb of Pharaoh’s Chancellor Senneferi at Thebes (TT99) Volume </w:t>
      </w:r>
      <w:r w:rsidR="009C0FC5" w:rsidRPr="00094D2B">
        <w:t>I</w:t>
      </w:r>
      <w:r w:rsidR="009C0FC5" w:rsidRPr="00094D2B">
        <w:rPr>
          <w:rFonts w:ascii="Arial" w:hAnsi="Arial" w:cs="Arial"/>
        </w:rPr>
        <w:t>:</w:t>
      </w:r>
      <w:r w:rsidR="00094D2B" w:rsidRPr="00094D2B">
        <w:t xml:space="preserve"> the New Kingdom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09A"/>
    <w:rsid w:val="00000236"/>
    <w:rsid w:val="00002262"/>
    <w:rsid w:val="0001406B"/>
    <w:rsid w:val="00035040"/>
    <w:rsid w:val="00053A86"/>
    <w:rsid w:val="00060906"/>
    <w:rsid w:val="0008266F"/>
    <w:rsid w:val="00086246"/>
    <w:rsid w:val="0009056A"/>
    <w:rsid w:val="00094D2B"/>
    <w:rsid w:val="000A4CA4"/>
    <w:rsid w:val="000A5794"/>
    <w:rsid w:val="000B0ABF"/>
    <w:rsid w:val="000B1E70"/>
    <w:rsid w:val="000B71F9"/>
    <w:rsid w:val="000C3377"/>
    <w:rsid w:val="000D3183"/>
    <w:rsid w:val="000D69EF"/>
    <w:rsid w:val="000E3FE0"/>
    <w:rsid w:val="000E6891"/>
    <w:rsid w:val="000E69DD"/>
    <w:rsid w:val="000F371B"/>
    <w:rsid w:val="001075B1"/>
    <w:rsid w:val="00107CE5"/>
    <w:rsid w:val="00110067"/>
    <w:rsid w:val="00112014"/>
    <w:rsid w:val="001220B3"/>
    <w:rsid w:val="00124183"/>
    <w:rsid w:val="00125DDE"/>
    <w:rsid w:val="001338B5"/>
    <w:rsid w:val="001378F3"/>
    <w:rsid w:val="0014396C"/>
    <w:rsid w:val="00143FCC"/>
    <w:rsid w:val="00144F40"/>
    <w:rsid w:val="0016642C"/>
    <w:rsid w:val="0017669F"/>
    <w:rsid w:val="00191946"/>
    <w:rsid w:val="001A51DE"/>
    <w:rsid w:val="001B3BD5"/>
    <w:rsid w:val="001B5C35"/>
    <w:rsid w:val="001D118F"/>
    <w:rsid w:val="001E3493"/>
    <w:rsid w:val="00202F61"/>
    <w:rsid w:val="00205F8B"/>
    <w:rsid w:val="00210956"/>
    <w:rsid w:val="00224672"/>
    <w:rsid w:val="0023257E"/>
    <w:rsid w:val="00243C68"/>
    <w:rsid w:val="002555F4"/>
    <w:rsid w:val="002642AA"/>
    <w:rsid w:val="00273F21"/>
    <w:rsid w:val="00292F2C"/>
    <w:rsid w:val="002A60C7"/>
    <w:rsid w:val="002D6168"/>
    <w:rsid w:val="002E0981"/>
    <w:rsid w:val="002F3913"/>
    <w:rsid w:val="002F3B02"/>
    <w:rsid w:val="002F7B2F"/>
    <w:rsid w:val="003026C4"/>
    <w:rsid w:val="003205BD"/>
    <w:rsid w:val="00333295"/>
    <w:rsid w:val="00337435"/>
    <w:rsid w:val="003559E1"/>
    <w:rsid w:val="00362F46"/>
    <w:rsid w:val="0036409D"/>
    <w:rsid w:val="00380985"/>
    <w:rsid w:val="00391223"/>
    <w:rsid w:val="00391F40"/>
    <w:rsid w:val="003B4697"/>
    <w:rsid w:val="003B7944"/>
    <w:rsid w:val="003C0770"/>
    <w:rsid w:val="003D2B4B"/>
    <w:rsid w:val="003E24A0"/>
    <w:rsid w:val="00411024"/>
    <w:rsid w:val="00413AC1"/>
    <w:rsid w:val="00422D71"/>
    <w:rsid w:val="00440806"/>
    <w:rsid w:val="004426FD"/>
    <w:rsid w:val="00443A99"/>
    <w:rsid w:val="00444A3D"/>
    <w:rsid w:val="00446DE0"/>
    <w:rsid w:val="0045021A"/>
    <w:rsid w:val="0045666C"/>
    <w:rsid w:val="00460865"/>
    <w:rsid w:val="004711C2"/>
    <w:rsid w:val="00472A11"/>
    <w:rsid w:val="004775FE"/>
    <w:rsid w:val="004863A6"/>
    <w:rsid w:val="00491E94"/>
    <w:rsid w:val="00495F4E"/>
    <w:rsid w:val="004A2D22"/>
    <w:rsid w:val="004A3114"/>
    <w:rsid w:val="004A7432"/>
    <w:rsid w:val="004B5400"/>
    <w:rsid w:val="004C1426"/>
    <w:rsid w:val="004C2B59"/>
    <w:rsid w:val="004D36DF"/>
    <w:rsid w:val="004D5F92"/>
    <w:rsid w:val="004E1686"/>
    <w:rsid w:val="004E5D80"/>
    <w:rsid w:val="004F2D9D"/>
    <w:rsid w:val="004F4C6E"/>
    <w:rsid w:val="00506AC9"/>
    <w:rsid w:val="00545A60"/>
    <w:rsid w:val="00546EF7"/>
    <w:rsid w:val="00554D47"/>
    <w:rsid w:val="0055555B"/>
    <w:rsid w:val="00555C12"/>
    <w:rsid w:val="00567037"/>
    <w:rsid w:val="00573989"/>
    <w:rsid w:val="005A2B01"/>
    <w:rsid w:val="005A4CDB"/>
    <w:rsid w:val="005C2CFA"/>
    <w:rsid w:val="005E4F96"/>
    <w:rsid w:val="005F0448"/>
    <w:rsid w:val="005F507E"/>
    <w:rsid w:val="005F56BE"/>
    <w:rsid w:val="00603DE7"/>
    <w:rsid w:val="00607CD7"/>
    <w:rsid w:val="00627BCF"/>
    <w:rsid w:val="00632F46"/>
    <w:rsid w:val="00636B14"/>
    <w:rsid w:val="006457DA"/>
    <w:rsid w:val="006462FC"/>
    <w:rsid w:val="006512C1"/>
    <w:rsid w:val="0065612E"/>
    <w:rsid w:val="006612BA"/>
    <w:rsid w:val="00666619"/>
    <w:rsid w:val="00667B7D"/>
    <w:rsid w:val="00680E8A"/>
    <w:rsid w:val="00682A01"/>
    <w:rsid w:val="006A66D8"/>
    <w:rsid w:val="006B43F4"/>
    <w:rsid w:val="006E43BF"/>
    <w:rsid w:val="006F2033"/>
    <w:rsid w:val="007064F1"/>
    <w:rsid w:val="007278AF"/>
    <w:rsid w:val="00741DC4"/>
    <w:rsid w:val="00757D3C"/>
    <w:rsid w:val="00765D79"/>
    <w:rsid w:val="00794FA1"/>
    <w:rsid w:val="00797885"/>
    <w:rsid w:val="007B37BF"/>
    <w:rsid w:val="007B4CAF"/>
    <w:rsid w:val="007B5381"/>
    <w:rsid w:val="007B6EBF"/>
    <w:rsid w:val="007D484B"/>
    <w:rsid w:val="007E26C2"/>
    <w:rsid w:val="007F4FF4"/>
    <w:rsid w:val="007F534E"/>
    <w:rsid w:val="008047B8"/>
    <w:rsid w:val="00823934"/>
    <w:rsid w:val="00842194"/>
    <w:rsid w:val="00846097"/>
    <w:rsid w:val="00860AF7"/>
    <w:rsid w:val="0087218C"/>
    <w:rsid w:val="00877DA8"/>
    <w:rsid w:val="00891EEB"/>
    <w:rsid w:val="00892D94"/>
    <w:rsid w:val="0089422E"/>
    <w:rsid w:val="0089626F"/>
    <w:rsid w:val="008A1323"/>
    <w:rsid w:val="008A19ED"/>
    <w:rsid w:val="008A2E93"/>
    <w:rsid w:val="008A64BB"/>
    <w:rsid w:val="008B520C"/>
    <w:rsid w:val="008C1B7D"/>
    <w:rsid w:val="008C21FF"/>
    <w:rsid w:val="008D72C0"/>
    <w:rsid w:val="008E73F0"/>
    <w:rsid w:val="008F0493"/>
    <w:rsid w:val="009038E0"/>
    <w:rsid w:val="00910126"/>
    <w:rsid w:val="00910D4D"/>
    <w:rsid w:val="009161B6"/>
    <w:rsid w:val="00920773"/>
    <w:rsid w:val="009347F7"/>
    <w:rsid w:val="009358DF"/>
    <w:rsid w:val="009367DD"/>
    <w:rsid w:val="009430CA"/>
    <w:rsid w:val="00967B46"/>
    <w:rsid w:val="009713C6"/>
    <w:rsid w:val="00972BA5"/>
    <w:rsid w:val="00985486"/>
    <w:rsid w:val="0099040C"/>
    <w:rsid w:val="00997C17"/>
    <w:rsid w:val="009A0A95"/>
    <w:rsid w:val="009A5709"/>
    <w:rsid w:val="009C0FC5"/>
    <w:rsid w:val="009D1597"/>
    <w:rsid w:val="009D5D12"/>
    <w:rsid w:val="009F1CF2"/>
    <w:rsid w:val="00A01BA4"/>
    <w:rsid w:val="00A02620"/>
    <w:rsid w:val="00A07080"/>
    <w:rsid w:val="00A228FD"/>
    <w:rsid w:val="00A25A28"/>
    <w:rsid w:val="00A30972"/>
    <w:rsid w:val="00A31D56"/>
    <w:rsid w:val="00A47C16"/>
    <w:rsid w:val="00A47CF7"/>
    <w:rsid w:val="00A6325C"/>
    <w:rsid w:val="00A64D7E"/>
    <w:rsid w:val="00A75C3A"/>
    <w:rsid w:val="00A75D5F"/>
    <w:rsid w:val="00A81799"/>
    <w:rsid w:val="00A83F1B"/>
    <w:rsid w:val="00A93F83"/>
    <w:rsid w:val="00AA319A"/>
    <w:rsid w:val="00AC2FBD"/>
    <w:rsid w:val="00AC7A50"/>
    <w:rsid w:val="00AD557E"/>
    <w:rsid w:val="00AE0E64"/>
    <w:rsid w:val="00AE771D"/>
    <w:rsid w:val="00AE7B40"/>
    <w:rsid w:val="00AF3D81"/>
    <w:rsid w:val="00AF409A"/>
    <w:rsid w:val="00B04D5B"/>
    <w:rsid w:val="00B04FDA"/>
    <w:rsid w:val="00B11140"/>
    <w:rsid w:val="00B12C41"/>
    <w:rsid w:val="00B36FBA"/>
    <w:rsid w:val="00B37A5A"/>
    <w:rsid w:val="00B42B72"/>
    <w:rsid w:val="00B452CC"/>
    <w:rsid w:val="00B47EF1"/>
    <w:rsid w:val="00B5658B"/>
    <w:rsid w:val="00B62CA6"/>
    <w:rsid w:val="00B6391A"/>
    <w:rsid w:val="00B63E62"/>
    <w:rsid w:val="00B83490"/>
    <w:rsid w:val="00B84148"/>
    <w:rsid w:val="00B86F06"/>
    <w:rsid w:val="00B95ED8"/>
    <w:rsid w:val="00B96AD1"/>
    <w:rsid w:val="00BD7B55"/>
    <w:rsid w:val="00BE0CCF"/>
    <w:rsid w:val="00BE547F"/>
    <w:rsid w:val="00C07CA2"/>
    <w:rsid w:val="00C1524F"/>
    <w:rsid w:val="00C2058F"/>
    <w:rsid w:val="00C21693"/>
    <w:rsid w:val="00C23169"/>
    <w:rsid w:val="00C2571B"/>
    <w:rsid w:val="00C309D0"/>
    <w:rsid w:val="00C34898"/>
    <w:rsid w:val="00C40E0C"/>
    <w:rsid w:val="00C41CE1"/>
    <w:rsid w:val="00C57719"/>
    <w:rsid w:val="00C747C2"/>
    <w:rsid w:val="00C75E66"/>
    <w:rsid w:val="00C86861"/>
    <w:rsid w:val="00C93296"/>
    <w:rsid w:val="00CA09A4"/>
    <w:rsid w:val="00CA4536"/>
    <w:rsid w:val="00CA4B54"/>
    <w:rsid w:val="00CA640E"/>
    <w:rsid w:val="00CA72B6"/>
    <w:rsid w:val="00CB255A"/>
    <w:rsid w:val="00CC0F1E"/>
    <w:rsid w:val="00CD5EEB"/>
    <w:rsid w:val="00CF3D50"/>
    <w:rsid w:val="00CF4856"/>
    <w:rsid w:val="00D02BBD"/>
    <w:rsid w:val="00D0766A"/>
    <w:rsid w:val="00D22DF2"/>
    <w:rsid w:val="00D26703"/>
    <w:rsid w:val="00D271D6"/>
    <w:rsid w:val="00D32F55"/>
    <w:rsid w:val="00D33666"/>
    <w:rsid w:val="00D413C5"/>
    <w:rsid w:val="00D52DD2"/>
    <w:rsid w:val="00D769C6"/>
    <w:rsid w:val="00D9093B"/>
    <w:rsid w:val="00DB35E7"/>
    <w:rsid w:val="00DD477D"/>
    <w:rsid w:val="00DD585D"/>
    <w:rsid w:val="00DE57C7"/>
    <w:rsid w:val="00E06C11"/>
    <w:rsid w:val="00E23E7E"/>
    <w:rsid w:val="00E43DCE"/>
    <w:rsid w:val="00E473F9"/>
    <w:rsid w:val="00E50EF5"/>
    <w:rsid w:val="00E71C56"/>
    <w:rsid w:val="00E77775"/>
    <w:rsid w:val="00E90A28"/>
    <w:rsid w:val="00E91D19"/>
    <w:rsid w:val="00EA0BFF"/>
    <w:rsid w:val="00EA7D25"/>
    <w:rsid w:val="00EB7190"/>
    <w:rsid w:val="00EC1E00"/>
    <w:rsid w:val="00ED63FF"/>
    <w:rsid w:val="00EE3220"/>
    <w:rsid w:val="00EE547D"/>
    <w:rsid w:val="00EF5EB4"/>
    <w:rsid w:val="00F03F1C"/>
    <w:rsid w:val="00F11391"/>
    <w:rsid w:val="00F146BA"/>
    <w:rsid w:val="00F1471A"/>
    <w:rsid w:val="00F3694A"/>
    <w:rsid w:val="00F67BD1"/>
    <w:rsid w:val="00F860DA"/>
    <w:rsid w:val="00F86289"/>
    <w:rsid w:val="00F86516"/>
    <w:rsid w:val="00F92A26"/>
    <w:rsid w:val="00F9500B"/>
    <w:rsid w:val="00FA48A1"/>
    <w:rsid w:val="00FA6163"/>
    <w:rsid w:val="00FB16D8"/>
    <w:rsid w:val="00FC1959"/>
    <w:rsid w:val="00FC2F8E"/>
    <w:rsid w:val="00FC7393"/>
    <w:rsid w:val="00FE10B6"/>
    <w:rsid w:val="00FE317F"/>
    <w:rsid w:val="00FE5B9C"/>
    <w:rsid w:val="00FE775E"/>
    <w:rsid w:val="00FF4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49D165"/>
  <w15:chartTrackingRefBased/>
  <w15:docId w15:val="{678CD72A-B135-45A6-AF50-599F2D861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0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0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0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0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0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0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0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0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0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0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0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0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0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0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0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0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0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09A"/>
    <w:rPr>
      <w:rFonts w:eastAsiaTheme="majorEastAsia" w:cstheme="majorBidi"/>
      <w:color w:val="272727" w:themeColor="text1" w:themeTint="D8"/>
    </w:rPr>
  </w:style>
  <w:style w:type="paragraph" w:styleId="Title">
    <w:name w:val="Title"/>
    <w:basedOn w:val="Normal"/>
    <w:next w:val="Normal"/>
    <w:link w:val="TitleChar"/>
    <w:uiPriority w:val="10"/>
    <w:qFormat/>
    <w:rsid w:val="00AF40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0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0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0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09A"/>
    <w:pPr>
      <w:spacing w:before="160"/>
      <w:jc w:val="center"/>
    </w:pPr>
    <w:rPr>
      <w:i/>
      <w:iCs/>
      <w:color w:val="404040" w:themeColor="text1" w:themeTint="BF"/>
    </w:rPr>
  </w:style>
  <w:style w:type="character" w:customStyle="1" w:styleId="QuoteChar">
    <w:name w:val="Quote Char"/>
    <w:basedOn w:val="DefaultParagraphFont"/>
    <w:link w:val="Quote"/>
    <w:uiPriority w:val="29"/>
    <w:rsid w:val="00AF409A"/>
    <w:rPr>
      <w:i/>
      <w:iCs/>
      <w:color w:val="404040" w:themeColor="text1" w:themeTint="BF"/>
    </w:rPr>
  </w:style>
  <w:style w:type="paragraph" w:styleId="ListParagraph">
    <w:name w:val="List Paragraph"/>
    <w:basedOn w:val="Normal"/>
    <w:uiPriority w:val="34"/>
    <w:qFormat/>
    <w:rsid w:val="00AF409A"/>
    <w:pPr>
      <w:ind w:left="720"/>
      <w:contextualSpacing/>
    </w:pPr>
  </w:style>
  <w:style w:type="character" w:styleId="IntenseEmphasis">
    <w:name w:val="Intense Emphasis"/>
    <w:basedOn w:val="DefaultParagraphFont"/>
    <w:uiPriority w:val="21"/>
    <w:qFormat/>
    <w:rsid w:val="00AF409A"/>
    <w:rPr>
      <w:i/>
      <w:iCs/>
      <w:color w:val="0F4761" w:themeColor="accent1" w:themeShade="BF"/>
    </w:rPr>
  </w:style>
  <w:style w:type="paragraph" w:styleId="IntenseQuote">
    <w:name w:val="Intense Quote"/>
    <w:basedOn w:val="Normal"/>
    <w:next w:val="Normal"/>
    <w:link w:val="IntenseQuoteChar"/>
    <w:uiPriority w:val="30"/>
    <w:qFormat/>
    <w:rsid w:val="00AF40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09A"/>
    <w:rPr>
      <w:i/>
      <w:iCs/>
      <w:color w:val="0F4761" w:themeColor="accent1" w:themeShade="BF"/>
    </w:rPr>
  </w:style>
  <w:style w:type="character" w:styleId="IntenseReference">
    <w:name w:val="Intense Reference"/>
    <w:basedOn w:val="DefaultParagraphFont"/>
    <w:uiPriority w:val="32"/>
    <w:qFormat/>
    <w:rsid w:val="00AF409A"/>
    <w:rPr>
      <w:b/>
      <w:bCs/>
      <w:smallCaps/>
      <w:color w:val="0F4761" w:themeColor="accent1" w:themeShade="BF"/>
      <w:spacing w:val="5"/>
    </w:rPr>
  </w:style>
  <w:style w:type="paragraph" w:styleId="FootnoteText">
    <w:name w:val="footnote text"/>
    <w:basedOn w:val="Normal"/>
    <w:link w:val="FootnoteTextChar"/>
    <w:uiPriority w:val="99"/>
    <w:semiHidden/>
    <w:unhideWhenUsed/>
    <w:rsid w:val="00491E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1E94"/>
    <w:rPr>
      <w:sz w:val="20"/>
      <w:szCs w:val="20"/>
    </w:rPr>
  </w:style>
  <w:style w:type="character" w:styleId="FootnoteReference">
    <w:name w:val="footnote reference"/>
    <w:basedOn w:val="DefaultParagraphFont"/>
    <w:uiPriority w:val="99"/>
    <w:semiHidden/>
    <w:unhideWhenUsed/>
    <w:rsid w:val="00491E94"/>
    <w:rPr>
      <w:vertAlign w:val="superscript"/>
    </w:rPr>
  </w:style>
  <w:style w:type="character" w:styleId="Hyperlink">
    <w:name w:val="Hyperlink"/>
    <w:basedOn w:val="DefaultParagraphFont"/>
    <w:uiPriority w:val="99"/>
    <w:unhideWhenUsed/>
    <w:rsid w:val="00D26703"/>
    <w:rPr>
      <w:color w:val="467886" w:themeColor="hyperlink"/>
      <w:u w:val="single"/>
    </w:rPr>
  </w:style>
  <w:style w:type="character" w:styleId="UnresolvedMention">
    <w:name w:val="Unresolved Mention"/>
    <w:basedOn w:val="DefaultParagraphFont"/>
    <w:uiPriority w:val="99"/>
    <w:semiHidden/>
    <w:unhideWhenUsed/>
    <w:rsid w:val="00D26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b2afc591fd09aa6907c0d70a09bc2b4">
  <xsd:schema xmlns:xsd="http://www.w3.org/2001/XMLSchema" xmlns:xs="http://www.w3.org/2001/XMLSchema" xmlns:p="http://schemas.microsoft.com/office/2006/metadata/properties" xmlns:ns3="0085e1a2-9cbf-4b92-866b-21f3c89040b6" targetNamespace="http://schemas.microsoft.com/office/2006/metadata/properties" ma:root="true" ma:fieldsID="b12d06c91831a0146968f4e6b1954d1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2F05497-073D-4A20-9A0E-07950CF6AA48}">
  <ds:schemaRefs>
    <ds:schemaRef ds:uri="http://schemas.openxmlformats.org/officeDocument/2006/bibliography"/>
  </ds:schemaRefs>
</ds:datastoreItem>
</file>

<file path=customXml/itemProps2.xml><?xml version="1.0" encoding="utf-8"?>
<ds:datastoreItem xmlns:ds="http://schemas.openxmlformats.org/officeDocument/2006/customXml" ds:itemID="{7F68101A-525C-48A1-8245-BB1A57EC2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AA8321-E0AA-42EC-A0A5-007F58D32445}">
  <ds:schemaRefs>
    <ds:schemaRef ds:uri="http://schemas.microsoft.com/sharepoint/v3/contenttype/forms"/>
  </ds:schemaRefs>
</ds:datastoreItem>
</file>

<file path=customXml/itemProps4.xml><?xml version="1.0" encoding="utf-8"?>
<ds:datastoreItem xmlns:ds="http://schemas.openxmlformats.org/officeDocument/2006/customXml" ds:itemID="{B618B805-5CF0-4B0B-BE17-5928D49471F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5</Pages>
  <Words>2024</Words>
  <Characters>9963</Characters>
  <Application>Microsoft Office Word</Application>
  <DocSecurity>0</DocSecurity>
  <Lines>140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342</cp:revision>
  <dcterms:created xsi:type="dcterms:W3CDTF">2026-03-02T14:21:00Z</dcterms:created>
  <dcterms:modified xsi:type="dcterms:W3CDTF">2026-03-12T14:03:00Z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