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ms-office.chartstyle+xml" PartName="/word/charts/style1.xml"/>
  <Override ContentType="application/vnd.ms-office.chartstyle+xml" PartName="/word/charts/style2.xml"/>
  <Override ContentType="application/vnd.openxmlformats-package.core-properties+xml" PartName="/docProps/core.xml"/>
  <Override ContentType="application/vnd.ms-office.chartcolorstyle+xml" PartName="/word/charts/colors2.xml"/>
  <Override ContentType="application/vnd.ms-office.chartcolorstyle+xml" PartName="/word/charts/colors1.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drawingml.chart+xml" PartName="/word/charts/chart2.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Pr>
        <w:drawing>
          <wp:inline distB="114300" distT="114300" distL="114300" distR="114300">
            <wp:extent cx="2857500" cy="571500"/>
            <wp:effectExtent b="0" l="0" r="0" t="0"/>
            <wp:docPr id="2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85750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40"/>
          <w:szCs w:val="40"/>
          <w:u w:val="single"/>
        </w:rPr>
      </w:pPr>
      <w:r w:rsidDel="00000000" w:rsidR="00000000" w:rsidRPr="00000000">
        <w:rPr>
          <w:rFonts w:ascii="Times New Roman" w:cs="Times New Roman" w:eastAsia="Times New Roman" w:hAnsi="Times New Roman"/>
          <w:b w:val="1"/>
          <w:sz w:val="40"/>
          <w:szCs w:val="40"/>
          <w:u w:val="single"/>
          <w:rtl w:val="0"/>
        </w:rPr>
        <w:t xml:space="preserve">DIGITAL SKILLS AND RESEARCH METHODS</w:t>
      </w:r>
    </w:p>
    <w:p w:rsidR="00000000" w:rsidDel="00000000" w:rsidP="00000000" w:rsidRDefault="00000000" w:rsidRPr="00000000" w14:paraId="0000000B">
      <w:pPr>
        <w:numPr>
          <w:ilvl w:val="0"/>
          <w:numId w:val="1"/>
        </w:numPr>
        <w:spacing w:line="360" w:lineRule="auto"/>
        <w:ind w:left="720" w:hanging="360"/>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Part 2 -</w:t>
      </w:r>
    </w:p>
    <w:p w:rsidR="00000000" w:rsidDel="00000000" w:rsidP="00000000" w:rsidRDefault="00000000" w:rsidRPr="00000000" w14:paraId="0000000C">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Name: Eduard Neagu</w:t>
      </w:r>
    </w:p>
    <w:p w:rsidR="00000000" w:rsidDel="00000000" w:rsidP="00000000" w:rsidRDefault="00000000" w:rsidRPr="00000000" w14:paraId="00000010">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ID: 2110984</w:t>
      </w:r>
    </w:p>
    <w:p w:rsidR="00000000" w:rsidDel="00000000" w:rsidP="00000000" w:rsidRDefault="00000000" w:rsidRPr="00000000" w14:paraId="00000011">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Terkimbi Atonde &amp; Buddhi Pathak</w:t>
      </w:r>
    </w:p>
    <w:p w:rsidR="00000000" w:rsidDel="00000000" w:rsidP="00000000" w:rsidRDefault="00000000" w:rsidRPr="00000000" w14:paraId="0000001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DIKW AND CRAAP FRAMEWORK</w:t>
      </w:r>
      <w:r w:rsidDel="00000000" w:rsidR="00000000" w:rsidRPr="00000000">
        <w:br w:type="page"/>
      </w:r>
      <w:r w:rsidDel="00000000" w:rsidR="00000000" w:rsidRPr="00000000">
        <w:rPr>
          <w:rtl w:val="0"/>
        </w:rPr>
      </w:r>
    </w:p>
    <w:p w:rsidR="00000000" w:rsidDel="00000000" w:rsidP="00000000" w:rsidRDefault="00000000" w:rsidRPr="00000000" w14:paraId="00000014">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Angela Duckworth research</w:t>
      </w:r>
    </w:p>
    <w:p w:rsidR="00000000" w:rsidDel="00000000" w:rsidP="00000000" w:rsidRDefault="00000000" w:rsidRPr="00000000" w14:paraId="00000015">
      <w:pPr>
        <w:spacing w:line="48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5943600" cy="3343275"/>
            <wp:effectExtent b="0" l="0" r="0" t="0"/>
            <wp:docPr id="17"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Angela Duckworth is a researcher and a psychologist who has provided the world with research regarding the trades that helps in predicting achievement. According to research self-control and grit are the traits that can help in predicting achievement. According to her research work, it is important to have self-control and credit in an individual as it helps in sustaining efforts and interest towards achieving the long-term goals with the help of voluntary regulations of impulses and momentarily gratifying temptations. Her research defines great as a tendency to retain interest towards achieving the long-term goals and continue to put efforts.  On the other hand, she defines self-control as a voluntary regulation of impulses that helps in achieving the goals when momentary gratifying temptations are present. The great framework is important as it is a driver of achievement and success. The framework is independent and beyond what intelligence and talent contribute. With the help of the GRIT framework individuals are able to stick to the long-term actions and goals and thereby carry out hard work in order to meet the goals.</w:t>
      </w:r>
    </w:p>
    <w:p w:rsidR="00000000" w:rsidDel="00000000" w:rsidP="00000000" w:rsidRDefault="00000000" w:rsidRPr="00000000" w14:paraId="00000017">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Angela Duckworth research </w:t>
      </w:r>
    </w:p>
    <w:p w:rsidR="00000000" w:rsidDel="00000000" w:rsidP="00000000" w:rsidRDefault="00000000" w:rsidRPr="00000000" w14:paraId="00000018">
      <w:pPr>
        <w:spacing w:line="480" w:lineRule="auto"/>
        <w:jc w:val="both"/>
        <w:rPr>
          <w:rFonts w:ascii="Times New Roman" w:cs="Times New Roman" w:eastAsia="Times New Roman" w:hAnsi="Times New Roman"/>
          <w:b w:val="1"/>
          <w:sz w:val="24"/>
          <w:szCs w:val="24"/>
        </w:rPr>
      </w:pPr>
      <w:r w:rsidDel="00000000" w:rsidR="00000000" w:rsidRPr="00000000">
        <w:rPr/>
        <w:drawing>
          <wp:inline distB="0" distT="0" distL="0" distR="0">
            <wp:extent cx="5943600" cy="3343275"/>
            <wp:effectExtent b="0" l="0" r="0" t="0"/>
            <wp:docPr id="19"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research of Angela, Duckworth grit is passion and perseverance due to which cannot be measured. Grit can be defined as a passion and perseverance for achieving long term goals that cannot be measured. However, in order to understand the level of the grit of an individual they measured with the help of a grit scale. Grit scale is a type of skill that has been developed in the research which helps in measuring the extent to which a particular individual can remain focused and maintain the interest towards achieving the long term goals. There are two characteristics that are related to grit, self-control, and conscientiousness. There are two characteristics that are related to grit. The characteristics are conscientiousness and self-control. An individual who has higher self-control or high conscientiousness is considered to have high grit. The grit is used for the growth of mindset of human being. An individual with proper grid score is able to be tenacious and has the ability to persevere. Such individuals further have the capability of imputing greater effort as per the requirement. It can therefore be stated that grit helps an individual to build a person's ability to grow.</w:t>
      </w:r>
    </w:p>
    <w:p w:rsidR="00000000" w:rsidDel="00000000" w:rsidP="00000000" w:rsidRDefault="00000000" w:rsidRPr="00000000" w14:paraId="0000001A">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Russell Ackoff approach of DIKW</w:t>
      </w:r>
    </w:p>
    <w:p w:rsidR="00000000" w:rsidDel="00000000" w:rsidP="00000000" w:rsidRDefault="00000000" w:rsidRPr="00000000" w14:paraId="0000001B">
      <w:pPr>
        <w:spacing w:line="480" w:lineRule="auto"/>
        <w:jc w:val="center"/>
        <w:rPr>
          <w:rFonts w:ascii="Times New Roman" w:cs="Times New Roman" w:eastAsia="Times New Roman" w:hAnsi="Times New Roman"/>
          <w:b w:val="1"/>
          <w:sz w:val="24"/>
          <w:szCs w:val="24"/>
        </w:rPr>
      </w:pPr>
      <w:r w:rsidDel="00000000" w:rsidR="00000000" w:rsidRPr="00000000">
        <w:rPr/>
        <w:drawing>
          <wp:inline distB="0" distT="0" distL="0" distR="0">
            <wp:extent cx="5943600" cy="3343275"/>
            <wp:effectExtent b="0" l="0" r="0" t="0"/>
            <wp:docPr id="18"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43600" cy="3343275"/>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C">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DIKW stands for data information knowledge wisdom which is considered as a hierarchy that helps in the management of knowledge and data value extraction which provides information and answers regarding the initial data of a process. Russell L. Ackoff was a theorist and organisational consultant in America who developed the theory on an approach for Data Information Knowledge Wisdom hierarchy. The hierarchy of Data Information Knowledge Wisdom or DIKW represents the relationship that is present between each of the components. According to the theory, every component of the pyramid is considered as a step towards a higher level and provides different answers about initial data. The model is significantly useful in managing knowledge and data-value extraction which are key components for digital transformation such as IoT and artificial intelligence. In today's world, the model is highly useful because it allows data-value extraction which is important for digital transformation operations and products. Russell Ackoff was an American consultant and theorist who made research regarding this particular approach of the Data Information Knowledge Wisdom model. </w:t>
      </w:r>
    </w:p>
    <w:p w:rsidR="00000000" w:rsidDel="00000000" w:rsidP="00000000" w:rsidRDefault="00000000" w:rsidRPr="00000000" w14:paraId="0000001D">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Slide 5 Russell Ackoff approach of DIKW</w:t>
      </w:r>
    </w:p>
    <w:p w:rsidR="00000000" w:rsidDel="00000000" w:rsidP="00000000" w:rsidRDefault="00000000" w:rsidRPr="00000000" w14:paraId="0000001E">
      <w:pPr>
        <w:spacing w:line="480" w:lineRule="auto"/>
        <w:jc w:val="center"/>
        <w:rPr>
          <w:rFonts w:ascii="Times New Roman" w:cs="Times New Roman" w:eastAsia="Times New Roman" w:hAnsi="Times New Roman"/>
          <w:b w:val="1"/>
          <w:sz w:val="24"/>
          <w:szCs w:val="24"/>
        </w:rPr>
      </w:pPr>
      <w:r w:rsidDel="00000000" w:rsidR="00000000" w:rsidRPr="00000000">
        <w:rPr/>
        <w:drawing>
          <wp:inline distB="0" distT="0" distL="0" distR="0">
            <wp:extent cx="5943600" cy="3343275"/>
            <wp:effectExtent b="0" l="0" r="0" t="0"/>
            <wp:docPr id="21"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DIKW model is linear and helps in expressing the logical consequences that are present behind the stages and steps of information that contextualize the progression of data. Each step up the pyramid answers questions about the initial data and adds value to it. The more questions we answer, the higher we move up the pyramid. In other words, the more we enrich our data with meaning and context, the more knowledge and insights we get out of it. At the top of the pyramid, we have turned the knowledge and insights into a learning experience that guides our actions.</w:t>
      </w:r>
    </w:p>
    <w:p w:rsidR="00000000" w:rsidDel="00000000" w:rsidP="00000000" w:rsidRDefault="00000000" w:rsidRPr="00000000" w14:paraId="0000002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However, the model is criticized for being hierarchical as it tends to miss a number of important aspects of knowledge and new data which is considered to be negative in today's generation of APIs and big data. The model is generally used to define and explain different forms and types of information, data, etc. The model is widely used in terms of business, perspective and transformation that requires analysis with big data. The data information knowledge wisdom model helps in providing the logical consequences behind the progression of data but according to certain discussions, the model is criticized for being hierarchical. According to the debates, the hierarchical form of the model tends to miss a number of important data which can have a negative influence. </w:t>
      </w:r>
    </w:p>
    <w:p w:rsidR="00000000" w:rsidDel="00000000" w:rsidP="00000000" w:rsidRDefault="00000000" w:rsidRPr="00000000" w14:paraId="00000021">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collection GDPR</w:t>
      </w:r>
    </w:p>
    <w:p w:rsidR="00000000" w:rsidDel="00000000" w:rsidP="00000000" w:rsidRDefault="00000000" w:rsidRPr="00000000" w14:paraId="00000022">
      <w:pPr>
        <w:spacing w:line="480" w:lineRule="auto"/>
        <w:jc w:val="center"/>
        <w:rPr>
          <w:rFonts w:ascii="Times New Roman" w:cs="Times New Roman" w:eastAsia="Times New Roman" w:hAnsi="Times New Roman"/>
          <w:b w:val="1"/>
          <w:sz w:val="24"/>
          <w:szCs w:val="24"/>
        </w:rPr>
      </w:pPr>
      <w:r w:rsidDel="00000000" w:rsidR="00000000" w:rsidRPr="00000000">
        <w:rPr/>
        <w:drawing>
          <wp:inline distB="0" distT="0" distL="0" distR="0">
            <wp:extent cx="5943600" cy="3343275"/>
            <wp:effectExtent b="0" l="0" r="0" t="0"/>
            <wp:docPr id="20"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collection is used in research and different types of studies to collect relevant data from individuals or previous studies that are relevant to the research. Data collection is a process that is used to collect relevant data and information for research or a study. There are two basic types of Data collection methods, namely, primary data collection and secondary data collection. In data collection, the DIKW model helps in understanding the importance of the data that is collected for a study. The two major types of data collection that are available are primary data collection and secondary data collection in which the model of Data Information Knowledge Wisdom helps in analysing the importance of the data that is collected. </w:t>
      </w:r>
    </w:p>
    <w:p w:rsidR="00000000" w:rsidDel="00000000" w:rsidP="00000000" w:rsidRDefault="00000000" w:rsidRPr="00000000" w14:paraId="00000025">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Slide 7 Data collection GDPR</w:t>
      </w:r>
    </w:p>
    <w:p w:rsidR="00000000" w:rsidDel="00000000" w:rsidP="00000000" w:rsidRDefault="00000000" w:rsidRPr="00000000" w14:paraId="00000026">
      <w:pPr>
        <w:spacing w:line="480" w:lineRule="auto"/>
        <w:jc w:val="center"/>
        <w:rPr>
          <w:rFonts w:ascii="Times New Roman" w:cs="Times New Roman" w:eastAsia="Times New Roman" w:hAnsi="Times New Roman"/>
          <w:b w:val="1"/>
          <w:sz w:val="24"/>
          <w:szCs w:val="24"/>
        </w:rPr>
      </w:pPr>
      <w:r w:rsidDel="00000000" w:rsidR="00000000" w:rsidRPr="00000000">
        <w:rPr/>
        <w:drawing>
          <wp:inline distB="0" distT="0" distL="0" distR="0">
            <wp:extent cx="5943600" cy="3343275"/>
            <wp:effectExtent b="0" l="0" r="0" t="0"/>
            <wp:docPr id="23"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collect personal data, it is important to keep the GDPR in mind because it states the principles for unlawful processing of personal data which must be avoided. Data collection under the GDPR can be conducted easily by concising and being specific. GDPR helps to understand the data that is being collected and the period of time the data will be kept. In addition to this it reminds the data subject that they can withdraw their consent at particular period of time and would be kept under periodic reviews. The GDPR is a regulation that allows a user to collect and Store information only if the user remains anonymous. The regulation has 7 different principles for the processing of personal data that includes organisation, collection, structuring, alteration, storage, communication, consultation, combination, use, restriction and destruction of personal data. For my research, I have chosen a primary data collection method where the data has been collected through online surveys of students.  In order to collect the data for my research, I have focused on primary data collection in which the data has been collected by surveying the students through online portals. </w:t>
      </w:r>
    </w:p>
    <w:p w:rsidR="00000000" w:rsidDel="00000000" w:rsidP="00000000" w:rsidRDefault="00000000" w:rsidRPr="00000000" w14:paraId="00000028">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Turning data into information</w:t>
      </w:r>
    </w:p>
    <w:tbl>
      <w:tblPr>
        <w:tblStyle w:val="Table1"/>
        <w:tblW w:w="9360.0" w:type="dxa"/>
        <w:jc w:val="left"/>
        <w:tblInd w:w="0.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Number in survey</w:t>
            </w:r>
          </w:p>
        </w:tc>
        <w:tc>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Highest academy level</w:t>
            </w:r>
          </w:p>
        </w:tc>
        <w:tc>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Grit score</w:t>
            </w:r>
          </w:p>
        </w:tc>
      </w:tr>
      <w:tr>
        <w:trPr>
          <w:cantSplit w:val="0"/>
          <w:tblHeader w:val="0"/>
        </w:trPr>
        <w:tc>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w:t>
            </w:r>
          </w:p>
        </w:tc>
        <w:tc>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w:t>
            </w:r>
          </w:p>
        </w:tc>
      </w:tr>
      <w:tr>
        <w:trPr>
          <w:cantSplit w:val="0"/>
          <w:tblHeader w:val="0"/>
        </w:trPr>
        <w:tc>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4.15</w:t>
            </w:r>
          </w:p>
        </w:tc>
      </w:tr>
      <w:tr>
        <w:trPr>
          <w:cantSplit w:val="0"/>
          <w:tblHeader w:val="0"/>
        </w:trPr>
        <w:tc>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r>
      <w:tr>
        <w:trPr>
          <w:cantSplit w:val="0"/>
          <w:tblHeader w:val="0"/>
        </w:trPr>
        <w:tc>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c>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3.15</w:t>
            </w:r>
          </w:p>
        </w:tc>
      </w:tr>
      <w:tr>
        <w:trPr>
          <w:cantSplit w:val="0"/>
          <w:tblHeader w:val="0"/>
        </w:trPr>
        <w:tc>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w:t>
            </w:r>
          </w:p>
        </w:tc>
      </w:tr>
    </w:tbl>
    <w:p w:rsidR="00000000" w:rsidDel="00000000" w:rsidP="00000000" w:rsidRDefault="00000000" w:rsidRPr="00000000" w14:paraId="0000003B">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48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5943600" cy="3343275"/>
            <wp:effectExtent b="0" l="0" r="0" t="0"/>
            <wp:docPr id="2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particular research, I have gained a significant advantage by using the DIKW model. According to the data that has been collected, there were a total of 48 surveys conducted in which seventeen respondents had the highest academic level. The highest grit score that was obtained was 4.8 and from the research, it is observed that two respondents had the highest grit score. The above slide represents the data that I have collected through the survey. It represents that 17 respondents out of the total number of respondents had scored fourth highest academic level where the score was 3.50. On the other hand, 14 respondents had been in the fifth highest academic level with the score 4.15. in addition to this sixth highest academic level was achieved by 10 respondents and their score was 3.9. seventh highest academic level was obtained by five respondents out of the total respondents taking part in the survey and they had achieved a score of 3.15.</w:t>
      </w:r>
    </w:p>
    <w:p w:rsidR="00000000" w:rsidDel="00000000" w:rsidP="00000000" w:rsidRDefault="00000000" w:rsidRPr="00000000" w14:paraId="0000003E">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Turning data into information</w:t>
      </w:r>
    </w:p>
    <w:p w:rsidR="00000000" w:rsidDel="00000000" w:rsidP="00000000" w:rsidRDefault="00000000" w:rsidRPr="00000000" w14:paraId="0000003F">
      <w:pPr>
        <w:spacing w:line="480" w:lineRule="auto"/>
        <w:jc w:val="both"/>
        <w:rPr>
          <w:rFonts w:ascii="Times New Roman" w:cs="Times New Roman" w:eastAsia="Times New Roman" w:hAnsi="Times New Roman"/>
          <w:b w:val="1"/>
          <w:sz w:val="24"/>
          <w:szCs w:val="24"/>
        </w:rPr>
      </w:pPr>
      <w:r w:rsidDel="00000000" w:rsidR="00000000" w:rsidRPr="00000000">
        <w:rPr/>
        <w:drawing>
          <wp:inline distB="0" distT="0" distL="0" distR="0">
            <wp:extent cx="5943600" cy="3343275"/>
            <wp:effectExtent b="0" l="0" r="0" t="0"/>
            <wp:docPr id="25"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results that represent the grit score of the student shows the level of focus they have towards achieving their long-term goals and life. The results of the research can be graphically represented with the help of bar graphs and pie charts. In this particular research, the data regarding the grit score shows that the research was successful. The data that has been collected can be represented in terms of graphs and charts. In order to carry out a visual representation of the data that I have collected I have used MS Excel what the representation of my data. I considered using the Excel to make charts and bar charts according to the data that I have received. To represent the data, I had entered all my collected data in the MS Excel sheet. After importing all the data, I had selected the series of data and clicked on the insert button to represent my data in graphical format. Then I had opted for chat option where I use bar chart as well as pie chart to represent my data. The MS Excel has been an effective software as It helped me to represent my data in a better and present table format.</w:t>
      </w:r>
    </w:p>
    <w:p w:rsidR="00000000" w:rsidDel="00000000" w:rsidP="00000000" w:rsidRDefault="00000000" w:rsidRPr="00000000" w14:paraId="00000041">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Comparing the results of the school survey</w:t>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Number in survey</w:t>
            </w:r>
          </w:p>
        </w:tc>
        <w:tc>
          <w:tcPr>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Highest academic level</w:t>
            </w:r>
          </w:p>
        </w:tc>
        <w:tc>
          <w:tcPr>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Grit score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w:t>
            </w:r>
          </w:p>
        </w:tc>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3.2</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c>
          <w:tcPr>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3.8</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w:t>
            </w:r>
          </w:p>
        </w:tc>
        <w:tc>
          <w:tcPr>
            <w:shd w:fill="auto" w:val="clear"/>
            <w:tcMar>
              <w:top w:w="100.0" w:type="dxa"/>
              <w:left w:w="100.0" w:type="dxa"/>
              <w:bottom w:w="100.0" w:type="dxa"/>
              <w:right w:w="100.0" w:type="dxa"/>
            </w:tcMar>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3.5</w:t>
            </w:r>
          </w:p>
        </w:tc>
      </w:tr>
    </w:tbl>
    <w:p w:rsidR="00000000" w:rsidDel="00000000" w:rsidP="00000000" w:rsidRDefault="00000000" w:rsidRPr="00000000" w14:paraId="00000051">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48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5943600" cy="3343275"/>
            <wp:effectExtent b="0" l="0" r="0" t="0"/>
            <wp:docPr id="24"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spacing w:line="48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4572000" cy="2743200"/>
            <wp:docPr id="16" name=""/>
            <a:graphic>
              <a:graphicData uri="http://schemas.openxmlformats.org/drawingml/2006/chart">
                <c:chart r:id="rId17"/>
              </a:graphicData>
            </a:graphic>
          </wp:inline>
        </w:drawing>
      </w:r>
      <w:r w:rsidDel="00000000" w:rsidR="00000000" w:rsidRPr="00000000">
        <w:rPr>
          <w:rtl w:val="0"/>
        </w:rPr>
      </w:r>
    </w:p>
    <w:p w:rsidR="00000000" w:rsidDel="00000000" w:rsidP="00000000" w:rsidRDefault="00000000" w:rsidRPr="00000000" w14:paraId="00000054">
      <w:pPr>
        <w:spacing w:line="480" w:lineRule="auto"/>
        <w:jc w:val="center"/>
        <w:rPr>
          <w:rFonts w:ascii="Times New Roman" w:cs="Times New Roman" w:eastAsia="Times New Roman" w:hAnsi="Times New Roman"/>
          <w:sz w:val="24"/>
          <w:szCs w:val="24"/>
        </w:rPr>
      </w:pPr>
      <w:r w:rsidDel="00000000" w:rsidR="00000000" w:rsidRPr="00000000">
        <w:rPr/>
        <w:drawing>
          <wp:inline distB="0" distT="0" distL="0" distR="0">
            <wp:extent cx="4572000" cy="2743200"/>
            <wp:docPr id="15" name=""/>
            <a:graphic>
              <a:graphicData uri="http://schemas.openxmlformats.org/drawingml/2006/chart">
                <c:chart r:id="rId18"/>
              </a:graphicData>
            </a:graphic>
          </wp:inline>
        </w:drawing>
      </w:r>
      <w:r w:rsidDel="00000000" w:rsidR="00000000" w:rsidRPr="00000000">
        <w:rPr>
          <w:rtl w:val="0"/>
        </w:rPr>
      </w:r>
    </w:p>
    <w:p w:rsidR="00000000" w:rsidDel="00000000" w:rsidP="00000000" w:rsidRDefault="00000000" w:rsidRPr="00000000" w14:paraId="00000055">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that I have collected has been compared with the results of other relevant server data in order to check the level of feasibility of the data that has been collected in this research. According to the data of other research, the total number of respondents who had the highest academic level of 3 was 15 and had a grit score of 3.2. The total number of respondents in the survey who had the highest academic level of six was 2. The highest bridge school was achieved by three candidates who had the highest academic level of 5.  </w:t>
      </w:r>
    </w:p>
    <w:p w:rsidR="00000000" w:rsidDel="00000000" w:rsidP="00000000" w:rsidRDefault="00000000" w:rsidRPr="00000000" w14:paraId="00000056">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and recommendations</w:t>
      </w:r>
    </w:p>
    <w:p w:rsidR="00000000" w:rsidDel="00000000" w:rsidP="00000000" w:rsidRDefault="00000000" w:rsidRPr="00000000" w14:paraId="00000057">
      <w:pPr>
        <w:spacing w:line="480" w:lineRule="auto"/>
        <w:jc w:val="both"/>
        <w:rPr>
          <w:rFonts w:ascii="Times New Roman" w:cs="Times New Roman" w:eastAsia="Times New Roman" w:hAnsi="Times New Roman"/>
          <w:sz w:val="24"/>
          <w:szCs w:val="24"/>
        </w:rPr>
      </w:pPr>
      <w:r w:rsidDel="00000000" w:rsidR="00000000" w:rsidRPr="00000000">
        <w:rPr/>
        <w:drawing>
          <wp:inline distB="0" distT="0" distL="0" distR="0">
            <wp:extent cx="5943600" cy="3343275"/>
            <wp:effectExtent b="0" l="0" r="0" t="0"/>
            <wp:docPr id="26" name="image7.png"/>
            <a:graphic>
              <a:graphicData uri="http://schemas.openxmlformats.org/drawingml/2006/picture">
                <pic:pic>
                  <pic:nvPicPr>
                    <pic:cNvPr id="0" name="image7.png"/>
                    <pic:cNvPicPr preferRelativeResize="0"/>
                  </pic:nvPicPr>
                  <pic:blipFill>
                    <a:blip r:embed="rId19"/>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level of concentration and focus of the students regarding the achievement of long-term goals in life is dependent on their grit score. The grit school is directly proportional to the level of confidence they have. It can be recommended to the students who have a low grit score to focus on increasing themselves in creating a growth mindset that will help them to stay focused and concentrated by developing long-term goals and working towards achieving them. It can be concluded that the focus of the students towards achieving the long-term goals in future and maintaining the hard work for years is high if they have a high grit score. It can be recommended to the students who have secured a low grit score to focus on developing the mindset regarding the achievement of long-term goals which will help them in increasing their concentration levels. </w:t>
      </w:r>
    </w:p>
    <w:p w:rsidR="00000000" w:rsidDel="00000000" w:rsidP="00000000" w:rsidRDefault="00000000" w:rsidRPr="00000000" w14:paraId="00000059">
      <w:pPr>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B">
      <w:pPr>
        <w:spacing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 </w:t>
      </w:r>
    </w:p>
    <w:p w:rsidR="00000000" w:rsidDel="00000000" w:rsidP="00000000" w:rsidRDefault="00000000" w:rsidRPr="00000000" w14:paraId="0000005C">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Basin, D., Debois, S. and Hildebrandt, T., 2018, February. On purpose and by necessity: compliance under the GDPR. In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Conference on Financial Cryptography and Data Security</w:t>
      </w:r>
      <w:r w:rsidDel="00000000" w:rsidR="00000000" w:rsidRPr="00000000">
        <w:rPr>
          <w:rFonts w:ascii="Times New Roman" w:cs="Times New Roman" w:eastAsia="Times New Roman" w:hAnsi="Times New Roman"/>
          <w:color w:val="222222"/>
          <w:sz w:val="24"/>
          <w:szCs w:val="24"/>
          <w:highlight w:val="white"/>
          <w:rtl w:val="0"/>
        </w:rPr>
        <w:t xml:space="preserve"> (pp. 20-37). Springer, Berlin, Heidelberg.</w:t>
      </w:r>
    </w:p>
    <w:p w:rsidR="00000000" w:rsidDel="00000000" w:rsidP="00000000" w:rsidRDefault="00000000" w:rsidRPr="00000000" w14:paraId="0000005D">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Duckworth, A., 2019. Grit: Why passion and resilience are the secrets to success. </w:t>
      </w:r>
      <w:r w:rsidDel="00000000" w:rsidR="00000000" w:rsidRPr="00000000">
        <w:rPr>
          <w:rFonts w:ascii="Times New Roman" w:cs="Times New Roman" w:eastAsia="Times New Roman" w:hAnsi="Times New Roman"/>
          <w:i w:val="1"/>
          <w:color w:val="222222"/>
          <w:sz w:val="24"/>
          <w:szCs w:val="24"/>
          <w:highlight w:val="white"/>
          <w:rtl w:val="0"/>
        </w:rPr>
        <w:t xml:space="preserve">NIDA Journal of Language and Communication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24</w:t>
      </w:r>
      <w:r w:rsidDel="00000000" w:rsidR="00000000" w:rsidRPr="00000000">
        <w:rPr>
          <w:rFonts w:ascii="Times New Roman" w:cs="Times New Roman" w:eastAsia="Times New Roman" w:hAnsi="Times New Roman"/>
          <w:color w:val="222222"/>
          <w:sz w:val="24"/>
          <w:szCs w:val="24"/>
          <w:highlight w:val="white"/>
          <w:rtl w:val="0"/>
        </w:rPr>
        <w:t xml:space="preserve">(35), pp.105-106.</w:t>
      </w:r>
    </w:p>
    <w:p w:rsidR="00000000" w:rsidDel="00000000" w:rsidP="00000000" w:rsidRDefault="00000000" w:rsidRPr="00000000" w14:paraId="0000005E">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Duckworth, A.L., Quinn, P.D. and Tsukayama, E., 2021. Revisiting the Factor Structure of Grit: A Commentary on Duckworth and Quinn (2009). </w:t>
      </w:r>
      <w:r w:rsidDel="00000000" w:rsidR="00000000" w:rsidRPr="00000000">
        <w:rPr>
          <w:rFonts w:ascii="Times New Roman" w:cs="Times New Roman" w:eastAsia="Times New Roman" w:hAnsi="Times New Roman"/>
          <w:i w:val="1"/>
          <w:color w:val="222222"/>
          <w:sz w:val="24"/>
          <w:szCs w:val="24"/>
          <w:highlight w:val="white"/>
          <w:rtl w:val="0"/>
        </w:rPr>
        <w:t xml:space="preserve">Journal of Personality Assessment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103</w:t>
      </w:r>
      <w:r w:rsidDel="00000000" w:rsidR="00000000" w:rsidRPr="00000000">
        <w:rPr>
          <w:rFonts w:ascii="Times New Roman" w:cs="Times New Roman" w:eastAsia="Times New Roman" w:hAnsi="Times New Roman"/>
          <w:color w:val="222222"/>
          <w:sz w:val="24"/>
          <w:szCs w:val="24"/>
          <w:highlight w:val="white"/>
          <w:rtl w:val="0"/>
        </w:rPr>
        <w:t xml:space="preserve">(5), pp.573-575.</w:t>
      </w:r>
    </w:p>
    <w:p w:rsidR="00000000" w:rsidDel="00000000" w:rsidP="00000000" w:rsidRDefault="00000000" w:rsidRPr="00000000" w14:paraId="0000005F">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Frické, M., 2019. The knowledge pyramid: the DIKW hierarchy. </w:t>
      </w:r>
      <w:r w:rsidDel="00000000" w:rsidR="00000000" w:rsidRPr="00000000">
        <w:rPr>
          <w:rFonts w:ascii="Times New Roman" w:cs="Times New Roman" w:eastAsia="Times New Roman" w:hAnsi="Times New Roman"/>
          <w:i w:val="1"/>
          <w:color w:val="222222"/>
          <w:sz w:val="24"/>
          <w:szCs w:val="24"/>
          <w:highlight w:val="white"/>
          <w:rtl w:val="0"/>
        </w:rPr>
        <w:t xml:space="preserve">KO KNOWLEDGE ORGANIZATION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(1), pp.33-46.</w:t>
      </w:r>
    </w:p>
    <w:p w:rsidR="00000000" w:rsidDel="00000000" w:rsidP="00000000" w:rsidRDefault="00000000" w:rsidRPr="00000000" w14:paraId="00000060">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Krystlik, J., 2017. With GDPR, preparation is everything. </w:t>
      </w:r>
      <w:r w:rsidDel="00000000" w:rsidR="00000000" w:rsidRPr="00000000">
        <w:rPr>
          <w:rFonts w:ascii="Times New Roman" w:cs="Times New Roman" w:eastAsia="Times New Roman" w:hAnsi="Times New Roman"/>
          <w:i w:val="1"/>
          <w:color w:val="222222"/>
          <w:sz w:val="24"/>
          <w:szCs w:val="24"/>
          <w:highlight w:val="white"/>
          <w:rtl w:val="0"/>
        </w:rPr>
        <w:t xml:space="preserve">Computer Fraud &amp; Security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2017</w:t>
      </w:r>
      <w:r w:rsidDel="00000000" w:rsidR="00000000" w:rsidRPr="00000000">
        <w:rPr>
          <w:rFonts w:ascii="Times New Roman" w:cs="Times New Roman" w:eastAsia="Times New Roman" w:hAnsi="Times New Roman"/>
          <w:color w:val="222222"/>
          <w:sz w:val="24"/>
          <w:szCs w:val="24"/>
          <w:highlight w:val="white"/>
          <w:rtl w:val="0"/>
        </w:rPr>
        <w:t xml:space="preserve">(6), pp.5-8.</w:t>
      </w:r>
    </w:p>
    <w:p w:rsidR="00000000" w:rsidDel="00000000" w:rsidP="00000000" w:rsidRDefault="00000000" w:rsidRPr="00000000" w14:paraId="00000061">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McKibben, S., 2018. Grit and the Greater Good: A Conversation with Angela Duckworth. </w:t>
      </w:r>
      <w:r w:rsidDel="00000000" w:rsidR="00000000" w:rsidRPr="00000000">
        <w:rPr>
          <w:rFonts w:ascii="Times New Roman" w:cs="Times New Roman" w:eastAsia="Times New Roman" w:hAnsi="Times New Roman"/>
          <w:i w:val="1"/>
          <w:color w:val="222222"/>
          <w:sz w:val="24"/>
          <w:szCs w:val="24"/>
          <w:highlight w:val="white"/>
          <w:rtl w:val="0"/>
        </w:rPr>
        <w:t xml:space="preserve">Educational Leadership</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76</w:t>
      </w:r>
      <w:r w:rsidDel="00000000" w:rsidR="00000000" w:rsidRPr="00000000">
        <w:rPr>
          <w:rFonts w:ascii="Times New Roman" w:cs="Times New Roman" w:eastAsia="Times New Roman" w:hAnsi="Times New Roman"/>
          <w:color w:val="222222"/>
          <w:sz w:val="24"/>
          <w:szCs w:val="24"/>
          <w:highlight w:val="white"/>
          <w:rtl w:val="0"/>
        </w:rPr>
        <w:t xml:space="preserve">(2), pp.40-45.</w:t>
      </w:r>
    </w:p>
    <w:p w:rsidR="00000000" w:rsidDel="00000000" w:rsidP="00000000" w:rsidRDefault="00000000" w:rsidRPr="00000000" w14:paraId="00000062">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Santos, I., Petroska-Beska, V., Carneiro, P., Eskreis-Winkler, L., Munoz Boudet, A.M., Berniell, I., Krekel, C., Arias, O. and Duckworth, A., 2021. Can Grit Be Taught? Lessons from a Nationwide Field Experiment with Middle-School Students.</w:t>
      </w:r>
    </w:p>
    <w:p w:rsidR="00000000" w:rsidDel="00000000" w:rsidP="00000000" w:rsidRDefault="00000000" w:rsidRPr="00000000" w14:paraId="00000063">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To, W.E.C.C.F. and Over, W.P., 2019. MacArthur fellow Angela Duckworth: Test kids’ grit, not just their IQ.</w:t>
      </w:r>
    </w:p>
    <w:p w:rsidR="00000000" w:rsidDel="00000000" w:rsidP="00000000" w:rsidRDefault="00000000" w:rsidRPr="00000000" w14:paraId="00000064">
      <w:pPr>
        <w:spacing w:line="48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Van Meter, H.J., 2020. Revising the DIKW pyramid and the real relationship between data, information, knowledge, and wisdom. </w:t>
      </w:r>
      <w:r w:rsidDel="00000000" w:rsidR="00000000" w:rsidRPr="00000000">
        <w:rPr>
          <w:rFonts w:ascii="Times New Roman" w:cs="Times New Roman" w:eastAsia="Times New Roman" w:hAnsi="Times New Roman"/>
          <w:i w:val="1"/>
          <w:color w:val="222222"/>
          <w:sz w:val="24"/>
          <w:szCs w:val="24"/>
          <w:highlight w:val="white"/>
          <w:rtl w:val="0"/>
        </w:rPr>
        <w:t xml:space="preserve">Law, Technology and Humans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w:t>
      </w:r>
      <w:r w:rsidDel="00000000" w:rsidR="00000000" w:rsidRPr="00000000">
        <w:rPr>
          <w:rFonts w:ascii="Times New Roman" w:cs="Times New Roman" w:eastAsia="Times New Roman" w:hAnsi="Times New Roman"/>
          <w:color w:val="222222"/>
          <w:sz w:val="24"/>
          <w:szCs w:val="24"/>
          <w:highlight w:val="white"/>
          <w:rtl w:val="0"/>
        </w:rPr>
        <w:t xml:space="preserve">(2), pp.69-80.</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Table1" w:customStyle="1">
    <w:name w:val="Table1"/>
    <w:basedOn w:val="TableNormal"/>
    <w:tblPr>
      <w:tblStyleRowBandSize w:val="1"/>
      <w:tblStyleColBandSize w:val="1"/>
      <w:tblCellMar>
        <w:top w:w="100.0" w:type="dxa"/>
        <w:left w:w="100.0" w:type="dxa"/>
        <w:bottom w:w="100.0" w:type="dxa"/>
        <w:right w:w="100.0" w:type="dxa"/>
      </w:tblCellMar>
    </w:tblPr>
  </w:style>
  <w:style w:type="table" w:styleId="Table2" w:customStyle="1">
    <w:name w:val="Table2"/>
    <w:basedOn w:val="TableNormal"/>
    <w:tblPr>
      <w:tblStyleRowBandSize w:val="1"/>
      <w:tblStyleColBandSize w:val="1"/>
      <w:tblCellMar>
        <w:top w:w="100.0" w:type="dxa"/>
        <w:left w:w="100.0" w:type="dxa"/>
        <w:bottom w:w="100.0" w:type="dxa"/>
        <w:right w:w="100.0" w:type="dxa"/>
      </w:tblCellMar>
    </w:tblPr>
  </w:style>
  <w:style w:type="table" w:styleId="GridTable5Dark-Accent4">
    <w:name w:val="Grid Table 5 Dark Accent 4"/>
    <w:basedOn w:val="TableNormal"/>
    <w:uiPriority w:val="50"/>
    <w:rsid w:val="007C0052"/>
    <w:pPr>
      <w:spacing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5dfec" w:themeFill="accent4"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8064a2" w:themeFill="accent4"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8064a2" w:themeFill="accent4"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8064a2" w:themeFill="accent4"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8064a2" w:themeFill="accent4" w:val="clear"/>
      </w:tcPr>
    </w:tblStylePr>
    <w:tblStylePr w:type="band1Vert">
      <w:tblPr/>
      <w:tcPr>
        <w:shd w:color="auto" w:fill="ccc0d9" w:themeFill="accent4" w:themeFillTint="000066" w:val="clear"/>
      </w:tcPr>
    </w:tblStylePr>
    <w:tblStylePr w:type="band1Horz">
      <w:tblPr/>
      <w:tcPr>
        <w:shd w:color="auto" w:fill="ccc0d9" w:themeFill="accent4" w:themeFillTint="000066" w:val="clear"/>
      </w:tcPr>
    </w:tblStyle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tcPr>
      <w:shd w:fill="e5dfec" w:val="clear"/>
    </w:tcPr>
    <w:tblStylePr w:type="band1Horz">
      <w:tcPr>
        <w:shd w:fill="ccc1d9" w:val="clear"/>
      </w:tcPr>
    </w:tblStylePr>
    <w:tblStylePr w:type="band1Vert">
      <w:tcPr>
        <w:shd w:fill="ccc1d9" w:val="clear"/>
      </w:tcPr>
    </w:tblStylePr>
    <w:tblStylePr w:type="firstCol">
      <w:rPr>
        <w:b w:val="1"/>
        <w:color w:val="ffffff"/>
      </w:rPr>
      <w:tcPr>
        <w:tcBorders>
          <w:top w:color="ffffff" w:space="0" w:sz="4" w:val="single"/>
          <w:left w:color="ffffff" w:space="0" w:sz="4" w:val="single"/>
          <w:bottom w:color="ffffff" w:space="0" w:sz="4" w:val="single"/>
          <w:insideV w:color="000000" w:space="0" w:sz="0" w:val="nil"/>
        </w:tcBorders>
        <w:shd w:fill="8064a2" w:val="clear"/>
      </w:tcPr>
    </w:tblStylePr>
    <w:tblStylePr w:type="firstRow">
      <w:rPr>
        <w:b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8064a2" w:val="clear"/>
      </w:tcPr>
    </w:tblStylePr>
    <w:tblStylePr w:type="lastCol">
      <w:rPr>
        <w:b w:val="1"/>
        <w:color w:val="ffffff"/>
      </w:rPr>
      <w:tcPr>
        <w:tcBorders>
          <w:top w:color="ffffff" w:space="0" w:sz="4" w:val="single"/>
          <w:bottom w:color="ffffff" w:space="0" w:sz="4" w:val="single"/>
          <w:right w:color="ffffff" w:space="0" w:sz="4" w:val="single"/>
          <w:insideV w:color="000000" w:space="0" w:sz="0" w:val="nil"/>
        </w:tcBorders>
        <w:shd w:fill="8064a2" w:val="clear"/>
      </w:tcPr>
    </w:tblStylePr>
    <w:tblStylePr w:type="lastRow">
      <w:rPr>
        <w:b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8064a2" w:val="clear"/>
      </w:tcPr>
    </w:tblStyle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tcPr>
      <w:shd w:fill="e5dfec" w:val="clear"/>
    </w:tcPr>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3.png"/><Relationship Id="rId13" Type="http://schemas.openxmlformats.org/officeDocument/2006/relationships/image" Target="media/image6.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8.png"/><Relationship Id="rId14" Type="http://schemas.openxmlformats.org/officeDocument/2006/relationships/image" Target="media/image4.png"/><Relationship Id="rId17" Type="http://schemas.openxmlformats.org/officeDocument/2006/relationships/chart" Target="charts/chart2.xml"/><Relationship Id="rId16" Type="http://schemas.openxmlformats.org/officeDocument/2006/relationships/image" Target="media/image5.png"/><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customXml" Target="../customXML/item1.xml"/><Relationship Id="rId18" Type="http://schemas.openxmlformats.org/officeDocument/2006/relationships/chart" Target="charts/chart1.xml"/><Relationship Id="rId7" Type="http://schemas.openxmlformats.org/officeDocument/2006/relationships/image" Target="media/image1.png"/><Relationship Id="rId8" Type="http://schemas.openxmlformats.org/officeDocument/2006/relationships/image" Target="media/image9.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Sheet1!$A$13</c:f>
              <c:strCache>
                <c:ptCount val="1"/>
                <c:pt idx="0">
                  <c:v>Number in survey</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021-4CA2-BA49-E12E41862A2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021-4CA2-BA49-E12E41862A2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021-4CA2-BA49-E12E41862A2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021-4CA2-BA49-E12E41862A2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Sheet1!$A$14:$A$17</c:f>
              <c:numCache>
                <c:formatCode>General</c:formatCode>
                <c:ptCount val="4"/>
                <c:pt idx="0">
                  <c:v>15</c:v>
                </c:pt>
                <c:pt idx="1">
                  <c:v>8</c:v>
                </c:pt>
                <c:pt idx="2">
                  <c:v>3</c:v>
                </c:pt>
                <c:pt idx="3">
                  <c:v>2</c:v>
                </c:pt>
              </c:numCache>
            </c:numRef>
          </c:val>
          <c:extLst>
            <c:ext xmlns:c16="http://schemas.microsoft.com/office/drawing/2014/chart" uri="{C3380CC4-5D6E-409C-BE32-E72D297353CC}">
              <c16:uniqueId val="{00000008-2021-4CA2-BA49-E12E41862A20}"/>
            </c:ext>
          </c:extLst>
        </c:ser>
        <c:ser>
          <c:idx val="1"/>
          <c:order val="1"/>
          <c:tx>
            <c:strRef>
              <c:f>Sheet1!$B$13</c:f>
              <c:strCache>
                <c:ptCount val="1"/>
                <c:pt idx="0">
                  <c:v>Highest academic level</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A-2021-4CA2-BA49-E12E41862A2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C-2021-4CA2-BA49-E12E41862A2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E-2021-4CA2-BA49-E12E41862A2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0-2021-4CA2-BA49-E12E41862A2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Sheet1!$B$14:$B$17</c:f>
              <c:numCache>
                <c:formatCode>General</c:formatCode>
                <c:ptCount val="4"/>
                <c:pt idx="0">
                  <c:v>3</c:v>
                </c:pt>
                <c:pt idx="1">
                  <c:v>4</c:v>
                </c:pt>
                <c:pt idx="2">
                  <c:v>5</c:v>
                </c:pt>
                <c:pt idx="3">
                  <c:v>6</c:v>
                </c:pt>
              </c:numCache>
            </c:numRef>
          </c:val>
          <c:extLst>
            <c:ext xmlns:c16="http://schemas.microsoft.com/office/drawing/2014/chart" uri="{C3380CC4-5D6E-409C-BE32-E72D297353CC}">
              <c16:uniqueId val="{00000011-2021-4CA2-BA49-E12E41862A20}"/>
            </c:ext>
          </c:extLst>
        </c:ser>
        <c:ser>
          <c:idx val="2"/>
          <c:order val="2"/>
          <c:tx>
            <c:strRef>
              <c:f>Sheet1!$C$13</c:f>
              <c:strCache>
                <c:ptCount val="1"/>
                <c:pt idx="0">
                  <c:v>Grit score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3-2021-4CA2-BA49-E12E41862A2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5-2021-4CA2-BA49-E12E41862A2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7-2021-4CA2-BA49-E12E41862A2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9-2021-4CA2-BA49-E12E41862A2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val>
            <c:numRef>
              <c:f>Sheet1!$C$14:$C$17</c:f>
              <c:numCache>
                <c:formatCode>General</c:formatCode>
                <c:ptCount val="4"/>
                <c:pt idx="0">
                  <c:v>3.2</c:v>
                </c:pt>
                <c:pt idx="1">
                  <c:v>3.1</c:v>
                </c:pt>
                <c:pt idx="2">
                  <c:v>3.8</c:v>
                </c:pt>
                <c:pt idx="3">
                  <c:v>3.5</c:v>
                </c:pt>
              </c:numCache>
            </c:numRef>
          </c:val>
          <c:extLst>
            <c:ext xmlns:c16="http://schemas.microsoft.com/office/drawing/2014/chart" uri="{C3380CC4-5D6E-409C-BE32-E72D297353CC}">
              <c16:uniqueId val="{0000001A-2021-4CA2-BA49-E12E41862A2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rtl="0">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Score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c:f>
              <c:strCache>
                <c:ptCount val="1"/>
                <c:pt idx="0">
                  <c:v>Number in survey</c:v>
                </c:pt>
              </c:strCache>
            </c:strRef>
          </c:tx>
          <c:spPr>
            <a:solidFill>
              <a:schemeClr val="accent1"/>
            </a:solidFill>
            <a:ln>
              <a:noFill/>
            </a:ln>
            <a:effectLst/>
          </c:spPr>
          <c:invertIfNegative val="0"/>
          <c:val>
            <c:numRef>
              <c:f>Sheet1!$A$5:$A$9</c:f>
              <c:numCache>
                <c:formatCode>General</c:formatCode>
                <c:ptCount val="5"/>
                <c:pt idx="0">
                  <c:v>17</c:v>
                </c:pt>
                <c:pt idx="1">
                  <c:v>14</c:v>
                </c:pt>
                <c:pt idx="2">
                  <c:v>10</c:v>
                </c:pt>
                <c:pt idx="3">
                  <c:v>5</c:v>
                </c:pt>
                <c:pt idx="4">
                  <c:v>2</c:v>
                </c:pt>
              </c:numCache>
            </c:numRef>
          </c:val>
          <c:extLst>
            <c:ext xmlns:c16="http://schemas.microsoft.com/office/drawing/2014/chart" uri="{C3380CC4-5D6E-409C-BE32-E72D297353CC}">
              <c16:uniqueId val="{00000000-F4D6-4934-A39A-BF9588D00B51}"/>
            </c:ext>
          </c:extLst>
        </c:ser>
        <c:ser>
          <c:idx val="1"/>
          <c:order val="1"/>
          <c:tx>
            <c:strRef>
              <c:f>Sheet1!$B$4</c:f>
              <c:strCache>
                <c:ptCount val="1"/>
                <c:pt idx="0">
                  <c:v>Highest academy level</c:v>
                </c:pt>
              </c:strCache>
            </c:strRef>
          </c:tx>
          <c:spPr>
            <a:solidFill>
              <a:schemeClr val="accent2"/>
            </a:solidFill>
            <a:ln>
              <a:noFill/>
            </a:ln>
            <a:effectLst/>
          </c:spPr>
          <c:invertIfNegative val="0"/>
          <c:val>
            <c:numRef>
              <c:f>Sheet1!$B$5:$B$9</c:f>
              <c:numCache>
                <c:formatCode>General</c:formatCode>
                <c:ptCount val="5"/>
                <c:pt idx="0">
                  <c:v>4</c:v>
                </c:pt>
                <c:pt idx="1">
                  <c:v>5</c:v>
                </c:pt>
                <c:pt idx="2">
                  <c:v>6</c:v>
                </c:pt>
                <c:pt idx="3">
                  <c:v>7</c:v>
                </c:pt>
                <c:pt idx="4">
                  <c:v>8</c:v>
                </c:pt>
              </c:numCache>
            </c:numRef>
          </c:val>
          <c:extLst>
            <c:ext xmlns:c16="http://schemas.microsoft.com/office/drawing/2014/chart" uri="{C3380CC4-5D6E-409C-BE32-E72D297353CC}">
              <c16:uniqueId val="{00000001-F4D6-4934-A39A-BF9588D00B51}"/>
            </c:ext>
          </c:extLst>
        </c:ser>
        <c:ser>
          <c:idx val="2"/>
          <c:order val="2"/>
          <c:tx>
            <c:strRef>
              <c:f>Sheet1!$C$4</c:f>
              <c:strCache>
                <c:ptCount val="1"/>
                <c:pt idx="0">
                  <c:v>Grit score</c:v>
                </c:pt>
              </c:strCache>
            </c:strRef>
          </c:tx>
          <c:spPr>
            <a:solidFill>
              <a:schemeClr val="accent3"/>
            </a:solidFill>
            <a:ln>
              <a:noFill/>
            </a:ln>
            <a:effectLst/>
          </c:spPr>
          <c:invertIfNegative val="0"/>
          <c:val>
            <c:numRef>
              <c:f>Sheet1!$C$5:$C$9</c:f>
              <c:numCache>
                <c:formatCode>General</c:formatCode>
                <c:ptCount val="5"/>
                <c:pt idx="0">
                  <c:v>3.5</c:v>
                </c:pt>
                <c:pt idx="1">
                  <c:v>4.1500000000000004</c:v>
                </c:pt>
                <c:pt idx="2">
                  <c:v>3.9</c:v>
                </c:pt>
                <c:pt idx="3">
                  <c:v>3.15</c:v>
                </c:pt>
                <c:pt idx="4">
                  <c:v>4.8</c:v>
                </c:pt>
              </c:numCache>
            </c:numRef>
          </c:val>
          <c:extLst>
            <c:ext xmlns:c16="http://schemas.microsoft.com/office/drawing/2014/chart" uri="{C3380CC4-5D6E-409C-BE32-E72D297353CC}">
              <c16:uniqueId val="{00000002-F4D6-4934-A39A-BF9588D00B51}"/>
            </c:ext>
          </c:extLst>
        </c:ser>
        <c:dLbls>
          <c:showLegendKey val="0"/>
          <c:showVal val="0"/>
          <c:showCatName val="0"/>
          <c:showSerName val="0"/>
          <c:showPercent val="0"/>
          <c:showBubbleSize val="0"/>
        </c:dLbls>
        <c:gapWidth val="219"/>
        <c:overlap val="-27"/>
        <c:axId val="608578431"/>
        <c:axId val="608587583"/>
      </c:barChart>
      <c:catAx>
        <c:axId val="60857843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587583"/>
        <c:crosses val="autoZero"/>
        <c:auto val="1"/>
        <c:lblAlgn val="ctr"/>
        <c:lblOffset val="100"/>
        <c:noMultiLvlLbl val="0"/>
      </c:catAx>
      <c:valAx>
        <c:axId val="608587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578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1dcB7GtjS6bt6M5Bu3UkwIZghw==">AMUW2mWrOmCNfh3qr7HcV95fGhnNd/viDufTweOQjLUsUU//t3mVNVwxNlO0TguyzDEFAdd9NSkmO+KlLPqPCW2MHZlvXfcdjesZ26hk6sYLOkmPLzTOXRs=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2021-11-25T15:19:00Z</dcterms:created>
  <dc:creator>USER</dc:creator>
</cp:coreProperties>
</file>