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70C2E739"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840784">
              <w:rPr>
                <w:rFonts w:ascii="Times New Roman" w:hAnsi="Times New Roman" w:cs="Times New Roman"/>
                <w:b/>
                <w:sz w:val="48"/>
              </w:rPr>
              <w:t>Emily Williams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A35091E"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840784">
              <w:rPr>
                <w:rFonts w:ascii="Times New Roman" w:hAnsi="Times New Roman" w:cs="Times New Roman"/>
                <w:b/>
                <w:color w:val="auto"/>
                <w:sz w:val="48"/>
              </w:rPr>
              <w:t xml:space="preserve"> </w:t>
            </w:r>
            <w:r w:rsidR="00840784" w:rsidRPr="0010125D">
              <w:rPr>
                <w:rFonts w:ascii="Times New Roman" w:hAnsi="Times New Roman" w:cs="Times New Roman"/>
                <w:b/>
                <w:sz w:val="48"/>
              </w:rPr>
              <w:t>2317468@student.uwtsd.ac.uk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3A8DDE46" w14:textId="77777777" w:rsidR="00840784" w:rsidRPr="000E3C3C" w:rsidRDefault="00840784" w:rsidP="00840784">
            <w:pPr>
              <w:ind w:right="-957"/>
              <w:rPr>
                <w:rFonts w:ascii="Times New Roman" w:hAnsi="Times New Roman" w:cs="Times New Roman"/>
                <w:b/>
                <w:sz w:val="48"/>
              </w:rPr>
            </w:pPr>
            <w:r w:rsidRPr="00BF30D7">
              <w:rPr>
                <w:rFonts w:ascii="Times New Roman" w:hAnsi="Times New Roman" w:cs="Times New Roman"/>
                <w:b/>
                <w:sz w:val="48"/>
              </w:rPr>
              <w:t>2317468</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070410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840784">
              <w:rPr>
                <w:rFonts w:ascii="Times New Roman" w:hAnsi="Times New Roman" w:cs="Times New Roman"/>
                <w:b/>
                <w:color w:val="auto"/>
                <w:sz w:val="48"/>
              </w:rPr>
              <w:t>22</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0797153" w14:textId="2CC873F8" w:rsidR="007F312E" w:rsidRPr="00840784" w:rsidRDefault="00E83F91" w:rsidP="00840784">
      <w:pPr>
        <w:jc w:val="center"/>
        <w:rPr>
          <w:b/>
          <w:sz w:val="24"/>
          <w:szCs w:val="24"/>
        </w:rPr>
      </w:pPr>
      <w:r>
        <w:rPr>
          <w:b/>
          <w:sz w:val="24"/>
          <w:szCs w:val="24"/>
        </w:rPr>
        <w:br w:type="page"/>
      </w: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54E48565" w14:textId="77777777" w:rsidR="00840784" w:rsidRPr="00840784" w:rsidRDefault="00840784" w:rsidP="00840784">
            <w:pPr>
              <w:spacing w:line="360" w:lineRule="auto"/>
              <w:rPr>
                <w:bCs/>
                <w:sz w:val="22"/>
                <w:szCs w:val="22"/>
                <w:shd w:val="clear" w:color="auto" w:fill="FFFFFF"/>
              </w:rPr>
            </w:pPr>
            <w:r w:rsidRPr="00840784">
              <w:rPr>
                <w:sz w:val="22"/>
                <w:szCs w:val="22"/>
              </w:rPr>
              <w:t>Within a Community Children’s Team in a town in Wales, I was allocated to support an eight year old child [hereafter 1] on a care and support plan under s.37 of the Social Services and Well-being (Wales) Act 2014 [hereafter SSWWA 2014]. The team supports families and children who have care and support needs, are on the child protection register, in the public law outline or care proceedings. There were 415 children receiving care and support in the local authority in 2023 (</w:t>
            </w:r>
            <w:proofErr w:type="spellStart"/>
            <w:r w:rsidRPr="00840784">
              <w:rPr>
                <w:sz w:val="22"/>
                <w:szCs w:val="22"/>
              </w:rPr>
              <w:t>StatsWales</w:t>
            </w:r>
            <w:proofErr w:type="spellEnd"/>
            <w:r w:rsidRPr="00840784">
              <w:rPr>
                <w:sz w:val="22"/>
                <w:szCs w:val="22"/>
              </w:rPr>
              <w:t xml:space="preserve">, 2024c). As per the Welsh index of multiple deprivation, 1 lives in an area that is </w:t>
            </w:r>
            <w:r w:rsidRPr="00840784">
              <w:rPr>
                <w:bCs/>
                <w:sz w:val="22"/>
                <w:szCs w:val="22"/>
                <w:shd w:val="clear" w:color="auto" w:fill="FFFFFF"/>
              </w:rPr>
              <w:t xml:space="preserve">within the top 10% most deprived areas in Wales (Welsh Government, 2019). </w:t>
            </w:r>
          </w:p>
          <w:p w14:paraId="5DDE4C55" w14:textId="77777777" w:rsidR="00840784" w:rsidRPr="00840784" w:rsidRDefault="00840784" w:rsidP="00840784">
            <w:pPr>
              <w:spacing w:line="360" w:lineRule="auto"/>
              <w:rPr>
                <w:bCs/>
                <w:sz w:val="22"/>
                <w:szCs w:val="22"/>
                <w:shd w:val="clear" w:color="auto" w:fill="FFFFFF"/>
              </w:rPr>
            </w:pPr>
          </w:p>
          <w:p w14:paraId="34232E26" w14:textId="77777777" w:rsidR="00840784" w:rsidRPr="00840784" w:rsidRDefault="00840784" w:rsidP="00840784">
            <w:pPr>
              <w:spacing w:line="360" w:lineRule="auto"/>
              <w:rPr>
                <w:bCs/>
                <w:sz w:val="22"/>
                <w:szCs w:val="22"/>
                <w:shd w:val="clear" w:color="auto" w:fill="FFFFFF"/>
              </w:rPr>
            </w:pPr>
            <w:r w:rsidRPr="00840784">
              <w:rPr>
                <w:bCs/>
                <w:sz w:val="22"/>
                <w:szCs w:val="22"/>
                <w:shd w:val="clear" w:color="auto" w:fill="FFFFFF"/>
              </w:rPr>
              <w:t xml:space="preserve">I was allocated to complete an assessment of 1’s needs to inform their care and support plan as per s.54 SSWWA 2014. Concerns within the family that were assessed include parental mental ill health, poor home conditions and the impact of 1’s younger sibling’s </w:t>
            </w:r>
            <w:r w:rsidRPr="00840784">
              <w:rPr>
                <w:sz w:val="22"/>
                <w:szCs w:val="22"/>
              </w:rPr>
              <w:t xml:space="preserve">[hereafter 2] </w:t>
            </w:r>
            <w:r w:rsidRPr="00840784">
              <w:rPr>
                <w:bCs/>
                <w:sz w:val="22"/>
                <w:szCs w:val="22"/>
                <w:shd w:val="clear" w:color="auto" w:fill="FFFFFF"/>
              </w:rPr>
              <w:t xml:space="preserve">disabilities on 1’s care and support needs. The assessment concluded that there was no ongoing support needed for 1 due to parents continuing to engage with mental health services, support workers regularly visiting to support the family to maintain home conditions and ongoing support for 2 from the Child Disability Team. Before closure, there was an unexplained bruise reported on 2 by education, so there was a strategy discussion and 2 had a child protection medical. I was required to complete s.47 enquiries </w:t>
            </w:r>
            <w:r w:rsidRPr="00840784">
              <w:rPr>
                <w:bCs/>
                <w:sz w:val="22"/>
                <w:szCs w:val="22"/>
                <w:shd w:val="clear" w:color="auto" w:fill="FFFFFF"/>
              </w:rPr>
              <w:lastRenderedPageBreak/>
              <w:t xml:space="preserve">for 1 under the Children Act 1989 (Walsh, 2020). The outcome of my safeguarding assessment was that 1 was not judged to be at continuing risk of significant harm. The varying nature of the concerns within the family and the different professionals involved in providing support increased the complexity of the social work interaction. Further complexity was added by two social workers from different teams being allocated to complete the safeguarding assessment for each child (Kelly </w:t>
            </w:r>
            <w:r w:rsidRPr="00840784">
              <w:rPr>
                <w:bCs/>
                <w:i/>
                <w:sz w:val="22"/>
                <w:szCs w:val="22"/>
                <w:shd w:val="clear" w:color="auto" w:fill="FFFFFF"/>
              </w:rPr>
              <w:t>et al</w:t>
            </w:r>
            <w:r w:rsidRPr="00840784">
              <w:rPr>
                <w:bCs/>
                <w:sz w:val="22"/>
                <w:szCs w:val="22"/>
                <w:shd w:val="clear" w:color="auto" w:fill="FFFFFF"/>
              </w:rPr>
              <w:t>., 2020).</w:t>
            </w:r>
          </w:p>
          <w:p w14:paraId="44AE3668" w14:textId="77777777" w:rsidR="00840784" w:rsidRPr="00840784" w:rsidRDefault="00840784" w:rsidP="00840784">
            <w:pPr>
              <w:spacing w:line="360" w:lineRule="auto"/>
              <w:rPr>
                <w:bCs/>
                <w:sz w:val="22"/>
                <w:szCs w:val="22"/>
                <w:shd w:val="clear" w:color="auto" w:fill="FFFFFF"/>
              </w:rPr>
            </w:pPr>
          </w:p>
          <w:p w14:paraId="6A69FC03" w14:textId="77777777" w:rsidR="00840784" w:rsidRPr="00840784" w:rsidRDefault="00840784" w:rsidP="00840784">
            <w:pPr>
              <w:spacing w:line="360" w:lineRule="auto"/>
              <w:rPr>
                <w:bCs/>
                <w:sz w:val="22"/>
                <w:szCs w:val="22"/>
                <w:shd w:val="clear" w:color="auto" w:fill="FFFFFF"/>
              </w:rPr>
            </w:pPr>
            <w:r w:rsidRPr="00840784">
              <w:rPr>
                <w:bCs/>
                <w:sz w:val="22"/>
                <w:szCs w:val="22"/>
                <w:shd w:val="clear" w:color="auto" w:fill="FFFFFF"/>
              </w:rPr>
              <w:t xml:space="preserve">SSWWA 2014 is the overarching safeguarding legislation in Wales. Llewellyn </w:t>
            </w:r>
            <w:r w:rsidRPr="00840784">
              <w:rPr>
                <w:bCs/>
                <w:i/>
                <w:sz w:val="22"/>
                <w:szCs w:val="22"/>
                <w:shd w:val="clear" w:color="auto" w:fill="FFFFFF"/>
              </w:rPr>
              <w:t>et al.</w:t>
            </w:r>
            <w:r w:rsidRPr="00840784">
              <w:rPr>
                <w:bCs/>
                <w:sz w:val="22"/>
                <w:szCs w:val="22"/>
                <w:shd w:val="clear" w:color="auto" w:fill="FFFFFF"/>
              </w:rPr>
              <w:t xml:space="preserve"> (2022, p.2) states that SSWWA 2014 aimed to produce “transformative changes” in </w:t>
            </w:r>
            <w:r w:rsidRPr="00840784">
              <w:rPr>
                <w:sz w:val="22"/>
                <w:szCs w:val="22"/>
                <w:lang w:val="en-US"/>
              </w:rPr>
              <w:t>public policy, regulations and service delivery, by providing a new direction and framework for Welsh social care</w:t>
            </w:r>
            <w:r w:rsidRPr="00840784">
              <w:rPr>
                <w:bCs/>
                <w:sz w:val="22"/>
                <w:szCs w:val="22"/>
                <w:shd w:val="clear" w:color="auto" w:fill="FFFFFF"/>
              </w:rPr>
              <w:t>. The fundamental principles of SSWWA 2014 are voice and control, prevention and early intervention, well-being, co-production and multi-agency working. The Act provides the legal framework to improve the well-being of carers and people needing care and support through social care in Wales. Part 7 of the Act includes duties and guidance for safeguarding ‘children at risk’ (s.130-1).  The key principles of the Act provided a basis for my analysis, assessment and intervention with 1. I met with 1 in school to gather his views, giving him voice and control within the visit, on reflection this was useful because it provided the opportunity to build a positive relationship with 1. Through direct work with 1, I got to know his motivations and interests, gained an insight into his daily lived experience and his relationship with family members (Tait and Dunn, 2018). 1’s voice and outcomes were directly quoted in my written assessment (</w:t>
            </w:r>
            <w:r w:rsidRPr="00840784">
              <w:rPr>
                <w:sz w:val="22"/>
                <w:szCs w:val="22"/>
              </w:rPr>
              <w:t>Social Care Wales [hereafter SCW]</w:t>
            </w:r>
            <w:r w:rsidRPr="00840784">
              <w:rPr>
                <w:bCs/>
                <w:sz w:val="22"/>
                <w:szCs w:val="22"/>
                <w:shd w:val="clear" w:color="auto" w:fill="FFFFFF"/>
              </w:rPr>
              <w:t xml:space="preserve">, </w:t>
            </w:r>
            <w:proofErr w:type="spellStart"/>
            <w:r w:rsidRPr="00840784">
              <w:rPr>
                <w:bCs/>
                <w:sz w:val="22"/>
                <w:szCs w:val="22"/>
                <w:shd w:val="clear" w:color="auto" w:fill="FFFFFF"/>
              </w:rPr>
              <w:t>n.d.</w:t>
            </w:r>
            <w:proofErr w:type="spellEnd"/>
            <w:r w:rsidRPr="00840784">
              <w:rPr>
                <w:bCs/>
                <w:sz w:val="22"/>
                <w:szCs w:val="22"/>
                <w:shd w:val="clear" w:color="auto" w:fill="FFFFFF"/>
              </w:rPr>
              <w:t>). Through collaborative working I gathered information from education and health professionals, as per the SSWWA 2014 principle of multi-agency working (Crawford, 2012). 1’s parents co-produced the plan of support, which included preventative community services such as the mental health team and workers to prevent home conditions escalating to critical need (Gray, 2014). Upon reflection, the key principles of SSWWA 2014 provided the basis for the safeguarding assessment, I felt this approach went well as the family received ongoing support aligned with their wishes and the risks to the children did not escalate.</w:t>
            </w:r>
          </w:p>
          <w:p w14:paraId="7EF5DCD2" w14:textId="77777777" w:rsidR="00840784" w:rsidRPr="00840784" w:rsidRDefault="00840784" w:rsidP="00840784">
            <w:pPr>
              <w:spacing w:line="360" w:lineRule="auto"/>
              <w:rPr>
                <w:bCs/>
                <w:sz w:val="22"/>
                <w:szCs w:val="22"/>
                <w:shd w:val="clear" w:color="auto" w:fill="FFFFFF"/>
              </w:rPr>
            </w:pPr>
          </w:p>
          <w:p w14:paraId="39256D69" w14:textId="77777777" w:rsidR="00840784" w:rsidRPr="00840784" w:rsidRDefault="00840784" w:rsidP="00840784">
            <w:pPr>
              <w:spacing w:line="360" w:lineRule="auto"/>
              <w:rPr>
                <w:bCs/>
                <w:sz w:val="22"/>
                <w:szCs w:val="22"/>
                <w:shd w:val="clear" w:color="auto" w:fill="FFFFFF"/>
              </w:rPr>
            </w:pPr>
            <w:r w:rsidRPr="00840784">
              <w:rPr>
                <w:bCs/>
                <w:sz w:val="22"/>
                <w:szCs w:val="22"/>
                <w:shd w:val="clear" w:color="auto" w:fill="FFFFFF"/>
              </w:rPr>
              <w:t xml:space="preserve">The Well-being of Future Generations (Wales) Act 2015 takes the ethos and principles of SSWWA 2014 and extends them to the broader population, promoting collaboration to improve the social, economic, environmental and cultural well-being in Wales. Reflecting on the wider context of the case study, the family lives in an area of deprivation, it is important that integration is promoted at a policy and structural level to address the challenges evident in the community (Welsh Government, 2019). 1 cannot be assessed in isolation and acknowledgement of the environmental factors and </w:t>
            </w:r>
            <w:r w:rsidRPr="00840784">
              <w:rPr>
                <w:bCs/>
                <w:sz w:val="22"/>
                <w:szCs w:val="22"/>
                <w:shd w:val="clear" w:color="auto" w:fill="FFFFFF"/>
              </w:rPr>
              <w:lastRenderedPageBreak/>
              <w:t>social resources prompts a multi-faceted response. Thompson (2016) argues that an integrated approach to safeguarding children is promoted following a number of high profile inquires, Child Practice Reviews and political change. Collaboration is emphasised at a regional level through Safeguarding Boards, Part 7 of SSWWA 2014 sets out their functions and responsibilities. The Regional Safeguarding Board promotes, supports and informs effective multi-agency co-operation in planning, delivering and information sharing to safeguard and improve outcomes for children in the region (X Safeguarding Board, 2024). These wider principles translate directly to practice. In the assessment, I collaborated with the school, the family support workers, 2’s social worker and the doctor who completed the child protection medical of 2. Effective multi-agency working was facilitated by an understanding of other professionals’ role and function in supporting the family (Crawford, 2012). I sought consent from parents to contact multi-agency professionals to gather information to inform my analysis and assessment, in accordance with the General Data Protection Regulation [hereafter GDPR (2018)] and Data Protection Act 2018 (Duncan, 2019). The information I requested was necessary, proportionate, relevant, adequate, and accurate as stated in the Wales Safeguarding Procedures (SCW, 2024). It was positive that 1’s parents provided consent for information sharing between agencies, however if they had not this would have created an ethical dilemma with potential conflict between privacy and protection; I would have aimed to balance these rights through a proportionate response (Adams and Lee-Jones, 2017). While the legislation states that children have the right to privacy and data protection to promote their dignity and agency, their welfare is paramount (</w:t>
            </w:r>
            <w:proofErr w:type="spellStart"/>
            <w:r w:rsidRPr="00840784">
              <w:rPr>
                <w:bCs/>
                <w:sz w:val="22"/>
                <w:szCs w:val="22"/>
                <w:shd w:val="clear" w:color="auto" w:fill="FFFFFF"/>
              </w:rPr>
              <w:t>Verdoodt</w:t>
            </w:r>
            <w:proofErr w:type="spellEnd"/>
            <w:r w:rsidRPr="00840784">
              <w:rPr>
                <w:bCs/>
                <w:sz w:val="22"/>
                <w:szCs w:val="22"/>
                <w:shd w:val="clear" w:color="auto" w:fill="FFFFFF"/>
              </w:rPr>
              <w:t xml:space="preserve">, Zhang and </w:t>
            </w:r>
            <w:proofErr w:type="spellStart"/>
            <w:r w:rsidRPr="00840784">
              <w:rPr>
                <w:bCs/>
                <w:sz w:val="22"/>
                <w:szCs w:val="22"/>
                <w:shd w:val="clear" w:color="auto" w:fill="FFFFFF"/>
              </w:rPr>
              <w:t>Lievens</w:t>
            </w:r>
            <w:proofErr w:type="spellEnd"/>
            <w:r w:rsidRPr="00840784">
              <w:rPr>
                <w:bCs/>
                <w:sz w:val="22"/>
                <w:szCs w:val="22"/>
                <w:shd w:val="clear" w:color="auto" w:fill="FFFFFF"/>
              </w:rPr>
              <w:t>, 2024).</w:t>
            </w:r>
          </w:p>
          <w:p w14:paraId="6BE31834" w14:textId="77777777" w:rsidR="00840784" w:rsidRPr="00840784" w:rsidRDefault="00840784" w:rsidP="00840784">
            <w:pPr>
              <w:spacing w:line="360" w:lineRule="auto"/>
              <w:rPr>
                <w:bCs/>
                <w:sz w:val="22"/>
                <w:szCs w:val="22"/>
                <w:shd w:val="clear" w:color="auto" w:fill="FFFFFF"/>
              </w:rPr>
            </w:pPr>
          </w:p>
          <w:p w14:paraId="0224728A" w14:textId="1A082ECE" w:rsidR="00840784" w:rsidRPr="00840784" w:rsidRDefault="00840784" w:rsidP="00840784">
            <w:pPr>
              <w:spacing w:line="360" w:lineRule="auto"/>
              <w:rPr>
                <w:sz w:val="22"/>
                <w:szCs w:val="22"/>
              </w:rPr>
            </w:pPr>
            <w:r w:rsidRPr="00840784">
              <w:rPr>
                <w:bCs/>
                <w:sz w:val="22"/>
                <w:szCs w:val="22"/>
                <w:shd w:val="clear" w:color="auto" w:fill="FFFFFF"/>
              </w:rPr>
              <w:t xml:space="preserve">The Wales Safeguarding Procedures and the statutory guidance ‘Working Together to Safeguard People’ (SCW, 2022, 2024) guided my analysis and assessment of child 1. I consulted the procedures to consider the indicators of harm, neglect or abuse and analysed these factors in relation to the information I had gathered from the family, case files and multi-agency professionals. </w:t>
            </w:r>
            <w:r w:rsidRPr="00840784">
              <w:rPr>
                <w:sz w:val="22"/>
                <w:szCs w:val="22"/>
              </w:rPr>
              <w:t xml:space="preserve">When reflecting on my role, it was important that 1 was not reduced to indicators of harm but recognised as a dynamic individual in his own right. </w:t>
            </w:r>
            <w:r w:rsidRPr="00840784">
              <w:rPr>
                <w:bCs/>
                <w:sz w:val="22"/>
                <w:szCs w:val="22"/>
                <w:shd w:val="clear" w:color="auto" w:fill="FFFFFF"/>
              </w:rPr>
              <w:t>My findings indicated that when parents struggled to manage 2’s behaviours and needs, their mental health and home conditions declined. Therefore, possibly impacting upon 1’s basic need</w:t>
            </w:r>
            <w:r w:rsidR="007D0292">
              <w:rPr>
                <w:bCs/>
                <w:sz w:val="22"/>
                <w:szCs w:val="22"/>
                <w:shd w:val="clear" w:color="auto" w:fill="FFFFFF"/>
              </w:rPr>
              <w:t>s</w:t>
            </w:r>
            <w:r w:rsidRPr="00840784">
              <w:rPr>
                <w:bCs/>
                <w:sz w:val="22"/>
                <w:szCs w:val="22"/>
                <w:shd w:val="clear" w:color="auto" w:fill="FFFFFF"/>
              </w:rPr>
              <w:t xml:space="preserve"> being met consistently.</w:t>
            </w:r>
          </w:p>
          <w:p w14:paraId="4B4ABE1F" w14:textId="77777777" w:rsidR="00840784" w:rsidRPr="00840784" w:rsidRDefault="00840784" w:rsidP="00840784">
            <w:pPr>
              <w:spacing w:line="360" w:lineRule="auto"/>
              <w:rPr>
                <w:bCs/>
                <w:sz w:val="22"/>
                <w:szCs w:val="22"/>
                <w:shd w:val="clear" w:color="auto" w:fill="FFFFFF"/>
              </w:rPr>
            </w:pPr>
          </w:p>
          <w:p w14:paraId="0D6C88A1" w14:textId="72AE4B6B" w:rsidR="00840784" w:rsidRPr="00840784" w:rsidRDefault="00840784" w:rsidP="00840784">
            <w:pPr>
              <w:spacing w:line="360" w:lineRule="auto"/>
              <w:rPr>
                <w:bCs/>
                <w:sz w:val="22"/>
                <w:szCs w:val="22"/>
                <w:shd w:val="clear" w:color="auto" w:fill="FFFFFF"/>
              </w:rPr>
            </w:pPr>
            <w:r w:rsidRPr="00840784">
              <w:rPr>
                <w:bCs/>
                <w:sz w:val="22"/>
                <w:szCs w:val="22"/>
                <w:shd w:val="clear" w:color="auto" w:fill="FFFFFF"/>
              </w:rPr>
              <w:t xml:space="preserve">The Wales Safeguarding Procedures provide easily accessible tools and practice guides, therefore supporting consistency in social work practice within complex situations. </w:t>
            </w:r>
            <w:r w:rsidR="00885B9C" w:rsidRPr="00840784">
              <w:rPr>
                <w:bCs/>
                <w:sz w:val="22"/>
                <w:szCs w:val="22"/>
                <w:shd w:val="clear" w:color="auto" w:fill="FFFFFF"/>
              </w:rPr>
              <w:t xml:space="preserve">Section 3, part 1: ‘Responding to a report of a child at risk of harm, abuse and/ or neglect’ and section 3, part 2: ‘Decision making and initial child protection conferences’ were particularly useful to inform my </w:t>
            </w:r>
            <w:r w:rsidR="00885B9C" w:rsidRPr="00840784">
              <w:rPr>
                <w:bCs/>
                <w:sz w:val="22"/>
                <w:szCs w:val="22"/>
                <w:shd w:val="clear" w:color="auto" w:fill="FFFFFF"/>
              </w:rPr>
              <w:lastRenderedPageBreak/>
              <w:t>analysis and recommendations as part of s.47 enquiries for 1 (SCW, 2024).</w:t>
            </w:r>
            <w:r w:rsidR="00885B9C">
              <w:rPr>
                <w:bCs/>
                <w:sz w:val="22"/>
                <w:szCs w:val="22"/>
                <w:shd w:val="clear" w:color="auto" w:fill="FFFFFF"/>
              </w:rPr>
              <w:t xml:space="preserve"> </w:t>
            </w:r>
            <w:r w:rsidRPr="00840784">
              <w:rPr>
                <w:bCs/>
                <w:sz w:val="22"/>
                <w:szCs w:val="22"/>
                <w:shd w:val="clear" w:color="auto" w:fill="FFFFFF"/>
              </w:rPr>
              <w:t xml:space="preserve">Reflecting on their application in practice, they set service user and other professionals expectations and clarify roles and responsibilities to support collaborative working (SCW, 2024). However, critically reflecting, it could be argued that it is not sufficient to consider the procedures in isolation, and it is important to note that each family has its own unique set of circumstances, strengths and challenges which cannot be simplified to a checklist of considerations (Dyke, 2019). Supervision, critical reflection and peer discussion provide a dynamic and reflexive framework to address the ambiguity and complexity within families, it is important to utilise these tools in addition to legislation to strengthen analysis and decision making in safeguarding assessments (Van der Tier, </w:t>
            </w:r>
            <w:proofErr w:type="spellStart"/>
            <w:r w:rsidRPr="00840784">
              <w:rPr>
                <w:bCs/>
                <w:sz w:val="22"/>
                <w:szCs w:val="22"/>
                <w:shd w:val="clear" w:color="auto" w:fill="FFFFFF"/>
              </w:rPr>
              <w:t>Hermans</w:t>
            </w:r>
            <w:proofErr w:type="spellEnd"/>
            <w:r w:rsidRPr="00840784">
              <w:rPr>
                <w:bCs/>
                <w:sz w:val="22"/>
                <w:szCs w:val="22"/>
                <w:shd w:val="clear" w:color="auto" w:fill="FFFFFF"/>
              </w:rPr>
              <w:t xml:space="preserve"> and Potting, 2021).</w:t>
            </w:r>
          </w:p>
          <w:p w14:paraId="17C2390B" w14:textId="77777777" w:rsidR="00840784" w:rsidRPr="00840784" w:rsidRDefault="00840784" w:rsidP="00840784">
            <w:pPr>
              <w:spacing w:line="360" w:lineRule="auto"/>
              <w:rPr>
                <w:bCs/>
                <w:sz w:val="22"/>
                <w:szCs w:val="22"/>
                <w:shd w:val="clear" w:color="auto" w:fill="FFFFFF"/>
              </w:rPr>
            </w:pPr>
          </w:p>
          <w:p w14:paraId="11132973" w14:textId="77777777" w:rsidR="00840784" w:rsidRPr="00840784" w:rsidRDefault="00840784" w:rsidP="00840784">
            <w:pPr>
              <w:spacing w:line="360" w:lineRule="auto"/>
              <w:rPr>
                <w:bCs/>
                <w:sz w:val="22"/>
                <w:szCs w:val="22"/>
                <w:shd w:val="clear" w:color="auto" w:fill="FFFFFF"/>
              </w:rPr>
            </w:pPr>
            <w:r w:rsidRPr="00840784">
              <w:rPr>
                <w:bCs/>
                <w:sz w:val="22"/>
                <w:szCs w:val="22"/>
                <w:shd w:val="clear" w:color="auto" w:fill="FFFFFF"/>
              </w:rPr>
              <w:t xml:space="preserve">It is noted that SSWWA 2014 was introduced to address the challenges in public services in Wales highlighted in the White Paper, ‘Sustainable Social Services for Wales: A Framework for Action’ (Welsh Assembly Government, 2011). Therefore, SSWWA 2014 can be considered reflective of the wider themes in Welsh social care, such as changing demographics, increased expectations and economic restrictions (SCW, 2024a). However, it is important to acknowledge that there are limitations to social care law and policy in Wales. </w:t>
            </w:r>
            <w:proofErr w:type="spellStart"/>
            <w:r w:rsidRPr="00840784">
              <w:rPr>
                <w:bCs/>
                <w:sz w:val="22"/>
                <w:szCs w:val="22"/>
                <w:shd w:val="clear" w:color="auto" w:fill="FFFFFF"/>
              </w:rPr>
              <w:t>Gwilym</w:t>
            </w:r>
            <w:proofErr w:type="spellEnd"/>
            <w:r w:rsidRPr="00840784">
              <w:rPr>
                <w:bCs/>
                <w:sz w:val="22"/>
                <w:szCs w:val="22"/>
                <w:shd w:val="clear" w:color="auto" w:fill="FFFFFF"/>
              </w:rPr>
              <w:t xml:space="preserve"> and Williams (2021) argue that devolution in Wales is a process and not an event, with the impact of Welsh social care law and policy limited due to the family and law courts not being devolved. Additionally, social care in Wales is restricted by Welsh Governments’ lack of economic control and power and the influence of international pressures (</w:t>
            </w:r>
            <w:proofErr w:type="spellStart"/>
            <w:r w:rsidRPr="00840784">
              <w:rPr>
                <w:bCs/>
                <w:sz w:val="22"/>
                <w:szCs w:val="22"/>
                <w:shd w:val="clear" w:color="auto" w:fill="FFFFFF"/>
              </w:rPr>
              <w:t>Gwilym</w:t>
            </w:r>
            <w:proofErr w:type="spellEnd"/>
            <w:r w:rsidRPr="00840784">
              <w:rPr>
                <w:bCs/>
                <w:sz w:val="22"/>
                <w:szCs w:val="22"/>
                <w:shd w:val="clear" w:color="auto" w:fill="FFFFFF"/>
              </w:rPr>
              <w:t xml:space="preserve"> and Williams, 2021). Therefore, Welsh social care legislation and its impact on practice cannot be viewed in isolation and it is important to consider the interface at a national and international level. Reflecting in relation to 1, my practice was also influenced by legislation in the United Kingdom, within and outside the EU. This has made me reflect on the complexities of applying the law in practice; practice is influenced by a patchwork of different legislation.</w:t>
            </w:r>
          </w:p>
          <w:p w14:paraId="2729DB13" w14:textId="77777777" w:rsidR="00840784" w:rsidRPr="00840784" w:rsidRDefault="00840784" w:rsidP="00840784">
            <w:pPr>
              <w:spacing w:line="360" w:lineRule="auto"/>
              <w:rPr>
                <w:bCs/>
                <w:sz w:val="22"/>
                <w:szCs w:val="22"/>
                <w:highlight w:val="yellow"/>
                <w:shd w:val="clear" w:color="auto" w:fill="FFFFFF"/>
              </w:rPr>
            </w:pPr>
          </w:p>
          <w:p w14:paraId="0BC62785" w14:textId="77A0EDC0" w:rsidR="00840784" w:rsidRPr="00840784" w:rsidRDefault="00840784" w:rsidP="00840784">
            <w:pPr>
              <w:spacing w:line="360" w:lineRule="auto"/>
              <w:rPr>
                <w:bCs/>
                <w:sz w:val="22"/>
                <w:szCs w:val="22"/>
                <w:shd w:val="clear" w:color="auto" w:fill="FFFFFF"/>
              </w:rPr>
            </w:pPr>
            <w:r w:rsidRPr="00840784">
              <w:rPr>
                <w:bCs/>
                <w:sz w:val="22"/>
                <w:szCs w:val="22"/>
                <w:shd w:val="clear" w:color="auto" w:fill="FFFFFF"/>
              </w:rPr>
              <w:t xml:space="preserve">While the principles of SSWWA 2014 and guidance of the Wales Safeguarding Procedures informed the safeguarding assessment of 1, the assessment was completed under s.47 of the Children Act 1989: ‘Local authority’s duty to investigate’. Bunting </w:t>
            </w:r>
            <w:r w:rsidRPr="00840784">
              <w:rPr>
                <w:bCs/>
                <w:i/>
                <w:sz w:val="22"/>
                <w:szCs w:val="22"/>
                <w:shd w:val="clear" w:color="auto" w:fill="FFFFFF"/>
              </w:rPr>
              <w:t>et al</w:t>
            </w:r>
            <w:r w:rsidRPr="00840784">
              <w:rPr>
                <w:bCs/>
                <w:sz w:val="22"/>
                <w:szCs w:val="22"/>
                <w:shd w:val="clear" w:color="auto" w:fill="FFFFFF"/>
              </w:rPr>
              <w:t xml:space="preserve">. (2018) state that while there has been significant reform of the structural and procedural aspects of child protection policy across the UK, the Children Act 1989 remains the legislative foundation of child protection systems. On reflection, </w:t>
            </w:r>
            <w:r w:rsidR="00885B9C" w:rsidRPr="00840784">
              <w:rPr>
                <w:bCs/>
                <w:sz w:val="22"/>
                <w:szCs w:val="22"/>
                <w:shd w:val="clear" w:color="auto" w:fill="FFFFFF"/>
              </w:rPr>
              <w:t xml:space="preserve">it is noted that </w:t>
            </w:r>
            <w:r w:rsidRPr="00840784">
              <w:rPr>
                <w:bCs/>
                <w:sz w:val="22"/>
                <w:szCs w:val="22"/>
                <w:shd w:val="clear" w:color="auto" w:fill="FFFFFF"/>
              </w:rPr>
              <w:t xml:space="preserve">this Act is 35 years old and from 1989 to present day there have been significant demographic, societal and environmental changes. When considering as part of the assessment whether 1 was suffering or is likely to suffer significant harm, the definition of significant harm as per s.31(9) Children Act 1989 was followed. However, there are differences in the definitions of the </w:t>
            </w:r>
            <w:r w:rsidRPr="00840784">
              <w:rPr>
                <w:bCs/>
                <w:sz w:val="22"/>
                <w:szCs w:val="22"/>
                <w:shd w:val="clear" w:color="auto" w:fill="FFFFFF"/>
              </w:rPr>
              <w:lastRenderedPageBreak/>
              <w:t>categories of harm, abuse and neglect across the UK. My assessment of 1 was informed by the definitions abuse and neglect set out in the statutory guidance in relation to Part 7 of SSWWA 2014 ‘Working Together to Safeguard People: Volume 5 – Handling Individual Cases to Protect Children at Risk’ (Welsh Government, 2018).</w:t>
            </w:r>
            <w:r w:rsidRPr="00840784">
              <w:rPr>
                <w:bCs/>
                <w:color w:val="FF0000"/>
                <w:sz w:val="22"/>
                <w:szCs w:val="22"/>
                <w:shd w:val="clear" w:color="auto" w:fill="FFFFFF"/>
              </w:rPr>
              <w:t xml:space="preserve"> </w:t>
            </w:r>
            <w:r w:rsidRPr="00840784">
              <w:rPr>
                <w:bCs/>
                <w:sz w:val="22"/>
                <w:szCs w:val="22"/>
                <w:shd w:val="clear" w:color="auto" w:fill="FFFFFF"/>
              </w:rPr>
              <w:t xml:space="preserve">In relation to these definitions, I determined that 1 was not suffering or likely to suffer significant harm. Bunting </w:t>
            </w:r>
            <w:r w:rsidRPr="00840784">
              <w:rPr>
                <w:bCs/>
                <w:i/>
                <w:sz w:val="22"/>
                <w:szCs w:val="22"/>
                <w:shd w:val="clear" w:color="auto" w:fill="FFFFFF"/>
              </w:rPr>
              <w:t>et al.</w:t>
            </w:r>
            <w:r w:rsidRPr="00840784">
              <w:rPr>
                <w:bCs/>
                <w:sz w:val="22"/>
                <w:szCs w:val="22"/>
                <w:shd w:val="clear" w:color="auto" w:fill="FFFFFF"/>
              </w:rPr>
              <w:t xml:space="preserve"> (2018) argues that there are broad trends evident in child protection systems across the UK. However, while the Children Act 1989 aimed to provide a statutory basis for family support services, practice is impacted by definitional, legislative, and operational differences between nations (Bunting </w:t>
            </w:r>
            <w:r w:rsidRPr="00840784">
              <w:rPr>
                <w:bCs/>
                <w:i/>
                <w:sz w:val="22"/>
                <w:szCs w:val="22"/>
                <w:shd w:val="clear" w:color="auto" w:fill="FFFFFF"/>
              </w:rPr>
              <w:t>et al</w:t>
            </w:r>
            <w:r w:rsidRPr="00840784">
              <w:rPr>
                <w:bCs/>
                <w:sz w:val="22"/>
                <w:szCs w:val="22"/>
                <w:shd w:val="clear" w:color="auto" w:fill="FFFFFF"/>
              </w:rPr>
              <w:t xml:space="preserve">., 2018). On reflection, I thought about how subjective the term ‘significant harm’ is, while </w:t>
            </w:r>
            <w:proofErr w:type="gramStart"/>
            <w:r w:rsidRPr="00840784">
              <w:rPr>
                <w:bCs/>
                <w:sz w:val="22"/>
                <w:szCs w:val="22"/>
                <w:shd w:val="clear" w:color="auto" w:fill="FFFFFF"/>
              </w:rPr>
              <w:t>s.31(</w:t>
            </w:r>
            <w:proofErr w:type="gramEnd"/>
            <w:r w:rsidRPr="00840784">
              <w:rPr>
                <w:bCs/>
                <w:sz w:val="22"/>
                <w:szCs w:val="22"/>
                <w:shd w:val="clear" w:color="auto" w:fill="FFFFFF"/>
              </w:rPr>
              <w:t>9) defines harm, what is meant by ‘significant’ is open to interpretation (Phillimore, 2014). As a practitioner this makes assessing and managing risk more complex and worrying, I thought about how the impact o</w:t>
            </w:r>
            <w:r w:rsidR="00885B9C">
              <w:rPr>
                <w:bCs/>
                <w:sz w:val="22"/>
                <w:szCs w:val="22"/>
                <w:shd w:val="clear" w:color="auto" w:fill="FFFFFF"/>
              </w:rPr>
              <w:t xml:space="preserve">f my decision-making would keep </w:t>
            </w:r>
            <w:r w:rsidRPr="00840784">
              <w:rPr>
                <w:bCs/>
                <w:sz w:val="22"/>
                <w:szCs w:val="22"/>
                <w:shd w:val="clear" w:color="auto" w:fill="FFFFFF"/>
              </w:rPr>
              <w:t>1 safe.</w:t>
            </w:r>
          </w:p>
          <w:p w14:paraId="4BE6D4F5" w14:textId="77777777" w:rsidR="00840784" w:rsidRPr="00840784" w:rsidRDefault="00840784" w:rsidP="00840784">
            <w:pPr>
              <w:spacing w:line="360" w:lineRule="auto"/>
              <w:rPr>
                <w:bCs/>
                <w:sz w:val="22"/>
                <w:szCs w:val="22"/>
                <w:shd w:val="clear" w:color="auto" w:fill="FFFFFF"/>
              </w:rPr>
            </w:pPr>
          </w:p>
          <w:p w14:paraId="73442AED" w14:textId="52EB7832" w:rsidR="00885B9C" w:rsidRDefault="00840784" w:rsidP="00840784">
            <w:pPr>
              <w:spacing w:line="360" w:lineRule="auto"/>
              <w:rPr>
                <w:sz w:val="22"/>
                <w:szCs w:val="22"/>
              </w:rPr>
            </w:pPr>
            <w:r w:rsidRPr="00840784">
              <w:rPr>
                <w:bCs/>
                <w:sz w:val="22"/>
                <w:szCs w:val="22"/>
                <w:shd w:val="clear" w:color="auto" w:fill="FFFFFF"/>
              </w:rPr>
              <w:t xml:space="preserve">Internationally, the United Nations Convention on the Rights of the Child 1989 </w:t>
            </w:r>
            <w:r w:rsidRPr="00840784">
              <w:rPr>
                <w:sz w:val="22"/>
                <w:szCs w:val="22"/>
              </w:rPr>
              <w:t xml:space="preserve">[hereafter </w:t>
            </w:r>
            <w:r w:rsidRPr="00840784">
              <w:rPr>
                <w:bCs/>
                <w:sz w:val="22"/>
                <w:szCs w:val="22"/>
                <w:shd w:val="clear" w:color="auto" w:fill="FFFFFF"/>
              </w:rPr>
              <w:t>UNCRC 1989] sets out the social, cultural, political, civil and cultural rights of every child in 54 articles (UNICEF UK, 1989). The Rights of Children and Young Persons (Wales) Measure 2011, puts children’s rights and a commitment to the UNCRC at the forefront of Welsh legislation and policy (</w:t>
            </w:r>
            <w:proofErr w:type="spellStart"/>
            <w:r w:rsidRPr="00840784">
              <w:rPr>
                <w:bCs/>
                <w:sz w:val="22"/>
                <w:szCs w:val="22"/>
                <w:shd w:val="clear" w:color="auto" w:fill="FFFFFF"/>
              </w:rPr>
              <w:t>Croke</w:t>
            </w:r>
            <w:proofErr w:type="spellEnd"/>
            <w:r w:rsidRPr="00840784">
              <w:rPr>
                <w:bCs/>
                <w:sz w:val="22"/>
                <w:szCs w:val="22"/>
                <w:shd w:val="clear" w:color="auto" w:fill="FFFFFF"/>
              </w:rPr>
              <w:t xml:space="preserve"> </w:t>
            </w:r>
            <w:r w:rsidRPr="00840784">
              <w:rPr>
                <w:bCs/>
                <w:i/>
                <w:sz w:val="22"/>
                <w:szCs w:val="22"/>
                <w:shd w:val="clear" w:color="auto" w:fill="FFFFFF"/>
              </w:rPr>
              <w:t>et al</w:t>
            </w:r>
            <w:r w:rsidRPr="00840784">
              <w:rPr>
                <w:bCs/>
                <w:sz w:val="22"/>
                <w:szCs w:val="22"/>
                <w:shd w:val="clear" w:color="auto" w:fill="FFFFFF"/>
              </w:rPr>
              <w:t xml:space="preserve">., 2021). The measure requires that it is given due regard in all policy and legislation developed and it must be actively promoted in Wales. </w:t>
            </w:r>
            <w:r w:rsidRPr="00840784">
              <w:rPr>
                <w:sz w:val="22"/>
                <w:szCs w:val="22"/>
              </w:rPr>
              <w:t xml:space="preserve">Rees (2010) argues that the measure made children’s rights a defining feature of Welsh devolution, while it is acknowledged that there were challenges with its implementation. </w:t>
            </w:r>
            <w:r w:rsidRPr="00840784">
              <w:rPr>
                <w:bCs/>
                <w:sz w:val="22"/>
                <w:szCs w:val="22"/>
                <w:shd w:val="clear" w:color="auto" w:fill="FFFFFF"/>
              </w:rPr>
              <w:t xml:space="preserve">My safeguarding assessment was informed by the UNCRC, article 19, which states that children have a right to protection from violence, abuse and neglect. The assessment determined if 1 had experienced significant harm, to develop a plan to support and protect 1. Child 1’s views, feelings and wishes were gathered and respected through direct work as per article 12, and 1’s best interests were considered as a top priority throughout the assessment as per article 3 (UNICEF UK, 1989; Tait and Dunn, 2018). It is noted however, that 1’s right to privacy under article 16, may have been compromised through the information gathering and assessment process; 1’s private, family and home life were investigated as per s.47 enquiries (UNICEF UK, 1989). It is recognised that there can be a complex relationship between promoting children’s rights verses assessing risks when applying the legislation in practice (Riddell and </w:t>
            </w:r>
            <w:proofErr w:type="spellStart"/>
            <w:r w:rsidRPr="00840784">
              <w:rPr>
                <w:bCs/>
                <w:sz w:val="22"/>
                <w:szCs w:val="22"/>
                <w:shd w:val="clear" w:color="auto" w:fill="FFFFFF"/>
              </w:rPr>
              <w:t>Tisdall</w:t>
            </w:r>
            <w:proofErr w:type="spellEnd"/>
            <w:r w:rsidRPr="00840784">
              <w:rPr>
                <w:bCs/>
                <w:sz w:val="22"/>
                <w:szCs w:val="22"/>
                <w:shd w:val="clear" w:color="auto" w:fill="FFFFFF"/>
              </w:rPr>
              <w:t xml:space="preserve">, 2021). </w:t>
            </w:r>
            <w:proofErr w:type="spellStart"/>
            <w:r w:rsidRPr="00840784">
              <w:rPr>
                <w:sz w:val="22"/>
                <w:szCs w:val="22"/>
              </w:rPr>
              <w:t>Koubel</w:t>
            </w:r>
            <w:proofErr w:type="spellEnd"/>
            <w:r w:rsidRPr="00840784">
              <w:rPr>
                <w:sz w:val="22"/>
                <w:szCs w:val="22"/>
              </w:rPr>
              <w:t xml:space="preserve"> (2016) acknowledges that as well as disputes between professionals on individual rights when there are risks, there is also debate on prioritisation if the people involved have competing rights, for example the child’s rights if in opposition with their parents views. I feel it is important for children to understand they have rights, however if the family did not engage with the assessment, arguably the </w:t>
            </w:r>
            <w:r w:rsidRPr="00840784">
              <w:rPr>
                <w:sz w:val="22"/>
                <w:szCs w:val="22"/>
              </w:rPr>
              <w:lastRenderedPageBreak/>
              <w:t>assessment and work completed with the family would not have been meaningful. The UNCRC states that all rights are of equal importance, however it could be argued that I prioritised and gave more weight to articles 19, 12 and 3 over article 16, therefore highlighting the challenges of applying this legislation in practice. The reason for this decision was because m</w:t>
            </w:r>
            <w:r w:rsidRPr="00840784">
              <w:rPr>
                <w:bCs/>
                <w:sz w:val="22"/>
                <w:szCs w:val="22"/>
                <w:shd w:val="clear" w:color="auto" w:fill="FFFFFF"/>
              </w:rPr>
              <w:t xml:space="preserve">y practice was underpinned </w:t>
            </w:r>
            <w:r w:rsidRPr="00840784">
              <w:rPr>
                <w:sz w:val="22"/>
                <w:szCs w:val="22"/>
                <w:shd w:val="clear" w:color="auto" w:fill="FFFFFF"/>
              </w:rPr>
              <w:t xml:space="preserve">by the </w:t>
            </w:r>
            <w:r w:rsidRPr="00840784">
              <w:rPr>
                <w:sz w:val="22"/>
                <w:szCs w:val="22"/>
              </w:rPr>
              <w:t xml:space="preserve">National Occupational Standards for Social Work and the Code of Professional Practice [hereafter </w:t>
            </w:r>
            <w:proofErr w:type="spellStart"/>
            <w:r w:rsidRPr="00840784">
              <w:rPr>
                <w:sz w:val="22"/>
                <w:szCs w:val="22"/>
              </w:rPr>
              <w:t>CoPP</w:t>
            </w:r>
            <w:proofErr w:type="spellEnd"/>
            <w:r w:rsidRPr="00840784">
              <w:rPr>
                <w:sz w:val="22"/>
                <w:szCs w:val="22"/>
              </w:rPr>
              <w:t xml:space="preserve">], a critical approach was utilised to balance 1’s rights with the risks, to assess and minimise the potential harm (SCW, 2011, SCDSW4; 2017, 4). Ethical codes in social work guide conduct and ethical decision making, ensuring accountability, managing the power imbalance in social work relationships and creating a professional identity through shared values (Beckett, Maynard and Jordan, </w:t>
            </w:r>
            <w:r w:rsidR="00885B9C">
              <w:rPr>
                <w:sz w:val="22"/>
                <w:szCs w:val="22"/>
              </w:rPr>
              <w:t>2017). I reflected on the delicate</w:t>
            </w:r>
            <w:r w:rsidR="00CB0ED6">
              <w:rPr>
                <w:sz w:val="22"/>
                <w:szCs w:val="22"/>
              </w:rPr>
              <w:t xml:space="preserve"> and challenging</w:t>
            </w:r>
            <w:r w:rsidR="00885B9C">
              <w:rPr>
                <w:sz w:val="22"/>
                <w:szCs w:val="22"/>
              </w:rPr>
              <w:t xml:space="preserve"> balance </w:t>
            </w:r>
            <w:r w:rsidR="00CB0ED6">
              <w:rPr>
                <w:sz w:val="22"/>
                <w:szCs w:val="22"/>
              </w:rPr>
              <w:t>when weighing this information fluidly in social work practice.</w:t>
            </w:r>
          </w:p>
          <w:p w14:paraId="09AD4D59" w14:textId="77777777" w:rsidR="00840784" w:rsidRPr="00840784" w:rsidRDefault="00840784" w:rsidP="00840784">
            <w:pPr>
              <w:spacing w:line="360" w:lineRule="auto"/>
              <w:rPr>
                <w:bCs/>
                <w:sz w:val="22"/>
                <w:szCs w:val="22"/>
                <w:shd w:val="clear" w:color="auto" w:fill="FFFFFF"/>
              </w:rPr>
            </w:pPr>
          </w:p>
          <w:p w14:paraId="587CF9D1" w14:textId="77777777" w:rsidR="00840784" w:rsidRPr="00840784" w:rsidRDefault="00840784" w:rsidP="00840784">
            <w:pPr>
              <w:spacing w:line="360" w:lineRule="auto"/>
              <w:rPr>
                <w:bCs/>
                <w:sz w:val="22"/>
                <w:szCs w:val="22"/>
                <w:shd w:val="clear" w:color="auto" w:fill="FFFFFF"/>
              </w:rPr>
            </w:pPr>
            <w:r w:rsidRPr="00840784">
              <w:rPr>
                <w:bCs/>
                <w:sz w:val="22"/>
                <w:szCs w:val="22"/>
                <w:shd w:val="clear" w:color="auto" w:fill="FFFFFF"/>
              </w:rPr>
              <w:t xml:space="preserve">2’s child protection medical concluded that on the balance of probability the bruise was most likely accidental. Based on the outcome of the medical and the other findings, the s.47 concluded that 1 was not judged to be at continuing risk of significant harm. Parents shared that they felt that 1 had no ongoing care and support needs and they did not want any further social work intervention for 1. The European Convention on Human Rights (2013) was integrated into UK law as the Human Rights Act 1998 (Adams </w:t>
            </w:r>
            <w:r w:rsidRPr="00840784">
              <w:rPr>
                <w:bCs/>
                <w:i/>
                <w:sz w:val="22"/>
                <w:szCs w:val="22"/>
                <w:shd w:val="clear" w:color="auto" w:fill="FFFFFF"/>
              </w:rPr>
              <w:t>et al.,</w:t>
            </w:r>
            <w:r w:rsidRPr="00840784">
              <w:rPr>
                <w:bCs/>
                <w:sz w:val="22"/>
                <w:szCs w:val="22"/>
                <w:shd w:val="clear" w:color="auto" w:fill="FFFFFF"/>
              </w:rPr>
              <w:t xml:space="preserve"> 2009b). Article 8, right to respect for private and family life was adhered to in my analysis and assessment. As the threshold for significant harm had not been met, there was no statutory role for social services, therefore the family’s views and their right to a private and family life was upheld. This EU legislation is integrated into UK and Welsh law and evident outside the EU in the global definition of social work approved by the International Federation of Social Workers [hereafter IFSW] (2018). The definition emphasises the principle of human rights as being central to social work (IFSW, 2018). The outcome of the assessment was a result of collaborative working with the family as per the SCW learning outcome (Duncan, 2019). While 1’s parents were initially apprehensive and worried about engaging with the safeguarding assessment, through a number of visits I developed a partnership with 1’s parents where they were able to share their views and preferences (</w:t>
            </w:r>
            <w:r w:rsidRPr="00840784">
              <w:rPr>
                <w:sz w:val="22"/>
                <w:szCs w:val="22"/>
              </w:rPr>
              <w:t>Higham, 2020). As a practitioner I have developed my confidence in completing s.47 enquires, I feel that this has improved my communication with parents through the assessment process. Upon reflection, I was able to build a relationship with the family through effective verbal communication, body language and facial expressions to co-produce a plan of support (Higham, 2020). It was important that I utilised my social work skills to develop a relationship with the family so their voice being heard was not a tokenistic gesture but integrated into the assessment. 1’s parents planned to continue</w:t>
            </w:r>
            <w:r w:rsidRPr="00840784">
              <w:rPr>
                <w:bCs/>
                <w:sz w:val="22"/>
                <w:szCs w:val="22"/>
                <w:shd w:val="clear" w:color="auto" w:fill="FFFFFF"/>
              </w:rPr>
              <w:t xml:space="preserve"> to engage with mental health services and support workers to maintain home </w:t>
            </w:r>
            <w:r w:rsidRPr="00840784">
              <w:rPr>
                <w:bCs/>
                <w:sz w:val="22"/>
                <w:szCs w:val="22"/>
                <w:shd w:val="clear" w:color="auto" w:fill="FFFFFF"/>
              </w:rPr>
              <w:lastRenderedPageBreak/>
              <w:t>conditions and felt ongoing support from 2’s social worker from the Child Disability Team was important.</w:t>
            </w:r>
          </w:p>
          <w:p w14:paraId="4D88A064" w14:textId="77777777" w:rsidR="00840784" w:rsidRPr="00840784" w:rsidRDefault="00840784" w:rsidP="00840784">
            <w:pPr>
              <w:spacing w:line="360" w:lineRule="auto"/>
              <w:rPr>
                <w:sz w:val="22"/>
                <w:szCs w:val="22"/>
              </w:rPr>
            </w:pPr>
          </w:p>
          <w:p w14:paraId="0D7DF186" w14:textId="77777777" w:rsidR="00840784" w:rsidRPr="00840784" w:rsidRDefault="00840784" w:rsidP="00840784">
            <w:pPr>
              <w:spacing w:line="360" w:lineRule="auto"/>
              <w:rPr>
                <w:sz w:val="22"/>
                <w:szCs w:val="22"/>
              </w:rPr>
            </w:pPr>
            <w:r w:rsidRPr="00840784">
              <w:rPr>
                <w:bCs/>
                <w:sz w:val="22"/>
                <w:szCs w:val="22"/>
                <w:shd w:val="clear" w:color="auto" w:fill="FFFFFF"/>
              </w:rPr>
              <w:t>Critically reflecting in relation to the SCW learning outcome, while I felt that I had demonstrated good practice of working collaboratively with the family, my learning need is to develop my collaborative working with professionals (</w:t>
            </w:r>
            <w:proofErr w:type="spellStart"/>
            <w:r w:rsidRPr="00840784">
              <w:rPr>
                <w:sz w:val="22"/>
                <w:szCs w:val="22"/>
              </w:rPr>
              <w:t>Bakketeig</w:t>
            </w:r>
            <w:proofErr w:type="spellEnd"/>
            <w:r w:rsidRPr="00840784">
              <w:rPr>
                <w:sz w:val="22"/>
                <w:szCs w:val="22"/>
              </w:rPr>
              <w:t xml:space="preserve">, </w:t>
            </w:r>
            <w:proofErr w:type="spellStart"/>
            <w:r w:rsidRPr="00840784">
              <w:rPr>
                <w:sz w:val="22"/>
                <w:szCs w:val="22"/>
              </w:rPr>
              <w:t>Stefansen</w:t>
            </w:r>
            <w:proofErr w:type="spellEnd"/>
            <w:r w:rsidRPr="00840784">
              <w:rPr>
                <w:sz w:val="22"/>
                <w:szCs w:val="22"/>
              </w:rPr>
              <w:t xml:space="preserve"> and Johansson, 2017).</w:t>
            </w:r>
            <w:r w:rsidRPr="00840784">
              <w:rPr>
                <w:bCs/>
                <w:sz w:val="22"/>
                <w:szCs w:val="22"/>
                <w:shd w:val="clear" w:color="auto" w:fill="FFFFFF"/>
              </w:rPr>
              <w:t xml:space="preserve"> Child 2’s social worker from the Child Disability Team did not agree with the outcome of my safeguarding assessment for 1, she felt that both 1 and 2 needed a social worker for ongoing support, in contradiction with the outcome of my assessment. While we had collaborated as part of the assessment, including sharing information, attending joint visits and our practice was governed by the same legislation, policies, strategies and procedures, there was a difference in the decision making and outcome recommendation of the assessment (Kelly </w:t>
            </w:r>
            <w:r w:rsidRPr="00840784">
              <w:rPr>
                <w:bCs/>
                <w:i/>
                <w:sz w:val="22"/>
                <w:szCs w:val="22"/>
                <w:shd w:val="clear" w:color="auto" w:fill="FFFFFF"/>
              </w:rPr>
              <w:t>et al.,</w:t>
            </w:r>
            <w:r w:rsidRPr="00840784">
              <w:rPr>
                <w:bCs/>
                <w:sz w:val="22"/>
                <w:szCs w:val="22"/>
                <w:shd w:val="clear" w:color="auto" w:fill="FFFFFF"/>
              </w:rPr>
              <w:t xml:space="preserve"> 2020). I felt confident in my assessment as I had applied the legislation in a child-focused way to 1’s strengths, risks and needs (</w:t>
            </w:r>
            <w:proofErr w:type="spellStart"/>
            <w:r w:rsidRPr="00840784">
              <w:rPr>
                <w:bCs/>
                <w:sz w:val="22"/>
                <w:szCs w:val="22"/>
                <w:shd w:val="clear" w:color="auto" w:fill="FFFFFF"/>
              </w:rPr>
              <w:t>Mackreth</w:t>
            </w:r>
            <w:proofErr w:type="spellEnd"/>
            <w:r w:rsidRPr="00840784">
              <w:rPr>
                <w:bCs/>
                <w:sz w:val="22"/>
                <w:szCs w:val="22"/>
                <w:shd w:val="clear" w:color="auto" w:fill="FFFFFF"/>
              </w:rPr>
              <w:t xml:space="preserve">, 2021). Johns (2005) states that the law is important to inform assessment practice in social work as it sets out social workers powers and duties, providing clear accountability to ensure that decisions are fair and equitable. I understood 2’s social workers role and valued her expertise and skills when supporting children with disabilities, but I felt that the children should be viewed as individuals with their own needs (Kelly </w:t>
            </w:r>
            <w:r w:rsidRPr="00840784">
              <w:rPr>
                <w:bCs/>
                <w:i/>
                <w:sz w:val="22"/>
                <w:szCs w:val="22"/>
                <w:shd w:val="clear" w:color="auto" w:fill="FFFFFF"/>
              </w:rPr>
              <w:t>et al.,</w:t>
            </w:r>
            <w:r w:rsidRPr="00840784">
              <w:rPr>
                <w:bCs/>
                <w:sz w:val="22"/>
                <w:szCs w:val="22"/>
                <w:shd w:val="clear" w:color="auto" w:fill="FFFFFF"/>
              </w:rPr>
              <w:t xml:space="preserve"> 2020). Child 1 is several years older than 2, does not have a disability and had a number of resilience and protective factors which decreased the potential impact of the risks within the home on 1 (</w:t>
            </w:r>
            <w:r w:rsidRPr="00840784">
              <w:rPr>
                <w:sz w:val="22"/>
                <w:szCs w:val="22"/>
              </w:rPr>
              <w:t xml:space="preserve">Daniel and </w:t>
            </w:r>
            <w:proofErr w:type="spellStart"/>
            <w:r w:rsidRPr="00840784">
              <w:rPr>
                <w:sz w:val="22"/>
                <w:szCs w:val="22"/>
              </w:rPr>
              <w:t>Wassell</w:t>
            </w:r>
            <w:proofErr w:type="spellEnd"/>
            <w:r w:rsidRPr="00840784">
              <w:rPr>
                <w:sz w:val="22"/>
                <w:szCs w:val="22"/>
              </w:rPr>
              <w:t xml:space="preserve">, 2002). A meeting was arranged with management and both social workers to discuss the differing views’, the complexity of the situation and the different factors impacting professional decision making were acknowledged. In addition to the written assessment, I was required to provide verbal reasoning for my decision making, based on safeguarding legislation and social work theory (Higham, 2020). Presenting my view I felt nervous, worried that I had missed something and I questioned my thresholds. Reflecting on how this made me feel, while I evidenced professional persistence and assertiveness, I would like to further develop my confidence justifying decisions when challenged by colleagues and management (Howe, 2009). I plan to develop my professional resilience, professional accountability and collaborative approaches through research, supervision, mentoring support, peer support and reflection to develop my critical self-awareness (Hitchcock </w:t>
            </w:r>
            <w:r w:rsidRPr="00840784">
              <w:rPr>
                <w:i/>
                <w:sz w:val="22"/>
                <w:szCs w:val="22"/>
              </w:rPr>
              <w:t>et al.,</w:t>
            </w:r>
            <w:r w:rsidRPr="00840784">
              <w:rPr>
                <w:sz w:val="22"/>
                <w:szCs w:val="22"/>
              </w:rPr>
              <w:t xml:space="preserve"> 2022; Newcomb, 2022). </w:t>
            </w:r>
          </w:p>
          <w:p w14:paraId="33A76950" w14:textId="77777777" w:rsidR="00840784" w:rsidRPr="00840784" w:rsidRDefault="00840784" w:rsidP="00840784">
            <w:pPr>
              <w:spacing w:line="360" w:lineRule="auto"/>
              <w:rPr>
                <w:bCs/>
                <w:sz w:val="22"/>
                <w:szCs w:val="22"/>
                <w:shd w:val="clear" w:color="auto" w:fill="FFFFFF"/>
              </w:rPr>
            </w:pPr>
          </w:p>
          <w:p w14:paraId="387FEE6A" w14:textId="77777777" w:rsidR="00840784" w:rsidRPr="00840784" w:rsidRDefault="00840784" w:rsidP="00840784">
            <w:pPr>
              <w:spacing w:line="360" w:lineRule="auto"/>
              <w:rPr>
                <w:rFonts w:eastAsia="Arial"/>
                <w:sz w:val="22"/>
                <w:szCs w:val="22"/>
              </w:rPr>
            </w:pPr>
            <w:r w:rsidRPr="00840784">
              <w:rPr>
                <w:bCs/>
                <w:sz w:val="22"/>
                <w:szCs w:val="22"/>
                <w:shd w:val="clear" w:color="auto" w:fill="FFFFFF"/>
              </w:rPr>
              <w:t xml:space="preserve">The SSWWA 2014, Wales Safeguarding Procedures, and the </w:t>
            </w:r>
            <w:proofErr w:type="spellStart"/>
            <w:r w:rsidRPr="00840784">
              <w:rPr>
                <w:bCs/>
                <w:sz w:val="22"/>
                <w:szCs w:val="22"/>
                <w:shd w:val="clear" w:color="auto" w:fill="FFFFFF"/>
              </w:rPr>
              <w:t>CoPP</w:t>
            </w:r>
            <w:proofErr w:type="spellEnd"/>
            <w:r w:rsidRPr="00840784">
              <w:rPr>
                <w:bCs/>
                <w:sz w:val="22"/>
                <w:szCs w:val="22"/>
                <w:shd w:val="clear" w:color="auto" w:fill="FFFFFF"/>
              </w:rPr>
              <w:t xml:space="preserve"> (2017) emphasise the importance of applying a person-centred approach </w:t>
            </w:r>
            <w:r w:rsidRPr="00840784">
              <w:rPr>
                <w:sz w:val="22"/>
                <w:szCs w:val="22"/>
              </w:rPr>
              <w:t>(</w:t>
            </w:r>
            <w:proofErr w:type="spellStart"/>
            <w:r w:rsidRPr="00840784">
              <w:rPr>
                <w:sz w:val="22"/>
                <w:szCs w:val="22"/>
              </w:rPr>
              <w:t>Mackreth</w:t>
            </w:r>
            <w:proofErr w:type="spellEnd"/>
            <w:r w:rsidRPr="00840784">
              <w:rPr>
                <w:sz w:val="22"/>
                <w:szCs w:val="22"/>
              </w:rPr>
              <w:t>, 2021)</w:t>
            </w:r>
            <w:r w:rsidRPr="00840784">
              <w:rPr>
                <w:bCs/>
                <w:sz w:val="22"/>
                <w:szCs w:val="22"/>
                <w:shd w:val="clear" w:color="auto" w:fill="FFFFFF"/>
              </w:rPr>
              <w:t xml:space="preserve">. A citizen-centred and outcome-focused approach was utilised in my analysis and assessment to promote the family’s wellbeing and </w:t>
            </w:r>
            <w:r w:rsidRPr="00840784">
              <w:rPr>
                <w:bCs/>
                <w:sz w:val="22"/>
                <w:szCs w:val="22"/>
                <w:shd w:val="clear" w:color="auto" w:fill="FFFFFF"/>
              </w:rPr>
              <w:lastRenderedPageBreak/>
              <w:t xml:space="preserve">to inform professional judgement (SCW, 2024b). This approach was evident in my practice through a demonstration of cultural and language sensitivity, as per the </w:t>
            </w:r>
            <w:r w:rsidRPr="00840784">
              <w:rPr>
                <w:rFonts w:eastAsia="Arial"/>
                <w:sz w:val="22"/>
                <w:szCs w:val="22"/>
              </w:rPr>
              <w:t>Welsh Language Measures (Wales) 2011, an “Active Offer” of a service in Welsh was offered without the family having to ask (Welsh Government, 2022). Additionally, I explained advocacy to 1, to ensure he had the opportunity to have his views independently heard and represented (Scourfield, 2021). Advocacy is embedded throughout SSWWA 2014 and the offer of advocacy is consistent with the UNCRC (Welsh Government, 2019a).</w:t>
            </w:r>
          </w:p>
          <w:p w14:paraId="1EEA35DF" w14:textId="77777777" w:rsidR="00840784" w:rsidRPr="00840784" w:rsidRDefault="00840784" w:rsidP="00840784">
            <w:pPr>
              <w:spacing w:line="360" w:lineRule="auto"/>
              <w:rPr>
                <w:rFonts w:eastAsia="Arial"/>
                <w:color w:val="FF0000"/>
                <w:sz w:val="22"/>
                <w:szCs w:val="22"/>
              </w:rPr>
            </w:pPr>
          </w:p>
          <w:p w14:paraId="1A216BEE" w14:textId="77777777" w:rsidR="00840784" w:rsidRPr="00840784" w:rsidRDefault="00840784" w:rsidP="00840784">
            <w:pPr>
              <w:spacing w:line="360" w:lineRule="auto"/>
              <w:rPr>
                <w:sz w:val="22"/>
                <w:szCs w:val="22"/>
              </w:rPr>
            </w:pPr>
            <w:r w:rsidRPr="00840784">
              <w:rPr>
                <w:bCs/>
                <w:sz w:val="22"/>
                <w:szCs w:val="22"/>
                <w:shd w:val="clear" w:color="auto" w:fill="FFFFFF"/>
              </w:rPr>
              <w:t xml:space="preserve">Theoretical perspectives are dynamic and evolving and their application in social work is impacted by wider themes such as politics, history and theoretical fashions (Howe, 2009). </w:t>
            </w:r>
            <w:r w:rsidRPr="00840784">
              <w:rPr>
                <w:sz w:val="22"/>
                <w:szCs w:val="22"/>
              </w:rPr>
              <w:t>Carl Rogers (1961) developed the person-centred approach, which puts the person at the centre of the assessment, recognising them as the expert in their own life and focusing on the desired outcome for that person (</w:t>
            </w:r>
            <w:proofErr w:type="spellStart"/>
            <w:r w:rsidRPr="00840784">
              <w:rPr>
                <w:sz w:val="22"/>
                <w:szCs w:val="22"/>
              </w:rPr>
              <w:t>Mackreth</w:t>
            </w:r>
            <w:proofErr w:type="spellEnd"/>
            <w:r w:rsidRPr="00840784">
              <w:rPr>
                <w:sz w:val="22"/>
                <w:szCs w:val="22"/>
              </w:rPr>
              <w:t xml:space="preserve">, 2021). During the assessment, I spent time with 1 and their parents building our partnership through visiting at home and school to get to know them as individuals, developing an empathetic understanding of their experiences. The local authority </w:t>
            </w:r>
            <w:r w:rsidRPr="00840784">
              <w:rPr>
                <w:sz w:val="22"/>
                <w:szCs w:val="22"/>
                <w:shd w:val="clear" w:color="auto" w:fill="FFFFFF"/>
              </w:rPr>
              <w:t xml:space="preserve">employee code of conduct, health and safety and lone working policies were adhered to when visiting the family (Local Authority X, 2021a; 2021b). </w:t>
            </w:r>
            <w:r w:rsidRPr="00840784">
              <w:rPr>
                <w:sz w:val="22"/>
                <w:szCs w:val="22"/>
              </w:rPr>
              <w:t xml:space="preserve">Through direct work activities, 1 shared that he is happy at home, loves his mum and dad but worries about his sister as she does not understand </w:t>
            </w:r>
            <w:r w:rsidRPr="00840784">
              <w:rPr>
                <w:bCs/>
                <w:sz w:val="22"/>
                <w:szCs w:val="22"/>
                <w:shd w:val="clear" w:color="auto" w:fill="FFFFFF"/>
              </w:rPr>
              <w:t>(Tait and Dunn, 2018)</w:t>
            </w:r>
            <w:r w:rsidRPr="00840784">
              <w:rPr>
                <w:sz w:val="22"/>
                <w:szCs w:val="22"/>
              </w:rPr>
              <w:t>. This social work theory’s application in practice can be limited by time and agency constraints. For example s.47 enquiries need to be completed within 10 working days (</w:t>
            </w:r>
            <w:proofErr w:type="spellStart"/>
            <w:r w:rsidRPr="00840784">
              <w:rPr>
                <w:sz w:val="22"/>
                <w:szCs w:val="22"/>
              </w:rPr>
              <w:t>Teater</w:t>
            </w:r>
            <w:proofErr w:type="spellEnd"/>
            <w:r w:rsidRPr="00840784">
              <w:rPr>
                <w:sz w:val="22"/>
                <w:szCs w:val="22"/>
              </w:rPr>
              <w:t xml:space="preserve">, 2014). It was positive that I had an existing relationship with the family, otherwise it would have been challenging to apply a person-centred approach within the limited timescale. However, due to the safeguarding concerns, it is important that the risks are assessed efficiently and quickly, irrespective of the pressure this can put on staff. I found managing the competing demands of promoting a positive relationship with the family within a limited timescale, while managing other cases and staff sickness challenging. </w:t>
            </w:r>
            <w:proofErr w:type="spellStart"/>
            <w:r w:rsidRPr="00840784">
              <w:rPr>
                <w:sz w:val="22"/>
                <w:szCs w:val="22"/>
              </w:rPr>
              <w:t>Teater</w:t>
            </w:r>
            <w:proofErr w:type="spellEnd"/>
            <w:r w:rsidRPr="00840784">
              <w:rPr>
                <w:sz w:val="22"/>
                <w:szCs w:val="22"/>
              </w:rPr>
              <w:t xml:space="preserve"> (2014) argues that the strength of a person-centred approach is that it can be used in combination with other theories, for example an outcome focused approach. The local authority promotes working in an outcome focussed way, consistent with SSWWA 2014. This approach promotes co-production and strengths based practice, considering ‘what matters most’ to people and focusing on their personal outcomes (SCW, 2024b).Through ‘what matters’ conversations with the family, it was evident that the family felt that it was most important that they received social work support and intervention for 2. Parents shared that they felt unable to manage 2’s behaviour’s and disabilities, which negatively impacted their mental health and in turn the home conditions, leading to the parents feeling they were in a declining spiral, which then impacted 1. Parent’s and 1’s outcomes, were </w:t>
            </w:r>
            <w:r w:rsidRPr="00840784">
              <w:rPr>
                <w:sz w:val="22"/>
                <w:szCs w:val="22"/>
              </w:rPr>
              <w:lastRenderedPageBreak/>
              <w:t xml:space="preserve">recorded in the assessment in their own words, with a person-centred approach influencing the way in which the information was recorded and shared (SCW, </w:t>
            </w:r>
            <w:proofErr w:type="spellStart"/>
            <w:r w:rsidRPr="00840784">
              <w:rPr>
                <w:sz w:val="22"/>
                <w:szCs w:val="22"/>
              </w:rPr>
              <w:t>n.d.</w:t>
            </w:r>
            <w:proofErr w:type="spellEnd"/>
            <w:r w:rsidRPr="00840784">
              <w:rPr>
                <w:sz w:val="22"/>
                <w:szCs w:val="22"/>
              </w:rPr>
              <w:t>).</w:t>
            </w:r>
          </w:p>
          <w:p w14:paraId="0F363A9E" w14:textId="77777777" w:rsidR="00840784" w:rsidRPr="00840784" w:rsidRDefault="00840784" w:rsidP="00840784">
            <w:pPr>
              <w:spacing w:line="360" w:lineRule="auto"/>
              <w:rPr>
                <w:color w:val="FF0000"/>
                <w:sz w:val="22"/>
                <w:szCs w:val="22"/>
              </w:rPr>
            </w:pPr>
          </w:p>
          <w:p w14:paraId="2E7378DF" w14:textId="7DA105E3" w:rsidR="00840784" w:rsidRPr="00840784" w:rsidRDefault="00840784" w:rsidP="00840784">
            <w:pPr>
              <w:spacing w:line="360" w:lineRule="auto"/>
              <w:rPr>
                <w:sz w:val="22"/>
                <w:szCs w:val="22"/>
              </w:rPr>
            </w:pPr>
            <w:r w:rsidRPr="00840784">
              <w:rPr>
                <w:sz w:val="22"/>
                <w:szCs w:val="22"/>
              </w:rPr>
              <w:t xml:space="preserve">Use of theory in analysis in assessment can improve consistency and accountability in social work practice, through professional judgements within complex situations being justified and explained, with guidance offered based on research informed theory (Payne, 2020). However, the understanding and application of theory in practice can be subjective and influenced by external factors such as personal and professional values (Adams </w:t>
            </w:r>
            <w:r w:rsidRPr="00840784">
              <w:rPr>
                <w:i/>
                <w:sz w:val="22"/>
                <w:szCs w:val="22"/>
              </w:rPr>
              <w:t>et al.,</w:t>
            </w:r>
            <w:r w:rsidRPr="00840784">
              <w:rPr>
                <w:sz w:val="22"/>
                <w:szCs w:val="22"/>
              </w:rPr>
              <w:t xml:space="preserve"> 2009a). System’s theory supported the analysis and decision making within the assessment. I developed an insight into the family system and connections through the use of a genogram, information received from other professionals, reading the case recordings and speaking with the child and family members (Dyke, 2019). Systems theory focuses on responding to and understanding the complexity and chaos of people’s interactions within their personal, social and environmental network (Payne, 2020). Children are influenced by the systems around them and their interactions within these systems (Payne, 2020). This approach, specifically completing a genogram with the family, was an effective method of quickly gaining an insight into the family support and dynamics. A strength of systems theory is that it provides a framework for holistic assessment, facilitating accurate and coherent recordings o</w:t>
            </w:r>
            <w:r w:rsidR="00CB0ED6">
              <w:rPr>
                <w:sz w:val="22"/>
                <w:szCs w:val="22"/>
              </w:rPr>
              <w:t>f the family systems, therefore</w:t>
            </w:r>
            <w:r w:rsidRPr="00840784">
              <w:rPr>
                <w:sz w:val="22"/>
                <w:szCs w:val="22"/>
              </w:rPr>
              <w:t xml:space="preserve"> informing decision making based on the analysis of the complex information (Dyke, 2019). A limitation of systems theory is the challenge of working with systems that do not allow or acknowledge the need for intervention (</w:t>
            </w:r>
            <w:proofErr w:type="spellStart"/>
            <w:r w:rsidRPr="00840784">
              <w:rPr>
                <w:sz w:val="22"/>
                <w:szCs w:val="22"/>
              </w:rPr>
              <w:t>Teater</w:t>
            </w:r>
            <w:proofErr w:type="spellEnd"/>
            <w:r w:rsidRPr="00840784">
              <w:rPr>
                <w:sz w:val="22"/>
                <w:szCs w:val="22"/>
              </w:rPr>
              <w:t>, 2014).  T</w:t>
            </w:r>
            <w:r w:rsidRPr="00840784">
              <w:rPr>
                <w:bCs/>
                <w:sz w:val="22"/>
                <w:szCs w:val="22"/>
                <w:shd w:val="clear" w:color="auto" w:fill="FFFFFF"/>
              </w:rPr>
              <w:t xml:space="preserve">he information gathered and recorded reflected the child protection enquiry process and the key decisions made. Local authority policy on confidentiality were followed </w:t>
            </w:r>
            <w:r w:rsidRPr="00840784">
              <w:rPr>
                <w:sz w:val="22"/>
                <w:szCs w:val="22"/>
              </w:rPr>
              <w:t xml:space="preserve">in accordance with Wales Safeguarding Procedures, </w:t>
            </w:r>
            <w:r w:rsidRPr="00840784">
              <w:rPr>
                <w:bCs/>
                <w:sz w:val="22"/>
                <w:szCs w:val="22"/>
                <w:shd w:val="clear" w:color="auto" w:fill="FFFFFF"/>
              </w:rPr>
              <w:t xml:space="preserve">GDPR (2018) and Data Protection Act 2018. Written and electronic information was maintained and recorded timely, clearly and accurately as per the agency standards and </w:t>
            </w:r>
            <w:proofErr w:type="spellStart"/>
            <w:r w:rsidRPr="00840784">
              <w:rPr>
                <w:bCs/>
                <w:sz w:val="22"/>
                <w:szCs w:val="22"/>
                <w:shd w:val="clear" w:color="auto" w:fill="FFFFFF"/>
              </w:rPr>
              <w:t>CoPP</w:t>
            </w:r>
            <w:proofErr w:type="spellEnd"/>
            <w:r w:rsidRPr="00840784">
              <w:rPr>
                <w:bCs/>
                <w:sz w:val="22"/>
                <w:szCs w:val="22"/>
                <w:shd w:val="clear" w:color="auto" w:fill="FFFFFF"/>
              </w:rPr>
              <w:t xml:space="preserve"> (SCW, 2017). Delays in recording can result in significant information being missed, details forgotten, distortion and confusion about events and actions (Hardy, 2017). Reflecting on the way information is recorded and represented, gave me recognition of the power I held by capturing</w:t>
            </w:r>
            <w:r w:rsidR="00CB0ED6">
              <w:rPr>
                <w:bCs/>
                <w:sz w:val="22"/>
                <w:szCs w:val="22"/>
                <w:shd w:val="clear" w:color="auto" w:fill="FFFFFF"/>
              </w:rPr>
              <w:t xml:space="preserve"> the family’s</w:t>
            </w:r>
            <w:r w:rsidRPr="00840784">
              <w:rPr>
                <w:bCs/>
                <w:sz w:val="22"/>
                <w:szCs w:val="22"/>
                <w:shd w:val="clear" w:color="auto" w:fill="FFFFFF"/>
              </w:rPr>
              <w:t xml:space="preserve"> words and interpreting the information.</w:t>
            </w:r>
          </w:p>
          <w:p w14:paraId="1EF0C2B4" w14:textId="77777777" w:rsidR="00840784" w:rsidRPr="00840784" w:rsidRDefault="00840784" w:rsidP="00840784">
            <w:pPr>
              <w:spacing w:line="360" w:lineRule="auto"/>
              <w:rPr>
                <w:color w:val="FF0000"/>
                <w:sz w:val="22"/>
                <w:szCs w:val="22"/>
              </w:rPr>
            </w:pPr>
          </w:p>
          <w:p w14:paraId="156A3601" w14:textId="77777777" w:rsidR="00840784" w:rsidRPr="00840784" w:rsidRDefault="00840784" w:rsidP="00840784">
            <w:pPr>
              <w:spacing w:line="360" w:lineRule="auto"/>
              <w:rPr>
                <w:bCs/>
                <w:sz w:val="22"/>
                <w:szCs w:val="22"/>
                <w:shd w:val="clear" w:color="auto" w:fill="FFFFFF"/>
              </w:rPr>
            </w:pPr>
            <w:r w:rsidRPr="00840784">
              <w:rPr>
                <w:sz w:val="22"/>
                <w:szCs w:val="22"/>
              </w:rPr>
              <w:t>An anti-discriminatory approach was evident in my practice, consistent with The Equality Act 2010, which provides the basis of UK anti-discrimination law and protects the ‘protected characteristics’.</w:t>
            </w:r>
            <w:r w:rsidRPr="00840784">
              <w:rPr>
                <w:bCs/>
                <w:sz w:val="22"/>
                <w:szCs w:val="22"/>
                <w:shd w:val="clear" w:color="auto" w:fill="FFFFFF"/>
              </w:rPr>
              <w:t xml:space="preserve"> My practice was influenced Thompson’s (2021) PCS Analysis which recognises oppression and discrimination at personal, cultural and structural levels. While the application of this approach can be criticized as child protection procedures are not always empowering, my assessment viewed the </w:t>
            </w:r>
            <w:r w:rsidRPr="00840784">
              <w:rPr>
                <w:bCs/>
                <w:sz w:val="22"/>
                <w:szCs w:val="22"/>
                <w:shd w:val="clear" w:color="auto" w:fill="FFFFFF"/>
              </w:rPr>
              <w:lastRenderedPageBreak/>
              <w:t>family the experts and sought to give them power and control to promote positive growth and development as per their wishes (</w:t>
            </w:r>
            <w:proofErr w:type="spellStart"/>
            <w:r w:rsidRPr="00840784">
              <w:rPr>
                <w:bCs/>
                <w:sz w:val="22"/>
                <w:szCs w:val="22"/>
                <w:shd w:val="clear" w:color="auto" w:fill="FFFFFF"/>
              </w:rPr>
              <w:t>Teater</w:t>
            </w:r>
            <w:proofErr w:type="spellEnd"/>
            <w:r w:rsidRPr="00840784">
              <w:rPr>
                <w:bCs/>
                <w:sz w:val="22"/>
                <w:szCs w:val="22"/>
                <w:shd w:val="clear" w:color="auto" w:fill="FFFFFF"/>
              </w:rPr>
              <w:t xml:space="preserve">, 2014; Thompson, 2021). It is noted that this approach may have been limited had the threshold for significant harm been met. It is important to recognise the power dynamics within the relationship between the social worker and family, there is inherent power associated with the social worker role (Duncan, 2019). </w:t>
            </w:r>
            <w:r w:rsidRPr="00840784">
              <w:rPr>
                <w:sz w:val="22"/>
                <w:szCs w:val="22"/>
              </w:rPr>
              <w:t>A limitation of the use of this social work theory in practice with 1, was that despite building a collaborative relationship with the family, power differentials did exist, especially within the context of the s.47 enquiries and these cannot be ignored (</w:t>
            </w:r>
            <w:proofErr w:type="spellStart"/>
            <w:r w:rsidRPr="00840784">
              <w:rPr>
                <w:sz w:val="22"/>
                <w:szCs w:val="22"/>
              </w:rPr>
              <w:t>Teater</w:t>
            </w:r>
            <w:proofErr w:type="spellEnd"/>
            <w:r w:rsidRPr="00840784">
              <w:rPr>
                <w:sz w:val="22"/>
                <w:szCs w:val="22"/>
              </w:rPr>
              <w:t xml:space="preserve">, 2014). </w:t>
            </w:r>
            <w:r w:rsidRPr="00840784">
              <w:rPr>
                <w:bCs/>
                <w:sz w:val="22"/>
                <w:szCs w:val="22"/>
                <w:shd w:val="clear" w:color="auto" w:fill="FFFFFF"/>
              </w:rPr>
              <w:t xml:space="preserve">As the threshold for significant harm was not met, there were no ongoing care and support needs identified and the family stated that they do not want any further support, there was no legal basis to justify further social work intervention. This practice is consistent with national and </w:t>
            </w:r>
            <w:r w:rsidRPr="00840784">
              <w:rPr>
                <w:sz w:val="22"/>
                <w:szCs w:val="22"/>
              </w:rPr>
              <w:t>international social work ethical codes which emphasise the values of human rights, dignity, social justice, diversity, empowerment and professional integrity (British Association of Social Workers, 2014; SCW, 2017; IFSW, 2018).</w:t>
            </w:r>
            <w:r w:rsidRPr="00840784">
              <w:rPr>
                <w:bCs/>
                <w:sz w:val="22"/>
                <w:szCs w:val="22"/>
                <w:shd w:val="clear" w:color="auto" w:fill="FFFFFF"/>
              </w:rPr>
              <w:t xml:space="preserve"> Recommending further social work intervention for 1 despite there being no child protection concerns and contradictory to the family’s wishes could be considered oppressive practice and gathering their wishes could be perceived as a tokenistic gesture if they are then dismissed (Duncan, 2019). </w:t>
            </w:r>
          </w:p>
          <w:p w14:paraId="26A68A33" w14:textId="77777777" w:rsidR="00840784" w:rsidRPr="00840784" w:rsidRDefault="00840784" w:rsidP="00840784">
            <w:pPr>
              <w:spacing w:line="360" w:lineRule="auto"/>
              <w:rPr>
                <w:bCs/>
                <w:sz w:val="22"/>
                <w:szCs w:val="22"/>
                <w:shd w:val="clear" w:color="auto" w:fill="FFFFFF"/>
              </w:rPr>
            </w:pPr>
          </w:p>
          <w:p w14:paraId="5E108517" w14:textId="77777777" w:rsidR="00840784" w:rsidRPr="00840784" w:rsidRDefault="00840784" w:rsidP="00840784">
            <w:pPr>
              <w:spacing w:line="360" w:lineRule="auto"/>
              <w:rPr>
                <w:bCs/>
                <w:sz w:val="22"/>
                <w:szCs w:val="22"/>
                <w:shd w:val="clear" w:color="auto" w:fill="FFFFFF"/>
              </w:rPr>
            </w:pPr>
            <w:r w:rsidRPr="00840784">
              <w:rPr>
                <w:sz w:val="22"/>
                <w:szCs w:val="22"/>
              </w:rPr>
              <w:t xml:space="preserve">Critically reflecting on 1’s safeguarding assessment has demonstrated the </w:t>
            </w:r>
            <w:r w:rsidRPr="00840784">
              <w:rPr>
                <w:bCs/>
                <w:sz w:val="22"/>
                <w:szCs w:val="22"/>
                <w:shd w:val="clear" w:color="auto" w:fill="FFFFFF"/>
              </w:rPr>
              <w:t xml:space="preserve">legislation, policies, strategies and procedures both nationally and internationally which underpin safeguarding children. Considering the intersection of safeguarding legislation in Wales, the UK, inside and outside the EU has highlighted conflict and tensions which are evident when applying the legislative framework in practice and also emphasised the wider influences which have shaped social care practice in Wales. Through reflection, it is evident that in practice, legislation, social work theory, social work ethics and values cannot be viewed in isolation, and a holistic, balanced and critical approach is important for effective social work practice. I plan to utilise ongoing critical reflection, supervision, training, research and peer support to effectively apply SCW learning outcomes of </w:t>
            </w:r>
            <w:r w:rsidRPr="00840784">
              <w:rPr>
                <w:sz w:val="22"/>
                <w:szCs w:val="22"/>
              </w:rPr>
              <w:t xml:space="preserve">integration of analysis in assessment, collaborative working and professional judgements in increasingly complex situations within my practice. </w:t>
            </w:r>
          </w:p>
          <w:p w14:paraId="3ACEB6E5" w14:textId="77777777" w:rsidR="00840784" w:rsidRPr="00840784" w:rsidRDefault="00840784" w:rsidP="00840784">
            <w:pPr>
              <w:spacing w:line="360" w:lineRule="auto"/>
              <w:rPr>
                <w:b/>
                <w:color w:val="FF0000"/>
                <w:sz w:val="22"/>
                <w:szCs w:val="22"/>
              </w:rPr>
            </w:pPr>
            <w:bookmarkStart w:id="0" w:name="_GoBack"/>
            <w:bookmarkEnd w:id="0"/>
          </w:p>
          <w:p w14:paraId="43CA65F6" w14:textId="50A8DE83" w:rsidR="00D3203C" w:rsidRPr="00840784" w:rsidRDefault="00840784" w:rsidP="00840784">
            <w:pPr>
              <w:spacing w:line="360" w:lineRule="auto"/>
              <w:rPr>
                <w:color w:val="auto"/>
                <w:sz w:val="22"/>
                <w:szCs w:val="22"/>
              </w:rPr>
            </w:pPr>
            <w:r w:rsidRPr="00840784">
              <w:rPr>
                <w:color w:val="auto"/>
                <w:sz w:val="22"/>
                <w:szCs w:val="22"/>
              </w:rPr>
              <w:t>(43</w:t>
            </w:r>
            <w:r w:rsidR="00CB0ED6">
              <w:rPr>
                <w:color w:val="auto"/>
                <w:sz w:val="22"/>
                <w:szCs w:val="22"/>
              </w:rPr>
              <w:t>84</w:t>
            </w:r>
            <w:r w:rsidRPr="00840784">
              <w:rPr>
                <w:color w:val="auto"/>
                <w:sz w:val="22"/>
                <w:szCs w:val="22"/>
              </w:rPr>
              <w:t xml:space="preserve"> words)</w:t>
            </w: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71B02E9F" w14:textId="53FF5A10" w:rsidR="00DD31C5" w:rsidRPr="008B28E7" w:rsidRDefault="00DD31C5" w:rsidP="00840784">
      <w:pPr>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7E655A36" w:rsidR="00A5656A" w:rsidRDefault="00A5656A">
    <w:pPr>
      <w:pStyle w:val="Footer"/>
      <w:jc w:val="right"/>
    </w:pPr>
    <w:r>
      <w:fldChar w:fldCharType="begin"/>
    </w:r>
    <w:r>
      <w:instrText xml:space="preserve"> PAGE   \* MERGEFORMAT </w:instrText>
    </w:r>
    <w:r>
      <w:fldChar w:fldCharType="separate"/>
    </w:r>
    <w:r w:rsidR="00CB0ED6">
      <w:rPr>
        <w:noProof/>
      </w:rPr>
      <w:t>10</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276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292"/>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0784"/>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5B9C"/>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0ED6"/>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276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0C7B3043-EBA9-42C0-94C8-72D15F42EE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11</Pages>
  <Words>4590</Words>
  <Characters>25435</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Emily Williams</cp:lastModifiedBy>
  <cp:revision>7</cp:revision>
  <cp:lastPrinted>2020-02-11T19:20:00Z</cp:lastPrinted>
  <dcterms:created xsi:type="dcterms:W3CDTF">2022-09-29T11:34:00Z</dcterms:created>
  <dcterms:modified xsi:type="dcterms:W3CDTF">2024-10-26T15:42:00Z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