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93708D" w:rsidR="00A17A5C" w:rsidP="00A17A5C" w:rsidRDefault="00A17A5C" w14:paraId="63079E74" w14:textId="77777777">
      <w:pPr>
        <w:spacing w:before="0" w:after="400" w:line="240" w:lineRule="auto"/>
        <w:jc w:val="left"/>
      </w:pPr>
    </w:p>
    <w:p w:rsidRPr="0093708D" w:rsidR="00A17A5C" w:rsidP="00A17A5C" w:rsidRDefault="00A17A5C" w14:paraId="3656AC65" w14:textId="77777777">
      <w:pPr>
        <w:spacing w:before="0" w:line="240" w:lineRule="auto"/>
        <w:jc w:val="center"/>
      </w:pPr>
      <w:r>
        <w:rPr>
          <w:b/>
          <w:bCs/>
          <w:caps/>
          <w:sz w:val="28"/>
          <w:szCs w:val="28"/>
        </w:rPr>
        <w:t>UNIVERSITY OF WALES TRINITY SAINT DAVID</w:t>
      </w:r>
    </w:p>
    <w:p w:rsidRPr="0093708D" w:rsidR="00A17A5C" w:rsidP="00A17A5C" w:rsidRDefault="00A17A5C" w14:paraId="362079E1" w14:textId="77777777">
      <w:pPr>
        <w:spacing w:before="0" w:after="400" w:line="240" w:lineRule="auto"/>
        <w:jc w:val="center"/>
      </w:pPr>
      <w:r>
        <w:rPr>
          <w:i/>
          <w:iCs/>
        </w:rPr>
        <w:t>Institute of Health and Social Care</w:t>
      </w:r>
    </w:p>
    <w:p w:rsidRPr="0093708D" w:rsidR="00A17A5C" w:rsidP="00A17A5C" w:rsidRDefault="00A17A5C" w14:paraId="16F088C1" w14:textId="77777777">
      <w:pPr>
        <w:pBdr>
          <w:bottom w:val="single" w:color="1F4E79" w:sz="12" w:space="1"/>
        </w:pBdr>
        <w:spacing w:before="0" w:after="400" w:line="240" w:lineRule="auto"/>
        <w:jc w:val="center"/>
      </w:pPr>
    </w:p>
    <w:p w:rsidRPr="0093708D" w:rsidR="00A17A5C" w:rsidP="00A17A5C" w:rsidRDefault="00A17A5C" w14:paraId="24BB09B0" w14:textId="77777777">
      <w:pPr>
        <w:spacing w:before="0" w:after="80" w:line="240" w:lineRule="auto"/>
        <w:jc w:val="center"/>
      </w:pPr>
      <w:r>
        <w:rPr>
          <w:b/>
          <w:bCs/>
        </w:rPr>
        <w:t>Module: LCHS7002</w:t>
      </w:r>
    </w:p>
    <w:p w:rsidRPr="0093708D" w:rsidR="00A17A5C" w:rsidP="00A17A5C" w:rsidRDefault="00A17A5C" w14:paraId="366F79E8" w14:textId="77777777">
      <w:pPr>
        <w:spacing w:before="0" w:after="600" w:line="240" w:lineRule="auto"/>
        <w:jc w:val="center"/>
      </w:pPr>
      <w:r>
        <w:t>Health Care System Organisation and Leadership</w:t>
      </w:r>
    </w:p>
    <w:p w:rsidRPr="0093708D" w:rsidR="00A17A5C" w:rsidP="00A17A5C" w:rsidRDefault="00A17A5C" w14:paraId="6DA4925E" w14:textId="77777777">
      <w:pPr>
        <w:spacing w:before="0" w:after="200" w:line="240" w:lineRule="auto"/>
        <w:jc w:val="center"/>
      </w:pPr>
      <w:r>
        <w:rPr>
          <w:b/>
          <w:bCs/>
          <w:sz w:val="26"/>
          <w:szCs w:val="26"/>
        </w:rPr>
        <w:t>CRITICAL ANALYSIS REPORT</w:t>
      </w:r>
    </w:p>
    <w:p w:rsidRPr="0093708D" w:rsidR="00A17A5C" w:rsidP="00A17A5C" w:rsidRDefault="00A17A5C" w14:paraId="5D901F3A" w14:textId="77777777">
      <w:pPr>
        <w:spacing w:before="200" w:line="240" w:lineRule="auto"/>
        <w:jc w:val="center"/>
      </w:pPr>
      <w:r>
        <w:rPr>
          <w:b/>
          <w:bCs/>
          <w:sz w:val="32"/>
          <w:szCs w:val="32"/>
        </w:rPr>
        <w:t>A Critical Analysis of Leadership, Governance,</w:t>
      </w:r>
    </w:p>
    <w:p w:rsidRPr="0093708D" w:rsidR="00A17A5C" w:rsidP="00A17A5C" w:rsidRDefault="00A17A5C" w14:paraId="7D0AD04E" w14:textId="77777777">
      <w:pPr>
        <w:spacing w:before="0" w:line="240" w:lineRule="auto"/>
        <w:jc w:val="center"/>
      </w:pPr>
      <w:r>
        <w:rPr>
          <w:b/>
          <w:bCs/>
          <w:sz w:val="32"/>
          <w:szCs w:val="32"/>
        </w:rPr>
        <w:t>and Systems Thinking Failures in the</w:t>
      </w:r>
    </w:p>
    <w:p w:rsidRPr="0093708D" w:rsidR="00A17A5C" w:rsidP="00A17A5C" w:rsidRDefault="00A17A5C" w14:paraId="22E6312E" w14:textId="77777777">
      <w:pPr>
        <w:spacing w:before="0" w:line="240" w:lineRule="auto"/>
        <w:jc w:val="center"/>
      </w:pPr>
      <w:r>
        <w:rPr>
          <w:b/>
          <w:bCs/>
          <w:sz w:val="32"/>
          <w:szCs w:val="32"/>
        </w:rPr>
        <w:t>Unintentional Overdose of Morphine Sulfate</w:t>
      </w:r>
    </w:p>
    <w:p w:rsidRPr="0093708D" w:rsidR="00A17A5C" w:rsidP="00A17A5C" w:rsidRDefault="00A17A5C" w14:paraId="73F97A77" w14:textId="77777777">
      <w:pPr>
        <w:spacing w:before="0" w:line="240" w:lineRule="auto"/>
        <w:jc w:val="center"/>
      </w:pPr>
      <w:r>
        <w:rPr>
          <w:b/>
          <w:bCs/>
          <w:sz w:val="32"/>
          <w:szCs w:val="32"/>
        </w:rPr>
        <w:t>Oral Solution:</w:t>
      </w:r>
    </w:p>
    <w:p w:rsidRPr="0093708D" w:rsidR="00A17A5C" w:rsidP="00A17A5C" w:rsidRDefault="00A17A5C" w14:paraId="44DC0F61" w14:textId="77777777">
      <w:pPr>
        <w:spacing w:before="0" w:after="600" w:line="240" w:lineRule="auto"/>
        <w:jc w:val="center"/>
      </w:pPr>
      <w:r>
        <w:rPr>
          <w:b/>
          <w:bCs/>
          <w:sz w:val="36"/>
          <w:szCs w:val="36"/>
        </w:rPr>
        <w:t>The Case of Len</w:t>
      </w:r>
    </w:p>
    <w:p w:rsidRPr="0093708D" w:rsidR="00A17A5C" w:rsidP="00A17A5C" w:rsidRDefault="00A17A5C" w14:paraId="4946E8A9" w14:textId="77777777">
      <w:pPr>
        <w:pBdr>
          <w:bottom w:val="single" w:color="1F4E79" w:sz="6" w:space="1"/>
        </w:pBdr>
        <w:spacing w:before="0" w:after="500" w:line="240" w:lineRule="auto"/>
        <w:jc w:val="center"/>
      </w:pPr>
    </w:p>
    <w:p w:rsidRPr="0093708D" w:rsidR="00A17A5C" w:rsidP="1E1D2512" w:rsidRDefault="00A17A5C" w14:paraId="40586EDD" w14:textId="1DBA3418">
      <w:pPr>
        <w:spacing w:before="0" w:line="240" w:lineRule="auto"/>
        <w:jc w:val="center"/>
        <w:rPr>
          <w:i w:val="1"/>
          <w:iCs w:val="1"/>
          <w:sz w:val="32"/>
          <w:szCs w:val="32"/>
        </w:rPr>
      </w:pPr>
      <w:r w:rsidRPr="1E1D2512" w:rsidR="00A17A5C">
        <w:rPr>
          <w:i w:val="1"/>
          <w:iCs w:val="1"/>
          <w:sz w:val="32"/>
          <w:szCs w:val="32"/>
        </w:rPr>
        <w:t>S</w:t>
      </w:r>
      <w:r w:rsidRPr="1E1D2512" w:rsidR="5C429485">
        <w:rPr>
          <w:i w:val="1"/>
          <w:iCs w:val="1"/>
          <w:sz w:val="32"/>
          <w:szCs w:val="32"/>
        </w:rPr>
        <w:t xml:space="preserve">tudent </w:t>
      </w:r>
      <w:r w:rsidRPr="1E1D2512" w:rsidR="5C429485">
        <w:rPr>
          <w:i w:val="1"/>
          <w:iCs w:val="1"/>
          <w:sz w:val="32"/>
          <w:szCs w:val="32"/>
        </w:rPr>
        <w:t>name: Misbabanu</w:t>
      </w:r>
      <w:r w:rsidRPr="1E1D2512" w:rsidR="5C429485">
        <w:rPr>
          <w:i w:val="1"/>
          <w:iCs w:val="1"/>
          <w:sz w:val="32"/>
          <w:szCs w:val="32"/>
        </w:rPr>
        <w:t xml:space="preserve"> Amanullah khan </w:t>
      </w:r>
    </w:p>
    <w:p w:rsidRPr="0093708D" w:rsidR="00A17A5C" w:rsidP="1E1D2512" w:rsidRDefault="00A17A5C" w14:paraId="3038BC47" w14:textId="50A0AB15">
      <w:pPr>
        <w:spacing w:before="0" w:after="300" w:line="240" w:lineRule="auto"/>
        <w:jc w:val="center"/>
        <w:rPr>
          <w:sz w:val="28"/>
          <w:szCs w:val="28"/>
        </w:rPr>
      </w:pPr>
      <w:r w:rsidRPr="1E1D2512" w:rsidR="00A17A5C">
        <w:rPr>
          <w:sz w:val="28"/>
          <w:szCs w:val="28"/>
        </w:rPr>
        <w:t>Student Number: 2538422</w:t>
      </w:r>
    </w:p>
    <w:p w:rsidR="731A5738" w:rsidP="1E1D2512" w:rsidRDefault="731A5738" w14:paraId="283B8937" w14:textId="018D1B24">
      <w:pPr>
        <w:spacing w:before="0" w:after="300" w:line="240" w:lineRule="auto"/>
        <w:jc w:val="center"/>
      </w:pPr>
      <w:r w:rsidRPr="1E1D2512" w:rsidR="731A5738">
        <w:rPr>
          <w:sz w:val="28"/>
          <w:szCs w:val="28"/>
        </w:rPr>
        <w:t xml:space="preserve">Lecturer </w:t>
      </w:r>
      <w:r w:rsidRPr="1E1D2512" w:rsidR="731A5738">
        <w:rPr>
          <w:sz w:val="28"/>
          <w:szCs w:val="28"/>
        </w:rPr>
        <w:t>name: Fahad</w:t>
      </w:r>
      <w:r w:rsidRPr="1E1D2512" w:rsidR="731A5738">
        <w:rPr>
          <w:sz w:val="28"/>
          <w:szCs w:val="28"/>
        </w:rPr>
        <w:t xml:space="preserve"> Khan</w:t>
      </w:r>
      <w:r w:rsidR="731A5738">
        <w:rPr/>
        <w:t xml:space="preserve"> </w:t>
      </w:r>
    </w:p>
    <w:p w:rsidRPr="0093708D" w:rsidR="00A17A5C" w:rsidP="00A17A5C" w:rsidRDefault="00A17A5C" w14:paraId="0B9BC48A" w14:textId="77777777">
      <w:pPr>
        <w:spacing w:before="0" w:after="400" w:line="240" w:lineRule="auto"/>
        <w:jc w:val="center"/>
      </w:pPr>
      <w:r>
        <w:t>July 2026</w:t>
      </w:r>
    </w:p>
    <w:p w:rsidRPr="0093708D" w:rsidR="00A17A5C" w:rsidP="56E33B4D" w:rsidRDefault="00A17A5C" w14:paraId="462C5681" w14:textId="7DAE11CE">
      <w:pPr>
        <w:spacing w:before="400" w:after="0" w:line="240" w:lineRule="auto"/>
        <w:jc w:val="center"/>
        <w:rPr>
          <w:sz w:val="18"/>
          <w:szCs w:val="18"/>
        </w:rPr>
      </w:pPr>
    </w:p>
    <w:p w:rsidRPr="0093708D" w:rsidR="00C51159" w:rsidP="00A17A5C" w:rsidRDefault="00C51159" w14:paraId="2DFF6E0D" w14:textId="77777777">
      <w:r>
        <w:br w:type="page"/>
      </w:r>
    </w:p>
    <w:sdt>
      <w:sdtPr>
        <w:rPr>
          <w:rFonts w:ascii="Arial" w:hAnsi="Arial" w:eastAsia="Arial" w:cs="Arial"/>
          <w:b/>
          <w:bCs/>
          <w:color w:val="auto"/>
          <w:sz w:val="24"/>
          <w:szCs w:val="24"/>
          <w:lang w:val="en-IN" w:eastAsia="en-IN" w:bidi="bn-IN"/>
        </w:rPr>
        <w:id w:val="-413553736"/>
        <w:docPartObj>
          <w:docPartGallery w:val="Table of Contents"/>
          <w:docPartUnique/>
        </w:docPartObj>
      </w:sdtPr>
      <w:sdtEndPr>
        <w:rPr>
          <w:rFonts w:ascii="Arial" w:hAnsi="Arial" w:eastAsia="Arial" w:cs="Arial"/>
          <w:b w:val="1"/>
          <w:bCs w:val="1"/>
          <w:noProof/>
          <w:color w:val="auto"/>
          <w:sz w:val="24"/>
          <w:szCs w:val="24"/>
          <w:lang w:val="en-IN" w:eastAsia="en-IN" w:bidi="bn-IN"/>
        </w:rPr>
      </w:sdtEndPr>
      <w:sdtContent>
        <w:p w:rsidRPr="0093708D" w:rsidR="00C51159" w:rsidP="00C51159" w:rsidRDefault="00C51159" w14:paraId="3B2DC4BC" w14:textId="77777777">
          <w:pPr>
            <w:pStyle w:val="TOCHeading"/>
            <w:jc w:val="center"/>
            <w:rPr>
              <w:rFonts w:ascii="Arial" w:hAnsi="Arial" w:cs="Arial"/>
              <w:b/>
              <w:bCs/>
              <w:color w:val="auto"/>
              <w:sz w:val="24"/>
              <w:szCs w:val="24"/>
            </w:rPr>
          </w:pPr>
          <w:r>
            <w:rPr>
              <w:rFonts w:ascii="Arial" w:hAnsi="Arial" w:cs="Arial"/>
              <w:b/>
              <w:bCs/>
              <w:color w:val="auto"/>
              <w:sz w:val="24"/>
              <w:szCs w:val="24"/>
            </w:rPr>
            <w:t>Table of Contents</w:t>
          </w:r>
        </w:p>
        <w:p w:rsidR="006C3676" w:rsidRDefault="00C51159" w14:paraId="65E13C3B" w14:textId="77777777">
          <w:pPr>
            <w:pStyle w:val="TOC1"/>
            <w:tabs>
              <w:tab w:val="right" w:leader="dot" w:pos="9016"/>
            </w:tabs>
            <w:rPr>
              <w:rFonts w:asciiTheme="minorHAnsi" w:hAnsiTheme="minorHAnsi" w:eastAsiaTheme="minorEastAsia" w:cstheme="minorBidi"/>
              <w:noProof/>
              <w:kern w:val="2"/>
              <w14:ligatures w14:val="standardContextual"/>
            </w:rPr>
          </w:pPr>
          <w:r>
            <w:fldChar w:fldCharType="begin"/>
          </w:r>
          <w:r>
            <w:instrText xml:space="preserve"> TOC \o "1-3" \h \z \u </w:instrText>
          </w:r>
          <w:r>
            <w:fldChar w:fldCharType="separate"/>
          </w:r>
          <w:hyperlink w:history="1" w:anchor="_Toc235833212">
            <w:r>
              <w:rPr>
                <w:rStyle w:val="Hyperlink"/>
                <w:noProof/>
              </w:rPr>
              <w:t>Introduction</w:t>
            </w:r>
            <w:r>
              <w:rPr>
                <w:noProof/>
                <w:webHidden/>
              </w:rPr>
              <w:tab/>
            </w:r>
            <w:r>
              <w:rPr>
                <w:noProof/>
                <w:webHidden/>
              </w:rPr>
              <w:fldChar w:fldCharType="begin"/>
            </w:r>
            <w:r>
              <w:rPr>
                <w:noProof/>
                <w:webHidden/>
              </w:rPr>
              <w:instrText xml:space="preserve"> PAGEREF _Toc235833212 \h </w:instrText>
            </w:r>
            <w:r>
              <w:rPr>
                <w:noProof/>
                <w:webHidden/>
              </w:rPr>
            </w:r>
            <w:r>
              <w:rPr>
                <w:noProof/>
                <w:webHidden/>
              </w:rPr>
              <w:fldChar w:fldCharType="separate"/>
            </w:r>
            <w:r>
              <w:rPr>
                <w:noProof/>
                <w:webHidden/>
              </w:rPr>
              <w:t>3</w:t>
            </w:r>
            <w:r>
              <w:rPr>
                <w:noProof/>
                <w:webHidden/>
              </w:rPr>
              <w:fldChar w:fldCharType="end"/>
            </w:r>
          </w:hyperlink>
        </w:p>
        <w:p w:rsidR="006C3676" w:rsidRDefault="006C3676" w14:paraId="0CD09EC5" w14:textId="77777777">
          <w:pPr>
            <w:pStyle w:val="TOC1"/>
            <w:tabs>
              <w:tab w:val="right" w:leader="dot" w:pos="9016"/>
            </w:tabs>
            <w:rPr>
              <w:rFonts w:asciiTheme="minorHAnsi" w:hAnsiTheme="minorHAnsi" w:eastAsiaTheme="minorEastAsia" w:cstheme="minorBidi"/>
              <w:noProof/>
              <w:kern w:val="2"/>
              <w14:ligatures w14:val="standardContextual"/>
            </w:rPr>
          </w:pPr>
          <w:hyperlink w:history="1" w:anchor="_Toc235833213">
            <w:r>
              <w:rPr>
                <w:rStyle w:val="Hyperlink"/>
                <w:noProof/>
              </w:rPr>
              <w:t>Analysis of Leadership, Governance and Systems Thinking Failures</w:t>
            </w:r>
            <w:r>
              <w:rPr>
                <w:noProof/>
                <w:webHidden/>
              </w:rPr>
              <w:tab/>
            </w:r>
            <w:r>
              <w:rPr>
                <w:noProof/>
                <w:webHidden/>
              </w:rPr>
              <w:fldChar w:fldCharType="begin"/>
            </w:r>
            <w:r>
              <w:rPr>
                <w:noProof/>
                <w:webHidden/>
              </w:rPr>
              <w:instrText xml:space="preserve"> PAGEREF _Toc235833213 \h </w:instrText>
            </w:r>
            <w:r>
              <w:rPr>
                <w:noProof/>
                <w:webHidden/>
              </w:rPr>
            </w:r>
            <w:r>
              <w:rPr>
                <w:noProof/>
                <w:webHidden/>
              </w:rPr>
              <w:fldChar w:fldCharType="separate"/>
            </w:r>
            <w:r>
              <w:rPr>
                <w:noProof/>
                <w:webHidden/>
              </w:rPr>
              <w:t>4</w:t>
            </w:r>
            <w:r>
              <w:rPr>
                <w:noProof/>
                <w:webHidden/>
              </w:rPr>
              <w:fldChar w:fldCharType="end"/>
            </w:r>
          </w:hyperlink>
        </w:p>
        <w:p w:rsidR="006C3676" w:rsidRDefault="006C3676" w14:paraId="3A679E4B" w14:textId="77777777">
          <w:pPr>
            <w:pStyle w:val="TOC2"/>
            <w:tabs>
              <w:tab w:val="right" w:leader="dot" w:pos="9016"/>
            </w:tabs>
            <w:rPr>
              <w:rFonts w:asciiTheme="minorHAnsi" w:hAnsiTheme="minorHAnsi" w:eastAsiaTheme="minorEastAsia" w:cstheme="minorBidi"/>
              <w:noProof/>
              <w:kern w:val="2"/>
              <w14:ligatures w14:val="standardContextual"/>
            </w:rPr>
          </w:pPr>
          <w:hyperlink w:history="1" w:anchor="_Toc235833214">
            <w:r>
              <w:rPr>
                <w:rStyle w:val="Hyperlink"/>
                <w:noProof/>
              </w:rPr>
              <w:t>a. Identifying the Problem and Setting the System Context – Applying Systems Thinking and the Rich Picture</w:t>
            </w:r>
            <w:r>
              <w:rPr>
                <w:noProof/>
                <w:webHidden/>
              </w:rPr>
              <w:tab/>
            </w:r>
            <w:r>
              <w:rPr>
                <w:noProof/>
                <w:webHidden/>
              </w:rPr>
              <w:fldChar w:fldCharType="begin"/>
            </w:r>
            <w:r>
              <w:rPr>
                <w:noProof/>
                <w:webHidden/>
              </w:rPr>
              <w:instrText xml:space="preserve"> PAGEREF _Toc235833214 \h </w:instrText>
            </w:r>
            <w:r>
              <w:rPr>
                <w:noProof/>
                <w:webHidden/>
              </w:rPr>
            </w:r>
            <w:r>
              <w:rPr>
                <w:noProof/>
                <w:webHidden/>
              </w:rPr>
              <w:fldChar w:fldCharType="separate"/>
            </w:r>
            <w:r>
              <w:rPr>
                <w:noProof/>
                <w:webHidden/>
              </w:rPr>
              <w:t>4</w:t>
            </w:r>
            <w:r>
              <w:rPr>
                <w:noProof/>
                <w:webHidden/>
              </w:rPr>
              <w:fldChar w:fldCharType="end"/>
            </w:r>
          </w:hyperlink>
        </w:p>
        <w:p w:rsidR="006C3676" w:rsidRDefault="006C3676" w14:paraId="34307BF6" w14:textId="77777777">
          <w:pPr>
            <w:pStyle w:val="TOC2"/>
            <w:tabs>
              <w:tab w:val="right" w:leader="dot" w:pos="9016"/>
            </w:tabs>
            <w:rPr>
              <w:rFonts w:asciiTheme="minorHAnsi" w:hAnsiTheme="minorHAnsi" w:eastAsiaTheme="minorEastAsia" w:cstheme="minorBidi"/>
              <w:noProof/>
              <w:kern w:val="2"/>
              <w14:ligatures w14:val="standardContextual"/>
            </w:rPr>
          </w:pPr>
          <w:hyperlink w:history="1" w:anchor="_Toc235833215">
            <w:r>
              <w:rPr>
                <w:rStyle w:val="Hyperlink"/>
                <w:noProof/>
              </w:rPr>
              <w:t>b. Centralisation or Decentralisation within the Case Study</w:t>
            </w:r>
            <w:r>
              <w:rPr>
                <w:noProof/>
                <w:webHidden/>
              </w:rPr>
              <w:tab/>
            </w:r>
            <w:r>
              <w:rPr>
                <w:noProof/>
                <w:webHidden/>
              </w:rPr>
              <w:fldChar w:fldCharType="begin"/>
            </w:r>
            <w:r>
              <w:rPr>
                <w:noProof/>
                <w:webHidden/>
              </w:rPr>
              <w:instrText xml:space="preserve"> PAGEREF _Toc235833215 \h </w:instrText>
            </w:r>
            <w:r>
              <w:rPr>
                <w:noProof/>
                <w:webHidden/>
              </w:rPr>
            </w:r>
            <w:r>
              <w:rPr>
                <w:noProof/>
                <w:webHidden/>
              </w:rPr>
              <w:fldChar w:fldCharType="separate"/>
            </w:r>
            <w:r>
              <w:rPr>
                <w:noProof/>
                <w:webHidden/>
              </w:rPr>
              <w:t>6</w:t>
            </w:r>
            <w:r>
              <w:rPr>
                <w:noProof/>
                <w:webHidden/>
              </w:rPr>
              <w:fldChar w:fldCharType="end"/>
            </w:r>
          </w:hyperlink>
        </w:p>
        <w:p w:rsidR="006C3676" w:rsidRDefault="006C3676" w14:paraId="4310689B" w14:textId="77777777">
          <w:pPr>
            <w:pStyle w:val="TOC2"/>
            <w:tabs>
              <w:tab w:val="right" w:leader="dot" w:pos="9016"/>
            </w:tabs>
            <w:rPr>
              <w:rFonts w:asciiTheme="minorHAnsi" w:hAnsiTheme="minorHAnsi" w:eastAsiaTheme="minorEastAsia" w:cstheme="minorBidi"/>
              <w:noProof/>
              <w:kern w:val="2"/>
              <w14:ligatures w14:val="standardContextual"/>
            </w:rPr>
          </w:pPr>
          <w:hyperlink w:history="1" w:anchor="_Toc235833216">
            <w:r>
              <w:rPr>
                <w:rStyle w:val="Hyperlink"/>
                <w:noProof/>
              </w:rPr>
              <w:t>c. Leadership Theories and Application to the Case Study</w:t>
            </w:r>
            <w:r>
              <w:rPr>
                <w:noProof/>
                <w:webHidden/>
              </w:rPr>
              <w:tab/>
            </w:r>
            <w:r>
              <w:rPr>
                <w:noProof/>
                <w:webHidden/>
              </w:rPr>
              <w:fldChar w:fldCharType="begin"/>
            </w:r>
            <w:r>
              <w:rPr>
                <w:noProof/>
                <w:webHidden/>
              </w:rPr>
              <w:instrText xml:space="preserve"> PAGEREF _Toc235833216 \h </w:instrText>
            </w:r>
            <w:r>
              <w:rPr>
                <w:noProof/>
                <w:webHidden/>
              </w:rPr>
            </w:r>
            <w:r>
              <w:rPr>
                <w:noProof/>
                <w:webHidden/>
              </w:rPr>
              <w:fldChar w:fldCharType="separate"/>
            </w:r>
            <w:r>
              <w:rPr>
                <w:noProof/>
                <w:webHidden/>
              </w:rPr>
              <w:t>8</w:t>
            </w:r>
            <w:r>
              <w:rPr>
                <w:noProof/>
                <w:webHidden/>
              </w:rPr>
              <w:fldChar w:fldCharType="end"/>
            </w:r>
          </w:hyperlink>
        </w:p>
        <w:p w:rsidR="006C3676" w:rsidRDefault="006C3676" w14:paraId="6789CCC9" w14:textId="77777777">
          <w:pPr>
            <w:pStyle w:val="TOC2"/>
            <w:tabs>
              <w:tab w:val="right" w:leader="dot" w:pos="9016"/>
            </w:tabs>
            <w:rPr>
              <w:rFonts w:asciiTheme="minorHAnsi" w:hAnsiTheme="minorHAnsi" w:eastAsiaTheme="minorEastAsia" w:cstheme="minorBidi"/>
              <w:noProof/>
              <w:kern w:val="2"/>
              <w14:ligatures w14:val="standardContextual"/>
            </w:rPr>
          </w:pPr>
          <w:hyperlink w:history="1" w:anchor="_Toc235833217">
            <w:r>
              <w:rPr>
                <w:rStyle w:val="Hyperlink"/>
                <w:noProof/>
              </w:rPr>
              <w:t>d. Improvement, and Lessons Learned</w:t>
            </w:r>
            <w:r>
              <w:rPr>
                <w:noProof/>
                <w:webHidden/>
              </w:rPr>
              <w:tab/>
            </w:r>
            <w:r>
              <w:rPr>
                <w:noProof/>
                <w:webHidden/>
              </w:rPr>
              <w:fldChar w:fldCharType="begin"/>
            </w:r>
            <w:r>
              <w:rPr>
                <w:noProof/>
                <w:webHidden/>
              </w:rPr>
              <w:instrText xml:space="preserve"> PAGEREF _Toc235833217 \h </w:instrText>
            </w:r>
            <w:r>
              <w:rPr>
                <w:noProof/>
                <w:webHidden/>
              </w:rPr>
            </w:r>
            <w:r>
              <w:rPr>
                <w:noProof/>
                <w:webHidden/>
              </w:rPr>
              <w:fldChar w:fldCharType="separate"/>
            </w:r>
            <w:r>
              <w:rPr>
                <w:noProof/>
                <w:webHidden/>
              </w:rPr>
              <w:t>12</w:t>
            </w:r>
            <w:r>
              <w:rPr>
                <w:noProof/>
                <w:webHidden/>
              </w:rPr>
              <w:fldChar w:fldCharType="end"/>
            </w:r>
          </w:hyperlink>
        </w:p>
        <w:p w:rsidR="006C3676" w:rsidRDefault="006C3676" w14:paraId="2C8229FD" w14:textId="77777777">
          <w:pPr>
            <w:pStyle w:val="TOC1"/>
            <w:tabs>
              <w:tab w:val="right" w:leader="dot" w:pos="9016"/>
            </w:tabs>
            <w:rPr>
              <w:rFonts w:asciiTheme="minorHAnsi" w:hAnsiTheme="minorHAnsi" w:eastAsiaTheme="minorEastAsia" w:cstheme="minorBidi"/>
              <w:noProof/>
              <w:kern w:val="2"/>
              <w14:ligatures w14:val="standardContextual"/>
            </w:rPr>
          </w:pPr>
          <w:hyperlink w:history="1" w:anchor="_Toc235833218">
            <w:r>
              <w:rPr>
                <w:rStyle w:val="Hyperlink"/>
                <w:noProof/>
              </w:rPr>
              <w:t>Recommendations</w:t>
            </w:r>
            <w:r>
              <w:rPr>
                <w:noProof/>
                <w:webHidden/>
              </w:rPr>
              <w:tab/>
            </w:r>
            <w:r>
              <w:rPr>
                <w:noProof/>
                <w:webHidden/>
              </w:rPr>
              <w:fldChar w:fldCharType="begin"/>
            </w:r>
            <w:r>
              <w:rPr>
                <w:noProof/>
                <w:webHidden/>
              </w:rPr>
              <w:instrText xml:space="preserve"> PAGEREF _Toc235833218 \h </w:instrText>
            </w:r>
            <w:r>
              <w:rPr>
                <w:noProof/>
                <w:webHidden/>
              </w:rPr>
            </w:r>
            <w:r>
              <w:rPr>
                <w:noProof/>
                <w:webHidden/>
              </w:rPr>
              <w:fldChar w:fldCharType="separate"/>
            </w:r>
            <w:r>
              <w:rPr>
                <w:noProof/>
                <w:webHidden/>
              </w:rPr>
              <w:t>14</w:t>
            </w:r>
            <w:r>
              <w:rPr>
                <w:noProof/>
                <w:webHidden/>
              </w:rPr>
              <w:fldChar w:fldCharType="end"/>
            </w:r>
          </w:hyperlink>
        </w:p>
        <w:p w:rsidR="006C3676" w:rsidRDefault="006C3676" w14:paraId="1891A920" w14:textId="77777777">
          <w:pPr>
            <w:pStyle w:val="TOC1"/>
            <w:tabs>
              <w:tab w:val="right" w:leader="dot" w:pos="9016"/>
            </w:tabs>
            <w:rPr>
              <w:rFonts w:asciiTheme="minorHAnsi" w:hAnsiTheme="minorHAnsi" w:eastAsiaTheme="minorEastAsia" w:cstheme="minorBidi"/>
              <w:noProof/>
              <w:kern w:val="2"/>
              <w14:ligatures w14:val="standardContextual"/>
            </w:rPr>
          </w:pPr>
          <w:hyperlink w:history="1" w:anchor="_Toc235833219">
            <w:r>
              <w:rPr>
                <w:rStyle w:val="Hyperlink"/>
                <w:noProof/>
              </w:rPr>
              <w:t>Conclusion</w:t>
            </w:r>
            <w:r>
              <w:rPr>
                <w:noProof/>
                <w:webHidden/>
              </w:rPr>
              <w:tab/>
            </w:r>
            <w:r>
              <w:rPr>
                <w:noProof/>
                <w:webHidden/>
              </w:rPr>
              <w:fldChar w:fldCharType="begin"/>
            </w:r>
            <w:r>
              <w:rPr>
                <w:noProof/>
                <w:webHidden/>
              </w:rPr>
              <w:instrText xml:space="preserve"> PAGEREF _Toc235833219 \h </w:instrText>
            </w:r>
            <w:r>
              <w:rPr>
                <w:noProof/>
                <w:webHidden/>
              </w:rPr>
            </w:r>
            <w:r>
              <w:rPr>
                <w:noProof/>
                <w:webHidden/>
              </w:rPr>
              <w:fldChar w:fldCharType="separate"/>
            </w:r>
            <w:r>
              <w:rPr>
                <w:noProof/>
                <w:webHidden/>
              </w:rPr>
              <w:t>16</w:t>
            </w:r>
            <w:r>
              <w:rPr>
                <w:noProof/>
                <w:webHidden/>
              </w:rPr>
              <w:fldChar w:fldCharType="end"/>
            </w:r>
          </w:hyperlink>
        </w:p>
        <w:p w:rsidR="006C3676" w:rsidRDefault="006C3676" w14:paraId="2711FEC7" w14:textId="77777777">
          <w:pPr>
            <w:pStyle w:val="TOC1"/>
            <w:tabs>
              <w:tab w:val="right" w:leader="dot" w:pos="9016"/>
            </w:tabs>
            <w:rPr>
              <w:rFonts w:asciiTheme="minorHAnsi" w:hAnsiTheme="minorHAnsi" w:eastAsiaTheme="minorEastAsia" w:cstheme="minorBidi"/>
              <w:noProof/>
              <w:kern w:val="2"/>
              <w14:ligatures w14:val="standardContextual"/>
            </w:rPr>
          </w:pPr>
          <w:hyperlink w:history="1" w:anchor="_Toc235833220">
            <w:r>
              <w:rPr>
                <w:rStyle w:val="Hyperlink"/>
                <w:noProof/>
              </w:rPr>
              <w:t>References</w:t>
            </w:r>
            <w:r>
              <w:rPr>
                <w:noProof/>
                <w:webHidden/>
              </w:rPr>
              <w:tab/>
            </w:r>
            <w:r>
              <w:rPr>
                <w:noProof/>
                <w:webHidden/>
              </w:rPr>
              <w:fldChar w:fldCharType="begin"/>
            </w:r>
            <w:r>
              <w:rPr>
                <w:noProof/>
                <w:webHidden/>
              </w:rPr>
              <w:instrText xml:space="preserve"> PAGEREF _Toc235833220 \h </w:instrText>
            </w:r>
            <w:r>
              <w:rPr>
                <w:noProof/>
                <w:webHidden/>
              </w:rPr>
            </w:r>
            <w:r>
              <w:rPr>
                <w:noProof/>
                <w:webHidden/>
              </w:rPr>
              <w:fldChar w:fldCharType="separate"/>
            </w:r>
            <w:r>
              <w:rPr>
                <w:noProof/>
                <w:webHidden/>
              </w:rPr>
              <w:t>17</w:t>
            </w:r>
            <w:r>
              <w:rPr>
                <w:noProof/>
                <w:webHidden/>
              </w:rPr>
              <w:fldChar w:fldCharType="end"/>
            </w:r>
          </w:hyperlink>
        </w:p>
        <w:p w:rsidRPr="0093708D" w:rsidR="00C51159" w:rsidRDefault="00C51159" w14:paraId="7867DD13" w14:textId="77777777">
          <w:r>
            <w:rPr>
              <w:b/>
              <w:bCs/>
              <w:noProof/>
            </w:rPr>
            <w:fldChar w:fldCharType="end"/>
          </w:r>
        </w:p>
      </w:sdtContent>
    </w:sdt>
    <w:p w:rsidRPr="0093708D" w:rsidR="00C51159" w:rsidP="00C51159" w:rsidRDefault="00C51159" w14:paraId="4399185D" w14:textId="77777777">
      <w:pPr>
        <w:spacing w:after="400"/>
      </w:pPr>
    </w:p>
    <w:p w:rsidRPr="0093708D" w:rsidR="00C51159" w:rsidRDefault="00C51159" w14:paraId="6348885E" w14:textId="77777777">
      <w:pPr>
        <w:spacing w:before="0" w:after="0" w:line="240" w:lineRule="auto"/>
        <w:jc w:val="left"/>
        <w:rPr>
          <w:b/>
          <w:bCs/>
          <w:sz w:val="28"/>
          <w:szCs w:val="28"/>
        </w:rPr>
      </w:pPr>
      <w:r>
        <w:br w:type="page"/>
      </w:r>
    </w:p>
    <w:p w:rsidRPr="0093708D" w:rsidR="003E5415" w:rsidRDefault="00000000" w14:paraId="70A45D28" w14:textId="77777777">
      <w:pPr>
        <w:pStyle w:val="Heading1"/>
      </w:pPr>
      <w:bookmarkStart w:name="_Toc235833212" w:id="0"/>
      <w:r>
        <w:t>Introduction</w:t>
      </w:r>
      <w:bookmarkEnd w:id="0"/>
    </w:p>
    <w:p w:rsidRPr="0093708D" w:rsidR="001550A8" w:rsidP="001550A8" w:rsidRDefault="001550A8" w14:paraId="6C96ADA8" w14:textId="13CF06A2">
      <w:pPr>
        <w:rPr>
          <w:bCs/>
        </w:rPr>
      </w:pPr>
      <w:r>
        <w:rPr>
          <w:bCs/>
        </w:rPr>
        <w:t>Len was an 89-year-old male suffering from Charcot Marie Tooth Disease and having mild renal impairment and was given a lower dose of morphine sulfate oral solution (1.25ml – 2.5ml) after a teleconsultation with his GP in December 2020. Because of ambiguous labeling by the manufacturer (“10mg in 5ml” on the bottle in bold letters), the fact that the dispensing label was written on the outside of the box which was thrown away, and inadequate verbal safety netting, Len and his wife (with hearing and memory problems) misunderstood the dose. He took three 5ml doses (10mg each) – two to four times what he was supposed to – causing respiratory depression, admittance to the hospital, developing pneumonia, exacerbation of his pre-existing condition, and ultimately dying because of respiratory failure (HSSIB, 2022).</w:t>
      </w:r>
    </w:p>
    <w:p w:rsidRPr="0093708D" w:rsidR="001550A8" w:rsidP="001550A8" w:rsidRDefault="001550A8" w14:paraId="6B90F60C" w14:textId="77777777">
      <w:r>
        <w:t>The term leadership within healthcare can be described as a socially constructed phenomenon where one person is assigned or decides to take up more responsibility or accountability for empowering others to solve common issues in accordance with the objectives and values of the respective organization or team (Northouse, 2021). The effective leaders have to possess such qualities as self-awareness and flexibility and be able to combine their task-oriented nature with people-orientation. In the complex healthcare systems such as the NHS, leadership should also take into consideration the interaction between the centrally planned framework and the decentralized service delivery through the GP surgeries and pharmacies.</w:t>
      </w:r>
    </w:p>
    <w:p w:rsidRPr="0093708D" w:rsidR="001550A8" w:rsidP="001550A8" w:rsidRDefault="001550A8" w14:paraId="333C197B" w14:textId="77777777">
      <w:r>
        <w:t>Centralisation in the NHS consists of making decisions at the national level regarding policy, funding, regulatory requirements, and strategic planning (such as NICE guidelines, NHS England strategy and MHRA guidance on drug packaging). On the other hand, decentralisation entails delegating responsibilities for service delivery, clinical decision-making and management to local entities like general practitioner surgeries, pharmacies and Integrated Care Systems (ICSs). Although this approach attempts to integrate both national uniformity and local flexibility, there arises a possibility of accountability issues when national policy is not adequately converted into local implementation or when local discretion lacks any form of supervision, support and feedback system (NHS England, 2024; Hughes, 2023). This balance between centralisation and decentralisation will provide an essential framework through which the case study of Len will be examined.</w:t>
      </w:r>
    </w:p>
    <w:p w:rsidRPr="0093708D" w:rsidR="001550A8" w:rsidP="001550A8" w:rsidRDefault="001550A8" w14:paraId="23AA458C" w14:textId="77777777">
      <w:r>
        <w:t>This report is going to present a critical analysis of the discussed case from the perspective of systems thinking and rich pictures, examine the dynamics of the relationship between the two elements of the system, and apply leadership theories including such behavioral theories as Ohio State and Michigan, as well as Theory X, Y and Z. This analysis will be based on the recently published literature and reports such as the HSSIB investigation into Len’s death and NHS Patient Safety Strategy (2026).</w:t>
      </w:r>
    </w:p>
    <w:p w:rsidRPr="0093708D" w:rsidR="0042418E" w:rsidP="006C3676" w:rsidRDefault="0042418E" w14:paraId="563AD8BC" w14:textId="77777777">
      <w:pPr>
        <w:pStyle w:val="Heading1"/>
      </w:pPr>
      <w:bookmarkStart w:name="_Toc235833213" w:id="1"/>
      <w:r>
        <w:t>Analysis of Leadership, Governance and Systems Thinking Failures</w:t>
      </w:r>
      <w:bookmarkEnd w:id="1"/>
    </w:p>
    <w:p w:rsidRPr="0093708D" w:rsidR="003E5415" w:rsidP="00B0235D" w:rsidRDefault="00000000" w14:paraId="2A998C13" w14:textId="77777777">
      <w:pPr>
        <w:pStyle w:val="Heading2"/>
      </w:pPr>
      <w:bookmarkStart w:name="_Toc235833214" w:id="2"/>
      <w:r>
        <w:t>a. Identifying the Problem and Setting the System Context – Applying Systems Thinking and the Rich Picture</w:t>
      </w:r>
      <w:bookmarkEnd w:id="2"/>
    </w:p>
    <w:p w:rsidRPr="0093708D" w:rsidR="001550A8" w:rsidP="56E33B4D" w:rsidRDefault="001550A8" w14:paraId="5F9F7E55" w14:textId="2D87F56B">
      <w:pPr>
        <w:spacing w:before="0" w:after="200"/>
        <w:rPr>
          <w:rFonts w:eastAsia="MS Mincho"/>
          <w:lang w:val="en-US" w:eastAsia="en-US" w:bidi="ar-SA"/>
        </w:rPr>
      </w:pPr>
      <w:r w:rsidRPr="56E33B4D" w:rsidR="001550A8">
        <w:rPr>
          <w:rFonts w:eastAsia="MS Mincho"/>
          <w:lang w:val="en-US" w:eastAsia="en-US" w:bidi="ar-SA"/>
        </w:rPr>
        <w:t>First of all</w:t>
      </w:r>
      <w:r w:rsidRPr="56E33B4D" w:rsidR="001550A8">
        <w:rPr>
          <w:rFonts w:eastAsia="MS Mincho"/>
          <w:lang w:val="en-US" w:eastAsia="en-US" w:bidi="ar-SA"/>
        </w:rPr>
        <w:t xml:space="preserve">, Len’s situation is an example of a systems failure rather than an individual mistake. The core issue was an unintended overdose of morphine sulfate oral solution because of the misunderstanding of the manufacturer’s bottle labelling (“10mg in 5ml”), the dispensing label located only on the outer box (which was disposed of) and insufficient verbal safety netting from the GP and pharmacy (Healthcare Safety Investigation Branch (HSSIB), 2022). Len was an 89-year-old man with Charcot-Marie-Tooth (CMT) disease and mild renal impairment, who had taken three doses of 5ml (10mg) on the day of collection – two to four times the prescribed maximum of 1.25ml to 2.5ml. It has resulted in Len’s suffering from respiratory depression, </w:t>
      </w:r>
      <w:r w:rsidRPr="56E33B4D" w:rsidR="7DAA4FEE">
        <w:rPr>
          <w:rFonts w:eastAsia="MS Mincho"/>
          <w:lang w:val="en-US" w:eastAsia="en-US" w:bidi="ar-SA"/>
        </w:rPr>
        <w:t>hospitalization</w:t>
      </w:r>
      <w:r w:rsidRPr="56E33B4D" w:rsidR="001550A8">
        <w:rPr>
          <w:rFonts w:eastAsia="MS Mincho"/>
          <w:lang w:val="en-US" w:eastAsia="en-US" w:bidi="ar-SA"/>
        </w:rPr>
        <w:t xml:space="preserve"> due to the suspected morphine overdose, development of pneumonia and exacerbation of CMT, which led to death from respiratory failure (HSSIB, 2022).</w:t>
      </w:r>
    </w:p>
    <w:p w:rsidRPr="0093708D" w:rsidR="001550A8" w:rsidP="00B0235D" w:rsidRDefault="001550A8" w14:paraId="04BE5D06" w14:textId="77777777">
      <w:pPr>
        <w:spacing w:before="0" w:after="200"/>
        <w:rPr>
          <w:rFonts w:eastAsia="MS Mincho"/>
          <w:szCs w:val="22"/>
          <w:lang w:val="en-US" w:eastAsia="en-US" w:bidi="ar-SA"/>
        </w:rPr>
      </w:pPr>
      <w:r>
        <w:rPr>
          <w:rFonts w:eastAsia="MS Mincho"/>
          <w:szCs w:val="22"/>
          <w:lang w:val="en-US" w:eastAsia="en-US" w:bidi="ar-SA"/>
        </w:rPr>
        <w:t xml:space="preserve">At the national level, oral morphine sulfate liquid is the drug responsible for 13 coroners’ “prevention of future death” reports since 2013 – mostly associated with chronic pain management but the common problems are concentration misunderstanding between different strength solutions (such as 10mg/5ml vs 20mg/1ml), high volume supply for acute pain treatment and patient or carer misunderstanding of the dosing instructions (HSSIB, 2022). Such events indicate system vulnerabilities in high-risk medication management in primary care. At the international level, the World Health Organization (2023) states that the safety of medications is the key problem of global importance and the data shows that 1 in 10 patients experiences harm when receiving hospital care and the substantial number </w:t>
      </w:r>
      <w:r>
        <w:rPr>
          <w:rFonts w:eastAsia="MS Mincho"/>
          <w:szCs w:val="22"/>
          <w:lang w:val="en-US" w:eastAsia="en-US" w:bidi="ar-SA"/>
        </w:rPr>
        <w:t>of these harms is associated with medications and is preventable. From the point of view of the United Kingdom, according to NHS England (2023), about 237 million medication errors happen annually in the National Health Service, with many of them occurring in transitions of care and in community settings when patients manage medications themselves. All these facts show that Len’s death can be considered not as a one-time tragedy but rather as an indicator of systemic problem with high-risk medications management for vulnerable patients in the NHS.</w:t>
      </w:r>
    </w:p>
    <w:p w:rsidRPr="0093708D" w:rsidR="001550A8" w:rsidP="1E1D2512" w:rsidRDefault="001550A8" w14:paraId="16035000" w14:textId="0E519FCA">
      <w:pPr>
        <w:spacing w:before="0" w:after="200"/>
        <w:rPr>
          <w:rFonts w:eastAsia="MS Mincho"/>
          <w:lang w:val="en-US" w:eastAsia="en-US" w:bidi="ar-SA"/>
        </w:rPr>
      </w:pPr>
      <w:r w:rsidRPr="1E1D2512" w:rsidR="001550A8">
        <w:rPr>
          <w:rFonts w:eastAsia="MS Mincho"/>
          <w:lang w:val="en-US" w:eastAsia="en-US" w:bidi="ar-SA"/>
        </w:rPr>
        <w:t xml:space="preserve">There are several interconnected vulnerabilities within the problem. </w:t>
      </w:r>
      <w:r w:rsidRPr="1E1D2512" w:rsidR="001550A8">
        <w:rPr>
          <w:rFonts w:eastAsia="MS Mincho"/>
          <w:lang w:val="en-US" w:eastAsia="en-US" w:bidi="ar-SA"/>
        </w:rPr>
        <w:t>First of all</w:t>
      </w:r>
      <w:r w:rsidRPr="1E1D2512" w:rsidR="001550A8">
        <w:rPr>
          <w:rFonts w:eastAsia="MS Mincho"/>
          <w:lang w:val="en-US" w:eastAsia="en-US" w:bidi="ar-SA"/>
        </w:rPr>
        <w:t xml:space="preserve">, there was a significant failure in the communication between healthcare professionals and patient-carer dyad – Len’s wife had hearing loss and memory problems, but there was no indication of additional verbal counselling, teach-back methods and assessment of her ability to safely administer Len’s medications (HSSIB, 2022). Secondly, there were design failures of packaging and labelling – the manufacturer’s bottle had the inscription “10mg in 5ml” in large and bold letters and Len and his wife could interpret it correctly, while the right instructions for use (1.25ml-2.5ml) were only written on the label of the outer box which was discarded. Such packaging directly </w:t>
      </w:r>
      <w:r w:rsidRPr="1E1D2512" w:rsidR="78273CD6">
        <w:rPr>
          <w:rFonts w:eastAsia="MS Mincho"/>
          <w:lang w:val="en-US" w:eastAsia="en-US" w:bidi="ar-SA"/>
        </w:rPr>
        <w:t>contradicts</w:t>
      </w:r>
      <w:r w:rsidRPr="1E1D2512" w:rsidR="001550A8">
        <w:rPr>
          <w:rFonts w:eastAsia="MS Mincho"/>
          <w:lang w:val="en-US" w:eastAsia="en-US" w:bidi="ar-SA"/>
        </w:rPr>
        <w:t xml:space="preserve"> the guidelines on how to make a safe medication labelling especially for patients with visual or cognitive impairments (World Health Organization, 2023). Thirdly, healthcare professionals had </w:t>
      </w:r>
      <w:r w:rsidRPr="1E1D2512" w:rsidR="0C019097">
        <w:rPr>
          <w:rFonts w:eastAsia="MS Mincho"/>
          <w:lang w:val="en-US" w:eastAsia="en-US" w:bidi="ar-SA"/>
        </w:rPr>
        <w:t>several</w:t>
      </w:r>
      <w:r w:rsidRPr="1E1D2512" w:rsidR="001550A8">
        <w:rPr>
          <w:rFonts w:eastAsia="MS Mincho"/>
          <w:lang w:val="en-US" w:eastAsia="en-US" w:bidi="ar-SA"/>
        </w:rPr>
        <w:t xml:space="preserve"> </w:t>
      </w:r>
      <w:r w:rsidRPr="1E1D2512" w:rsidR="001550A8">
        <w:rPr>
          <w:rFonts w:eastAsia="MS Mincho"/>
          <w:lang w:val="en-US" w:eastAsia="en-US" w:bidi="ar-SA"/>
        </w:rPr>
        <w:t>erroneous</w:t>
      </w:r>
      <w:r w:rsidRPr="1E1D2512" w:rsidR="001550A8">
        <w:rPr>
          <w:rFonts w:eastAsia="MS Mincho"/>
          <w:lang w:val="en-US" w:eastAsia="en-US" w:bidi="ar-SA"/>
        </w:rPr>
        <w:t xml:space="preserve"> assumptions – the fact that the patient information leaflet is enough, that patients and carers have adequate health literacy, and that remote triaging and standard procedures are sufficient for complex and vulnerable individuals (Louch </w:t>
      </w:r>
      <w:r w:rsidRPr="1E1D2512" w:rsidR="001550A8">
        <w:rPr>
          <w:rFonts w:eastAsia="MS Mincho"/>
          <w:i w:val="1"/>
          <w:iCs w:val="1"/>
          <w:lang w:val="en-US" w:eastAsia="en-US" w:bidi="ar-SA"/>
        </w:rPr>
        <w:t>et al</w:t>
      </w:r>
      <w:r w:rsidRPr="1E1D2512" w:rsidR="001550A8">
        <w:rPr>
          <w:rFonts w:eastAsia="MS Mincho"/>
          <w:lang w:val="en-US" w:eastAsia="en-US" w:bidi="ar-SA"/>
        </w:rPr>
        <w:t xml:space="preserve">., 2025). Finally, there were the breaks of feedback loops – no Yellow Card report was sent </w:t>
      </w:r>
      <w:r w:rsidRPr="1E1D2512" w:rsidR="001550A8">
        <w:rPr>
          <w:rFonts w:eastAsia="MS Mincho"/>
          <w:lang w:val="en-US" w:eastAsia="en-US" w:bidi="ar-SA"/>
        </w:rPr>
        <w:t>despite of</w:t>
      </w:r>
      <w:r w:rsidRPr="1E1D2512" w:rsidR="001550A8">
        <w:rPr>
          <w:rFonts w:eastAsia="MS Mincho"/>
          <w:lang w:val="en-US" w:eastAsia="en-US" w:bidi="ar-SA"/>
        </w:rPr>
        <w:t xml:space="preserve"> the seriousness of adverse reaction and pharmacy did not fully collaborate with the HSSIB investigation (HSSIB, 2022; HSSIB, 2025).</w:t>
      </w:r>
    </w:p>
    <w:p w:rsidRPr="0093708D" w:rsidR="001550A8" w:rsidP="00B0235D" w:rsidRDefault="001550A8" w14:paraId="1820D8E8" w14:textId="77777777">
      <w:pPr>
        <w:spacing w:before="0" w:after="200"/>
        <w:rPr>
          <w:rFonts w:eastAsia="MS Mincho"/>
          <w:szCs w:val="22"/>
          <w:lang w:val="en-US" w:eastAsia="en-US" w:bidi="ar-SA"/>
        </w:rPr>
      </w:pPr>
      <w:r>
        <w:rPr>
          <w:rFonts w:eastAsia="MS Mincho"/>
          <w:szCs w:val="22"/>
          <w:lang w:val="en-US" w:eastAsia="en-US" w:bidi="ar-SA"/>
        </w:rPr>
        <w:t xml:space="preserve">The governance of the problem happened at several levels – nationally, NICE guidance and BNF recommendations for reduced dosing in elderly patients and with renal impairment existed, while MHRA regulations controlled the packaging and labelling standards. However, these central frameworks did not have any strong mechanisms for implementation of local adaptations or patient-centred design of high-risk medications (Hughes, 2023). Locally, it was the responsibility of GP practice and community pharmacy to prescribe, dispense and counsel safely, but they had a great </w:t>
      </w:r>
      <w:r>
        <w:rPr>
          <w:rFonts w:eastAsia="MS Mincho"/>
          <w:szCs w:val="22"/>
          <w:lang w:val="en-US" w:eastAsia="en-US" w:bidi="ar-SA"/>
        </w:rPr>
        <w:t>autonomy and no sufficient means to detect and reduce risks for vulnerable patients (NHS England, 2024).</w:t>
      </w:r>
    </w:p>
    <w:p w:rsidRPr="0093708D" w:rsidR="001550A8" w:rsidP="00B0235D" w:rsidRDefault="001550A8" w14:paraId="3F2E0C01" w14:textId="77777777">
      <w:pPr>
        <w:spacing w:before="0" w:after="200"/>
        <w:rPr>
          <w:rFonts w:eastAsia="MS Mincho"/>
          <w:szCs w:val="22"/>
          <w:lang w:val="en-US" w:eastAsia="en-US" w:bidi="ar-SA"/>
        </w:rPr>
      </w:pPr>
      <w:r>
        <w:rPr>
          <w:rFonts w:eastAsia="MS Mincho"/>
          <w:szCs w:val="22"/>
          <w:lang w:val="en-US" w:eastAsia="en-US" w:bidi="ar-SA"/>
        </w:rPr>
        <w:t xml:space="preserve">As stated in the NHS Patient Safety Strategy and the Patient Safety Incident Response Framework (PSIRF), the system thinking, which is promoted in these documents, suggests shifting from person-focused reasons of incidents to understanding them as emergent effects of complex interactions of people, processes, technologies and organisational culture (NHS England, 2024; Hibbert </w:t>
      </w:r>
      <w:r>
        <w:rPr>
          <w:rFonts w:eastAsia="MS Mincho"/>
          <w:i/>
          <w:iCs/>
          <w:szCs w:val="22"/>
          <w:lang w:val="en-US" w:eastAsia="en-US" w:bidi="ar-SA"/>
        </w:rPr>
        <w:t>et al</w:t>
      </w:r>
      <w:r>
        <w:rPr>
          <w:rFonts w:eastAsia="MS Mincho"/>
          <w:szCs w:val="22"/>
          <w:lang w:val="en-US" w:eastAsia="en-US" w:bidi="ar-SA"/>
        </w:rPr>
        <w:t xml:space="preserve">., 2024). The rich picture can serve as a valuable qualitative approach to visualise such interactions, relationships, emotions and feedback loops which cannot be captured using linear text (Challinor </w:t>
      </w:r>
      <w:r>
        <w:rPr>
          <w:rFonts w:eastAsia="MS Mincho"/>
          <w:i/>
          <w:iCs/>
          <w:szCs w:val="22"/>
          <w:lang w:val="en-US" w:eastAsia="en-US" w:bidi="ar-SA"/>
        </w:rPr>
        <w:t>et al</w:t>
      </w:r>
      <w:r>
        <w:rPr>
          <w:rFonts w:eastAsia="MS Mincho"/>
          <w:szCs w:val="22"/>
          <w:lang w:val="en-US" w:eastAsia="en-US" w:bidi="ar-SA"/>
        </w:rPr>
        <w:t xml:space="preserve">., 2025; Fell </w:t>
      </w:r>
      <w:r>
        <w:rPr>
          <w:rFonts w:eastAsia="MS Mincho"/>
          <w:i/>
          <w:iCs/>
          <w:szCs w:val="22"/>
          <w:lang w:val="en-US" w:eastAsia="en-US" w:bidi="ar-SA"/>
        </w:rPr>
        <w:t>et al</w:t>
      </w:r>
      <w:r>
        <w:rPr>
          <w:rFonts w:eastAsia="MS Mincho"/>
          <w:szCs w:val="22"/>
          <w:lang w:val="en-US" w:eastAsia="en-US" w:bidi="ar-SA"/>
        </w:rPr>
        <w:t>., 2024).</w:t>
      </w:r>
    </w:p>
    <w:p w:rsidRPr="0093708D" w:rsidR="005657C5" w:rsidP="007108DC" w:rsidRDefault="007108DC" w14:paraId="648F6664" w14:textId="77777777">
      <w:pPr>
        <w:jc w:val="center"/>
      </w:pPr>
      <w:r>
        <w:rPr>
          <w:noProof/>
        </w:rPr>
        <w:drawing>
          <wp:inline distT="0" distB="0" distL="0" distR="0" wp14:anchorId="3BF8EB29" wp14:editId="005A7069">
            <wp:extent cx="5706110" cy="3651885"/>
            <wp:effectExtent l="0" t="0" r="8890" b="5715"/>
            <wp:docPr id="18600194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6110" cy="3651885"/>
                    </a:xfrm>
                    <a:prstGeom prst="rect">
                      <a:avLst/>
                    </a:prstGeom>
                    <a:noFill/>
                  </pic:spPr>
                </pic:pic>
              </a:graphicData>
            </a:graphic>
          </wp:inline>
        </w:drawing>
      </w:r>
    </w:p>
    <w:p w:rsidRPr="0093708D" w:rsidR="005657C5" w:rsidP="005657C5" w:rsidRDefault="005657C5" w14:paraId="6C57F6F9" w14:textId="77777777">
      <w:pPr>
        <w:spacing w:after="200"/>
        <w:jc w:val="center"/>
      </w:pPr>
      <w:r>
        <w:rPr>
          <w:b/>
          <w:bCs/>
        </w:rPr>
        <w:t>Figure 1:</w:t>
      </w:r>
      <w:r>
        <w:t xml:space="preserve"> Rich Picture Illustrating the Systemic Factors Contributing to the Unintentional Overdose of Morphine Sulfate Oral Solution in the Case of Len</w:t>
      </w:r>
    </w:p>
    <w:p w:rsidRPr="0093708D" w:rsidR="005657C5" w:rsidP="005657C5" w:rsidRDefault="005657C5" w14:paraId="05AA96D6" w14:textId="7E1ABDC7">
      <w:pPr>
        <w:spacing w:after="200"/>
        <w:jc w:val="center"/>
      </w:pPr>
      <w:r w:rsidR="76E4F659">
        <w:rPr/>
        <w:t>(Self</w:t>
      </w:r>
      <w:r w:rsidR="005657C5">
        <w:rPr/>
        <w:t>-Developed)</w:t>
      </w:r>
    </w:p>
    <w:p w:rsidRPr="0093708D" w:rsidR="001550A8" w:rsidP="001550A8" w:rsidRDefault="001550A8" w14:paraId="7C694443" w14:textId="77777777">
      <w:r>
        <w:t xml:space="preserve">Len’s rich picture has been improved to demonstrate better the relationship between leadership assumptions, governance failure, and broken feedback loops. In the middle of the rich picture, Len is represented by an image of an old, weak man using a walking stick and suffering from CMT disease with a confused face, slouching position, and </w:t>
      </w:r>
      <w:r>
        <w:t xml:space="preserve">lying down in bed. His wife standing next to him is wearing a hearing aid and looks concerned while holding a big bottle of morphine ‘10mg in 5ml’ and a 5 ml syringe. On the left, the GP is represented as talking on the phone that is connected to the patient’s house by a dashed line. The text in the bubble shows the following words: ‘Take ibuprofen and read the leaflet’, which depicts the rushed task-based communication. On the left, the hospital emergency department and ambulance represent Len’s deterioration and subsequent admission into the hospital. On the right, the pharmacy counter represents the large bottle of morphine with a label in red color as the biggest source of confusion, and the small dispensing label is shown on the discarded packaging with a crossed-out question mark. Above, NICE, BNF, and MHRA guidelines are presented with faded arrows that link to the GP and indicate poor implementation of the policies. Beneath, the broken feedback loops connect ‘No Yellow Card Submitted’ to ‘No Systemic Learning’, thus causing an increase in future risks. Emotional symbols, time pressures, defensive culture, Theory X assumptions, absence of Theory Y and reinforcing red feedback loops are used to describe how leadership assumptions, communication issues, and governance weaknesses have led to preventable harm (Challinor </w:t>
      </w:r>
      <w:r>
        <w:rPr>
          <w:i/>
          <w:iCs/>
        </w:rPr>
        <w:t>et al</w:t>
      </w:r>
      <w:r>
        <w:t xml:space="preserve">., 2025; Fell </w:t>
      </w:r>
      <w:r>
        <w:rPr>
          <w:i/>
          <w:iCs/>
        </w:rPr>
        <w:t>et al</w:t>
      </w:r>
      <w:r>
        <w:t>., 2024; HSSIB, 2022).</w:t>
      </w:r>
    </w:p>
    <w:p w:rsidRPr="0093708D" w:rsidR="003E5415" w:rsidRDefault="00000000" w14:paraId="6D6CCB34" w14:textId="77777777">
      <w:pPr>
        <w:pStyle w:val="Heading2"/>
      </w:pPr>
      <w:bookmarkStart w:name="_Toc235833215" w:id="3"/>
      <w:r>
        <w:t>b. Centralisation or Decentralisation within the Case Study</w:t>
      </w:r>
      <w:bookmarkEnd w:id="3"/>
    </w:p>
    <w:p w:rsidRPr="0093708D" w:rsidR="00C51159" w:rsidP="00C51159" w:rsidRDefault="00C51159" w14:paraId="01BC7651" w14:textId="77777777">
      <w:r>
        <w:t>The English NHS utilizes a hybrid governance model that balances a degree of centralization in the policy, funding, and regulation with a notable amount of decentralization in service provision. There are significant consequences to this system for patient safety, especially within the scope of primary care and high-risk medications. Len’s case is a striking example of how interaction between the centralized policy and decentralization could lead to serious dangers in terms of accountability, communication, and risk mitigation if the model was not deliberately built to address the issues of vulnerable patients (NHS England, 2024).</w:t>
      </w:r>
    </w:p>
    <w:p w:rsidRPr="0093708D" w:rsidR="00C51159" w:rsidP="00C51159" w:rsidRDefault="00C51159" w14:paraId="3613AE9C" w14:textId="77777777">
      <w:r>
        <w:t xml:space="preserve">There are several central components within the NHS, such as national clinical guidance, regulations, and priorities. In Len’s case, these central aspects include NICE and British National Formulary (BNF) guidelines concerning reduced opioid doses in old adults and people with renal impairment and Human Medicines Regulations 2012 regarding medication labeling and packaging. These frameworks are an attempt of creating standardized ways of ensuring the safe treatment. Still, these central policies alone were not enough to prevent the harm since the regulations allowed the </w:t>
      </w:r>
      <w:r>
        <w:t>instructions to be written only on the outer box (“Take 1.25ml to 2.5ml”), while the manufacturer labeled the bottle with “10mg in 5ml” written in big bold letters — this was what Len and his wife understood to be the dose (Healthcare Safety Investigation Branch (HSSIB), 2022). Moreover, the national guidance was not transformed into standards, and the process of implementation did not have any monitoring or adaptation guidance for the primary care for vulnerable patients (Hughes, 2023).</w:t>
      </w:r>
    </w:p>
    <w:p w:rsidRPr="0093708D" w:rsidR="00C51159" w:rsidP="00C51159" w:rsidRDefault="00C51159" w14:paraId="2C1E5E75" w14:textId="3BD1E8A3">
      <w:r w:rsidR="00C51159">
        <w:rPr/>
        <w:t xml:space="preserve">Limitations of the centralization in the given case were also due to the lack of efficient feedback and learning system. Though there were multiple coroners’ “prevention of future deaths” reports regarding the problems associated with oral morphine, there was still no systematic action to redesign the packaging, establish better safety-netting, and improve primary care procedures for the high-risk population (HSSIB, 2022). Centralized policies existed in the </w:t>
      </w:r>
      <w:r w:rsidR="00C51159">
        <w:rPr/>
        <w:t>rather static</w:t>
      </w:r>
      <w:r w:rsidR="00C51159">
        <w:rPr/>
        <w:t xml:space="preserve"> form and could not learn from real-life situation since there was no connection to the frontline of the work. This problem is typical for centralized systems since they tend to create inflexible policies that do not consider local circumstances and vulnerable groups but cannot change </w:t>
      </w:r>
      <w:r w:rsidR="2093DF35">
        <w:rPr/>
        <w:t>to</w:t>
      </w:r>
      <w:r w:rsidR="00C51159">
        <w:rPr/>
        <w:t xml:space="preserve"> adapt to the new situations (Hibbert </w:t>
      </w:r>
      <w:r w:rsidRPr="1E1D2512" w:rsidR="00C51159">
        <w:rPr>
          <w:i w:val="1"/>
          <w:iCs w:val="1"/>
        </w:rPr>
        <w:t>et al</w:t>
      </w:r>
      <w:r w:rsidR="00C51159">
        <w:rPr/>
        <w:t>., 2024).</w:t>
      </w:r>
    </w:p>
    <w:p w:rsidRPr="0093708D" w:rsidR="00C51159" w:rsidP="00C51159" w:rsidRDefault="00C51159" w14:paraId="241A796F" w14:textId="6E66CC7C">
      <w:r w:rsidR="00C51159">
        <w:rPr/>
        <w:t>Decentralized parts of the NHS also contributed to the death of Len. GP practices and community pharmacies worked autonomously in terms of their consultations, information delivery, and risk management. While decentralization allows delivering patient-</w:t>
      </w:r>
      <w:r w:rsidR="00C51159">
        <w:rPr/>
        <w:t>centered</w:t>
      </w:r>
      <w:r w:rsidR="00C51159">
        <w:rPr/>
        <w:t xml:space="preserve"> care </w:t>
      </w:r>
      <w:r w:rsidR="26C12D8B">
        <w:rPr/>
        <w:t>considering</w:t>
      </w:r>
      <w:r w:rsidR="00C51159">
        <w:rPr/>
        <w:t xml:space="preserve"> individual needs of the patients, in the given case, there was the inappropriate decentralization that led to excessive variations and the responsibility being put on individual professionals without any support or accountability. In particular, the GP conducted the consultation by phone, assuming that the patient information leaflet will be enough and did not perform any documentation of the safety-netting and carer involvement despite known Len’s vulnerability (HSSIB, 2022). The pharmacy provided the </w:t>
      </w:r>
      <w:r w:rsidR="00C51159">
        <w:rPr/>
        <w:t>accurate</w:t>
      </w:r>
      <w:r w:rsidR="00C51159">
        <w:rPr/>
        <w:t xml:space="preserve"> dispensing according to the prescription but did not verify the knowledge of the patient-carer dyad that had difficulties with communications and health literacy (Louch </w:t>
      </w:r>
      <w:r w:rsidRPr="1E1D2512" w:rsidR="00C51159">
        <w:rPr>
          <w:i w:val="1"/>
          <w:iCs w:val="1"/>
        </w:rPr>
        <w:t>et al</w:t>
      </w:r>
      <w:r w:rsidR="00C51159">
        <w:rPr/>
        <w:t>., 2025). All these decentralized actions were performed without any guidance, training in patient-</w:t>
      </w:r>
      <w:r w:rsidR="00C51159">
        <w:rPr/>
        <w:t>centered</w:t>
      </w:r>
      <w:r w:rsidR="00C51159">
        <w:rPr/>
        <w:t xml:space="preserve"> communication, or safety measures.</w:t>
      </w:r>
    </w:p>
    <w:p w:rsidRPr="0093708D" w:rsidR="00C51159" w:rsidP="00C51159" w:rsidRDefault="00C51159" w14:paraId="26B16361" w14:textId="77777777">
      <w:r>
        <w:t xml:space="preserve">The fatal problem in the given case was not in the existence of the centralization or decentralization in isolation but in the dysfunctional interaction between them. The central policies provided the framework that was technically right but flawed and badly </w:t>
      </w:r>
      <w:r>
        <w:t>implemented. There were no guidance, resources, or training in the decentralization part to translate these policies into the local practice. The result was the “gap” typical for the hybrid governance model, where the responsibilities are blurred and accountability is vague — such issues were identified in multiple inquiries regarding the problems in the NHS (Hughes, 2023).</w:t>
      </w:r>
    </w:p>
    <w:p w:rsidRPr="0093708D" w:rsidR="00C51159" w:rsidP="00C51159" w:rsidRDefault="00C51159" w14:paraId="7E3E41B9" w14:textId="77777777">
      <w:r>
        <w:t xml:space="preserve">It is possible to see that the successful NHS organizations are able to build the proper hybrid governance model. In particular, the Salford Royal NHS Foundation Trust under Sir David Dalton succeeded in creating a balanced combination of clear central standards and accountability frameworks and empowered frontline teams with the psychological safety and local improvement processes (NHS England, 2023). The framework like Patient Safety Incident Response Framework (PSIRF) shows the attempts of NHS to shift to the integrated model that focuses on the learning in the system and engagement rather than on the blame (NHS England, 2024). Though, the implementation of this framework requires additional resources, trained employees, and active participation of all providers which is not guaranteed (HSSIB, 2025; Newman </w:t>
      </w:r>
      <w:r>
        <w:rPr>
          <w:i/>
          <w:iCs/>
        </w:rPr>
        <w:t>et al</w:t>
      </w:r>
      <w:r>
        <w:t>., 2025).</w:t>
      </w:r>
    </w:p>
    <w:p w:rsidRPr="0093708D" w:rsidR="00C51159" w:rsidP="00C51159" w:rsidRDefault="00C51159" w14:paraId="356C4CF8" w14:textId="77777777">
      <w:pPr>
        <w:rPr>
          <w:b/>
          <w:bCs/>
        </w:rPr>
      </w:pPr>
      <w:r>
        <w:t>The data obtained from the analysis of Len’s case and the additional research show the consequences of this imbalance within the hybrid model. In the given case, Len received a 300ml bottle of morphine, which was more suitable for pain management and required additional support to measure the low dosage and was not documented the patient’s and his wife’s ability to use this medication properly. The national cases showed the repetition of such events, which means that central policy was unable to solve the underlying problems regarding packaging, process of dispensing the high-risk medication in the primary care, and support for vulnerable patients (HSSIB, 2022). Thus, the hybrid governance model without any deliberate mechanism to bridge the central intention and local reality failed to protect the vulnerable older patient with sensory and neurological issues.</w:t>
      </w:r>
    </w:p>
    <w:p w:rsidRPr="0093708D" w:rsidR="003E5415" w:rsidP="00C51159" w:rsidRDefault="00000000" w14:paraId="16D19C30" w14:textId="77777777">
      <w:pPr>
        <w:pStyle w:val="Heading2"/>
      </w:pPr>
      <w:bookmarkStart w:name="_Toc235833216" w:id="4"/>
      <w:r>
        <w:t>c. Leadership Theories and Application to the Case Study</w:t>
      </w:r>
      <w:bookmarkEnd w:id="4"/>
    </w:p>
    <w:p w:rsidRPr="0093708D" w:rsidR="00795AD6" w:rsidP="00795AD6" w:rsidRDefault="00795AD6" w14:paraId="0261ABF7" w14:textId="77777777">
      <w:pPr>
        <w:spacing w:after="200"/>
      </w:pPr>
      <w:r>
        <w:t xml:space="preserve">As for the classical leadership theories, including the Great Man theory and Trait theory, they concentrate on natural features and traits of a particular leader (Northouse, 2021). However, these theories cannot be considered to be the most appropriate in terms of explaining the problems that led to the overdose of Len. This </w:t>
      </w:r>
      <w:r>
        <w:t>is because both the Great Man theory and the Trait theory are based on the assumption that leadership abilities are based on some inherent traits (Zaccaro, 2007). Among other theories, the behavioural leadership theory is exceptionally well suited for exploring the issues that arise in Len’s case. According to the Ohio State University studies, there are two main dimensions of leader behavior: Initiating Structure (focused on such task-oriented behaviors as role clarification, procedure definition, expectation clarification, and performance monitoring) and Consideration (focussed on people-oriented behaviors aimed at building relationships, being concerned with people’s wellbeing, encouraging involvement and participation, and establishing mutual trust) (Northouse, 2021). In a similar manner, the University of Michigan studies distinguish between Job-centered leadership (concerned with such task-oriented behaviors as completion of job tasks, increased production, and supervision) and Employee-centered leadership (concerned with such people-oriented behaviors as meeting employees’ needs, their growth, and wellbeing) (Boot et al., 2023). Thus, effective leadership is achieved through appropriate balance of these dimensions in relation to the context.</w:t>
      </w:r>
    </w:p>
    <w:p w:rsidRPr="0093708D" w:rsidR="00795AD6" w:rsidP="00795AD6" w:rsidRDefault="00795AD6" w14:paraId="780EE3FD" w14:textId="77777777">
      <w:pPr>
        <w:spacing w:after="200"/>
      </w:pPr>
      <w:r>
        <w:t>Importantly, Behavioural Theory establishes an immediate connection between the well-established Autocratic and Democratic styles of leadership. Specifically, Autocratic leadership is characterized by high levels of Task-oriented / Job-centred behaviour (high Initiating Structure, low Consideration), with the leader making decisions unilaterally and concentrating on the tasks, procedures, and control. On the other hand, Democratic leadership is defined by high levels of Employee-centred / Relations-oriented behaviour (high Consideration): in such a case, the leader engages team members, seeks their input, develops relationships, and maintains a balance between tasks and people (Northouse, 2021). As far as Len is concerned, the leadership shown by the GP and pharmacy staff could be described as Autocratic/Task-oriented: the GP concentrated solely on completing tasks quickly (prescribing the ‘correct’ reduced dose using telephone consultation) but did not display any Consideration behaviors in order to accommodate for the problems with the carer’s hearing and memory and involve her in patient safety planning.</w:t>
      </w:r>
    </w:p>
    <w:p w:rsidRPr="0093708D" w:rsidR="00795AD6" w:rsidP="00795AD6" w:rsidRDefault="00795AD6" w14:paraId="6E4D6921" w14:textId="77777777">
      <w:pPr>
        <w:spacing w:after="200"/>
      </w:pPr>
      <w:r>
        <w:t xml:space="preserve">In Len’s case, the leadership behavior at both the GP practice and pharmacy levels is characterized by very pronounced tendencies towards Job-centeredness/High Initiating Structure but Low Consideration. The GP concentrates on completing the </w:t>
      </w:r>
      <w:r>
        <w:t>necessary clinical task – assessing the patient’s symptoms by phone, exclusion of the infectious nature of the problem, and the prescription of the proper amount of morphine that would be safe for the patient (in accordance with the current national guidance). Still, there are no manifestations of Consideration behaviors: the doctor fails to adapt his or her communication to the patient’s specific condition (hearing and memory impairments), to assess the ability of the patient-carer dyad to give medicine to the patient safely, and does not use any safety-netting or teach-back techniques (HSSIB, 2022). Thus, the pharmacy also pays more attention to the task of dispensing the drug correctly while neglecting Consideration. It means that although the clinical task is executed correctly from the technical perspective, the critical human dimension needed for safe medication use is not considered, leading to a fatal outcome.</w:t>
      </w:r>
    </w:p>
    <w:p w:rsidRPr="0093708D" w:rsidR="00795AD6" w:rsidP="00795AD6" w:rsidRDefault="00795AD6" w14:paraId="2AC71073" w14:textId="77777777">
      <w:pPr>
        <w:spacing w:after="200"/>
      </w:pPr>
      <w:r>
        <w:t>This pattern of behavioral leadership stands in striking contrast to the patterns of balanced leadership observed in the NHS. Thus, Sir David Dalton, the Chief Executive of Salford Royal NHS Foundation Trust, demonstrated the leadership based on high Initiating Structure and high Consideration. It was reflected in the introduction of strict systems of quality improvement, accountability, and the implementation of data-based targets (Initiating Structure) while also creating an atmosphere of openness and psychological safety, empowering staff members, and establishing a compassionate culture (Consideration). As a result, this combination of leadership behaviors resulted in a significant decrease in the rate of hospital acquired infections and mortality along with high staff engagement rates (NHS England, 2023). Len’s case reveals the negative outcomes of imbalanced leadership – the excessive task focus without sufficient attention to people in the high-risk primary care environment with vulnerable patients.</w:t>
      </w:r>
    </w:p>
    <w:p w:rsidRPr="0093708D" w:rsidR="00795AD6" w:rsidP="00795AD6" w:rsidRDefault="00795AD6" w14:paraId="31CED030" w14:textId="77777777">
      <w:pPr>
        <w:spacing w:after="200"/>
      </w:pPr>
      <w:r>
        <w:t xml:space="preserve">Fiedler’s Contingency Theory provides further insights as to why the leadership style chosen in Len’s example was ineffective. According to Fiedler, the effectiveness of leadership depends on how well the natural style of a leader (whether the person is task-oriented or relation-oriented) matches the favourability of the situation, which is evaluated by three aspects – leader-member relations (cohesion and mutual trust), task structure (the clarity of procedures), and position power (Fiedler, 2021; Northouse, 2021). The effectiveness of task-oriented leadership styles tends to be higher in highly favourable or highly unfavourable situations whereas relation-oriented leaders work better in moderately favourable situations. The situation that Len faced </w:t>
      </w:r>
      <w:r>
        <w:t>was unfavourable since there was poor leader-member relations (remote consultation with the patient-carer dyad that has limited communication capabilities), poor task structure (a complex medication schedule for an elderly patient that has sensory and cognitive impairments and no clear safety-netting protocols), and even though there was some formal position power at the disposal of the GP, it was not applied to change the process. The task-oriented (Autocratic) approach was mismatched to the complex and unfavourable situation.</w:t>
      </w:r>
    </w:p>
    <w:p w:rsidRPr="006A1D47" w:rsidR="006A1D47" w:rsidP="00795AD6" w:rsidRDefault="006A1D47" w14:paraId="3F8360A4" w14:textId="0D23FAB6">
      <w:pPr>
        <w:spacing w:after="200"/>
        <w:rPr>
          <w:color w:val="EE0000"/>
        </w:rPr>
      </w:pPr>
      <w:r w:rsidRPr="1E1D2512" w:rsidR="006A1D47">
        <w:rPr>
          <w:color w:val="auto"/>
        </w:rPr>
        <w:t>T</w:t>
      </w:r>
      <w:r w:rsidRPr="1E1D2512" w:rsidR="006A1D47">
        <w:rPr>
          <w:color w:val="auto"/>
        </w:rPr>
        <w:t>an</w:t>
      </w:r>
      <w:r w:rsidRPr="1E1D2512" w:rsidR="006A1D47">
        <w:rPr>
          <w:color w:val="auto"/>
        </w:rPr>
        <w:t>nenbaum and Schmidt (1958) describe leadership as a continuum with various levels ranging from autocratic to democratic decision-making</w:t>
      </w:r>
      <w:r w:rsidRPr="1E1D2512" w:rsidR="006A1D47">
        <w:rPr>
          <w:color w:val="auto"/>
        </w:rPr>
        <w:t xml:space="preserve"> </w:t>
      </w:r>
      <w:r w:rsidRPr="1E1D2512" w:rsidR="006A1D47">
        <w:rPr>
          <w:color w:val="auto"/>
        </w:rPr>
        <w:t>(Northouse, 2021). In Len's case, health care professionals were very much boss orientated in terms of the dosage of the morphine used and who to communicate with, leaving out the patient himself and carer. They did not assess whether they understood and if there were a risk associated with being hard of hearing and forgetful (HSSIB, 2022). Discussions with the carer about what happens and collaborative efforts with the pharmacy to address concerns about medication labelling would have led to better communication, safer medication handling and a less likely overdose.</w:t>
      </w:r>
    </w:p>
    <w:p w:rsidRPr="0093708D" w:rsidR="00795AD6" w:rsidP="00795AD6" w:rsidRDefault="00795AD6" w14:paraId="65042F32" w14:textId="7173C20A">
      <w:pPr>
        <w:spacing w:after="200"/>
      </w:pPr>
      <w:r w:rsidR="00795AD6">
        <w:rPr/>
        <w:t>Moreover, the leadership assumptions in this case can be explored in terms of McGregor’s Theory X and Theory Y as well as Ouchi’s Theory Z. Theory X suggests that people are naturally lazy and unmotivated to work and thus should be supervised carefully</w:t>
      </w:r>
      <w:r w:rsidR="5A3692D9">
        <w:rPr/>
        <w:t xml:space="preserve"> in these also people take decision by their own called as autocratic.</w:t>
      </w:r>
      <w:r w:rsidR="00795AD6">
        <w:rPr/>
        <w:t xml:space="preserve"> Theory Y assumes that people are self-motivated and strive to take responsibilities and perform better if they are empowered and trusted</w:t>
      </w:r>
      <w:r w:rsidR="04C3B63F">
        <w:rPr/>
        <w:t xml:space="preserve"> </w:t>
      </w:r>
      <w:r w:rsidR="2508504C">
        <w:rPr/>
        <w:t>also,</w:t>
      </w:r>
      <w:r w:rsidR="04C3B63F">
        <w:rPr/>
        <w:t xml:space="preserve"> they give changes other people to take decision l</w:t>
      </w:r>
      <w:r w:rsidR="7E9FA075">
        <w:rPr/>
        <w:t>ike democratic styler</w:t>
      </w:r>
      <w:r w:rsidR="00795AD6">
        <w:rPr/>
        <w:t xml:space="preserve">. Theory Z emphasizes the need for long-term relations, collective responsibility, and concern about the person’s overall wellbeing </w:t>
      </w:r>
      <w:r w:rsidR="5A4F5E04">
        <w:rPr/>
        <w:t xml:space="preserve">and like teamwork </w:t>
      </w:r>
      <w:r w:rsidR="00795AD6">
        <w:rPr/>
        <w:t xml:space="preserve">(Northouse, 2021). Unlike Trait theory and Great Man Theory that focus on individual personal traits, these theories </w:t>
      </w:r>
      <w:r w:rsidR="29B91C3C">
        <w:rPr/>
        <w:t>consider</w:t>
      </w:r>
      <w:r w:rsidR="00795AD6">
        <w:rPr/>
        <w:t xml:space="preserve"> certain beliefs </w:t>
      </w:r>
      <w:r w:rsidR="00795AD6">
        <w:rPr/>
        <w:t>regarding</w:t>
      </w:r>
      <w:r w:rsidR="00795AD6">
        <w:rPr/>
        <w:t xml:space="preserve"> individuals and the leadership relations, and thus they can be more applicable when explaining the mistakes of Len.</w:t>
      </w:r>
    </w:p>
    <w:p w:rsidRPr="0093708D" w:rsidR="00795AD6" w:rsidP="00795AD6" w:rsidRDefault="00795AD6" w14:paraId="6C938DB1" w14:textId="77777777">
      <w:pPr>
        <w:spacing w:after="200"/>
      </w:pPr>
      <w:r>
        <w:t xml:space="preserve">Importantly, in Len’s case, the Theory X beliefs existed not just about the patient and caregiver but about interactions between healthcare professionals and managers themselves and their relationship with systems. The GP and the pharmacy staff worked under the Theory X belief about patients/carers (that they couldn’t be trusted to grasp complicated instructions if there is no tight control over them), while failing to provide those supportive systems that would ensure safe self-care for patients. This </w:t>
      </w:r>
      <w:r>
        <w:t>resulted in contradictory and potentially harmful situation: neither appropriate control nor real empowerment. Additionally, from the management perspective, the Theory X beliefs might have been the reason why staff members didn’t feel comfortable questioning confusing labelling and didn’t report on patients in need because of fear to be blamed. A Theory Y approach to working with patients, caregivers, and frontline workers (understanding that patients, carers, and frontline staff are able to do their jobs if appropriate systems and relational environment are in place) would have resulted in totally different actions: face-to-face review if the situation is complicated, teach-back, insisting on better packaging, and encouraging people to raise any safety concerns (Challinor et al., 2025; Hamdan et al., 2024).</w:t>
      </w:r>
    </w:p>
    <w:p w:rsidRPr="0093708D" w:rsidR="00795AD6" w:rsidP="00795AD6" w:rsidRDefault="00795AD6" w14:paraId="73AFBB28" w14:textId="77777777">
      <w:pPr>
        <w:spacing w:after="200"/>
      </w:pPr>
      <w:r>
        <w:t>The effect of Theory X orientation is aggravated by deficiencies in the implementation of other leadership dimensions. Thus, Mintzberg (1973) in the list of managerial roles mentions such roles as Disseminator (distributing important information), Spokesperson (representing the organization externally), and Disturbance Handler (dealing with unexpected disturbances). In Len’s case, these roles have been not properly performed. The patient-carer dyad has not been informed about the safe dosage of the drug. When there is complexity in the situation (presence of vulnerable patient and potential misunderstanding), there is not enough disturbance handling and escalation (Althobaiti, 2026). There are also no signs of transformational leadership behaviors: inspirational motivation, intellectual stimulation, and individualized consideration of the staff members (Hamdan et al., 2024).</w:t>
      </w:r>
    </w:p>
    <w:p w:rsidRPr="0093708D" w:rsidR="00795AD6" w:rsidP="00795AD6" w:rsidRDefault="00795AD6" w14:paraId="37ABD11D" w14:textId="77777777">
      <w:pPr>
        <w:spacing w:after="200"/>
      </w:pPr>
      <w:r>
        <w:t>There is a good example of balanced leadership in the NHS that can help to draw conclusions about what has been wrong in the case discussed. Thus, the balanced behavioral leadership, the leadership based on Theory Y assumptions of people’s capability and trust and the proper performing of all managerial roles creates the conditions for safety. Contrary to the Trait or Great Man theories that would emphasize the search for the ‘right’ leader with appropriate traits, this theory emphasizes the importance of developing behaviors and systems that are effective in protecting vulnerable patients. Len’s case demonstrates the human cost of lack of these leadership behaviors and assumptions. It is necessary to work on this issue in the field of primary care leadership development.</w:t>
      </w:r>
    </w:p>
    <w:p w:rsidR="003E5415" w:rsidRDefault="00000000" w14:paraId="55820872" w14:textId="77777777">
      <w:pPr>
        <w:pStyle w:val="Heading2"/>
      </w:pPr>
      <w:bookmarkStart w:name="_Toc235833217" w:id="5"/>
      <w:r>
        <w:t>d. Improvement, and Lessons Learned</w:t>
      </w:r>
      <w:bookmarkEnd w:id="5"/>
    </w:p>
    <w:p w:rsidRPr="00C1595A" w:rsidR="00C1595A" w:rsidP="00C1595A" w:rsidRDefault="00C1595A" w14:paraId="788ADF1E" w14:textId="77777777">
      <w:r>
        <w:rPr>
          <w:b/>
          <w:bCs/>
        </w:rPr>
        <w:t>Summary of Systemic Failures</w:t>
      </w:r>
    </w:p>
    <w:p w:rsidRPr="00C1595A" w:rsidR="00C1595A" w:rsidP="00C1595A" w:rsidRDefault="00C1595A" w14:paraId="029E7CB6" w14:textId="024F1109">
      <w:r w:rsidR="00C1595A">
        <w:rPr/>
        <w:t xml:space="preserve">The devastating outcome in Len’s case was caused by the complex interplay between inappropriate leadership assumptions, a defective hybrid governance system, and the lack of proper feedback system loops. Micro-level leadership displayed high task focus (Job-centred / Initiating Structure) and low people focus (low Consideration), making assumptions based on Theory X where patients and their carers needed to be controlled, but not supported and empowered (Northouse, 2021; Challinor et al., 2025). To make things even worse, there was a centralised-decentralised governance approach, where national policy on prescribing and labelling existed, but lacked proper local support, </w:t>
      </w:r>
      <w:r w:rsidR="00C1595A">
        <w:rPr/>
        <w:t>monitoring</w:t>
      </w:r>
      <w:r w:rsidR="00C1595A">
        <w:rPr/>
        <w:t xml:space="preserve"> and adaptation to the needs of vulnerable patients (HSSIB, 2022; Hughes, 2023). Moreover, the feedback system was missing: no Yellow Card report was </w:t>
      </w:r>
      <w:r w:rsidR="09965B12">
        <w:rPr/>
        <w:t>submitted,</w:t>
      </w:r>
      <w:r w:rsidR="00C1595A">
        <w:rPr/>
        <w:t xml:space="preserve"> and the pharmacy did not fully cooperate in the investigation process (HSSIB, 2025; Louch et al., 2025).</w:t>
      </w:r>
    </w:p>
    <w:p w:rsidRPr="00C1595A" w:rsidR="00C1595A" w:rsidP="00C1595A" w:rsidRDefault="00C1595A" w14:paraId="1522FA82" w14:textId="77777777">
      <w:r>
        <w:rPr>
          <w:b/>
          <w:bCs/>
        </w:rPr>
        <w:t>Reinforcing Risk Loops</w:t>
      </w:r>
    </w:p>
    <w:p w:rsidRPr="00C1595A" w:rsidR="00C1595A" w:rsidP="00C1595A" w:rsidRDefault="00C1595A" w14:paraId="79F0FD08" w14:textId="77777777">
      <w:r>
        <w:t>All of these factors have formed reinforcing loops that increased risks. High time pressure and assumptions of Theory X caused poor communication and safety-netting, while the lack of feedback system means that similar risks are present nationally and were proved by multiple coroners’ reports on oral morphine incidents (HSSIB, 2022). A rich picture of the case reveals how all these dynamics worked to result in the vulnerable patient receiving a substandard healthcare service (Fell et al., 2024; Challinor et al., 2026).</w:t>
      </w:r>
    </w:p>
    <w:p w:rsidRPr="00C1595A" w:rsidR="00C1595A" w:rsidP="00C1595A" w:rsidRDefault="00C1595A" w14:paraId="2D280867" w14:textId="77777777">
      <w:r>
        <w:rPr>
          <w:b/>
          <w:bCs/>
        </w:rPr>
        <w:t>Missed Opportunities for Improvement</w:t>
      </w:r>
    </w:p>
    <w:p w:rsidRPr="00C1595A" w:rsidR="00C1595A" w:rsidP="00C1595A" w:rsidRDefault="00C1595A" w14:paraId="73D731DB" w14:textId="77777777">
      <w:r>
        <w:t>There were several critical opportunities for improvement that were missed. First, early national realisation that such labelling related incidents occurred recurrently could prompt for the redesign of high alert medications packaging and mandatory enhanced safety-netting protocols in the primary care. Local services could adopt a teach-back approach with the involvement of carers as a standard practice for high-risk medications. A Theory Y assumption about capability when it is supported by systems means that the face-to-face reviews of the issue, the verification of understanding and the escalation of the problem in case of complexity would occur (Hibbert et al., 2024). However, instead of this, there were assumptions based on defence and paternalism that silenced potential learning and caused further harm.</w:t>
      </w:r>
    </w:p>
    <w:p w:rsidRPr="00C1595A" w:rsidR="00C1595A" w:rsidP="00C1595A" w:rsidRDefault="00C1595A" w14:paraId="21A0819E" w14:textId="77777777">
      <w:r>
        <w:rPr>
          <w:b/>
          <w:bCs/>
        </w:rPr>
        <w:t>Evidence-Based Solutions</w:t>
      </w:r>
    </w:p>
    <w:p w:rsidRPr="00C1595A" w:rsidR="00C1595A" w:rsidP="00C1595A" w:rsidRDefault="00C1595A" w14:paraId="259942F9" w14:textId="10B73E7A">
      <w:r w:rsidR="00C1595A">
        <w:rPr/>
        <w:t>Fortunately, evidence-based solutions are available and have been successfully used elsewhere in the NHS. A balanced behavioural leadership approach combining high initiating structure and high consideration has been proven to increase the safety culture, reduce the number of errors and improve staff engagement (</w:t>
      </w:r>
      <w:r w:rsidR="00C1595A">
        <w:rPr/>
        <w:t>Althobaiti</w:t>
      </w:r>
      <w:r w:rsidR="00C1595A">
        <w:rPr/>
        <w:t xml:space="preserve">, 2026; Hamdan et al., 2024). Organisations like Salford Royal have shown that clear central standards along with local </w:t>
      </w:r>
      <w:r w:rsidR="39902B0D">
        <w:rPr/>
        <w:t>teams'</w:t>
      </w:r>
      <w:r w:rsidR="00C1595A">
        <w:rPr/>
        <w:t xml:space="preserve"> empowerment, psychological safety and local procedures can produce tremendous results (NHS England, 2023). There are digital solutions like barcodes that can help decrease the chance of human mistakes during medication dispensing and administration. National packaging of high alert medications that ensures that critical dosage information is present on the bottle with </w:t>
      </w:r>
      <w:r w:rsidR="00C1595A">
        <w:rPr/>
        <w:t>appropriate measuring</w:t>
      </w:r>
      <w:r w:rsidR="00C1595A">
        <w:rPr/>
        <w:t xml:space="preserve"> tools directly solves the design issue in Len’s case (World Health Organization, 2023). </w:t>
      </w:r>
      <w:r w:rsidR="00C1595A">
        <w:rPr/>
        <w:t>Mandatory</w:t>
      </w:r>
      <w:r w:rsidR="00C1595A">
        <w:rPr/>
        <w:t xml:space="preserve"> teach-back and enhanced safety-netting and carer involvement is a cheap, but high-impact solution shifting the approach from control (Theory X) to empowerment (Theory Y) through well-designed systems (NHS England, 2024).</w:t>
      </w:r>
    </w:p>
    <w:p w:rsidRPr="00C1595A" w:rsidR="00C1595A" w:rsidP="00C1595A" w:rsidRDefault="00C1595A" w14:paraId="03AB0342" w14:textId="77777777">
      <w:r>
        <w:rPr>
          <w:b/>
          <w:bCs/>
        </w:rPr>
        <w:t>Strengthening Feedback and Learning Systems</w:t>
      </w:r>
    </w:p>
    <w:p w:rsidRPr="00C1595A" w:rsidR="00C1595A" w:rsidP="00C1595A" w:rsidRDefault="00C1595A" w14:paraId="52A8A250" w14:textId="77777777">
      <w:r>
        <w:t>Reinforcing of feedback loops is crucial. The PSIRF encourages learning and improvement instead of blaming, but its successful implementation requires special resources, skilled investigators and engagement of all providers including community pharmacies (HSSIB, 2025; Newman et al., 2025). Mandatory Yellow Card reporting for any serious adverse drug events with timely feedback to the frontline teams will close the loop where the learning does not take place, allowing for the recurrence of similar cases. Participation in external investigation should become a contractual requirement, not an optional activity.</w:t>
      </w:r>
    </w:p>
    <w:p w:rsidRPr="00C1595A" w:rsidR="00C1595A" w:rsidP="00C1595A" w:rsidRDefault="00C1595A" w14:paraId="2A67BEC4" w14:textId="77777777">
      <w:r>
        <w:rPr>
          <w:b/>
          <w:bCs/>
        </w:rPr>
        <w:t>Key Lessons for Healthcare Organisations</w:t>
      </w:r>
    </w:p>
    <w:p w:rsidRPr="00C1595A" w:rsidR="00C1595A" w:rsidP="00C1595A" w:rsidRDefault="00C1595A" w14:paraId="690E27AA" w14:textId="77777777">
      <w:r>
        <w:t>The main lessons that can be learned by other healthcare organisations include the following:</w:t>
      </w:r>
    </w:p>
    <w:p w:rsidRPr="00C1595A" w:rsidR="00C1595A" w:rsidP="00C1595A" w:rsidRDefault="00C1595A" w14:paraId="5F148304" w14:textId="77777777">
      <w:r>
        <w:rPr>
          <w:b/>
          <w:bCs/>
        </w:rPr>
        <w:t xml:space="preserve">1. Systems designed for the most vulnerable: </w:t>
      </w:r>
      <w:r>
        <w:t>Systems have to be designed for the most vulnerable users, not the average ones. Packaging, processes and communication have to take into account the sensory, cognitive and physical issues typical for elderly patients.</w:t>
      </w:r>
    </w:p>
    <w:p w:rsidRPr="00C1595A" w:rsidR="00C1595A" w:rsidP="00C1595A" w:rsidRDefault="00C1595A" w14:paraId="30F31DA0" w14:textId="77777777">
      <w:r>
        <w:rPr>
          <w:b/>
          <w:bCs/>
        </w:rPr>
        <w:t xml:space="preserve">2. Balanced behavioural leadership: </w:t>
      </w:r>
      <w:r>
        <w:t>Balanced behavioural leadership approaches perform better than unbalanced ones. High task focus without people focus creates deadly blind spots in risky situations.</w:t>
      </w:r>
    </w:p>
    <w:p w:rsidRPr="00C1595A" w:rsidR="00C1595A" w:rsidP="00C1595A" w:rsidRDefault="00C1595A" w14:paraId="79C44F8C" w14:textId="77777777">
      <w:r>
        <w:rPr>
          <w:b/>
          <w:bCs/>
        </w:rPr>
        <w:t xml:space="preserve">3. Theory Y over Theory X: </w:t>
      </w:r>
      <w:r>
        <w:t>Theory Y approaches that assume capability when supported by clear systems and relationships are necessary for safety and learning; Theory X approaches of untrustworthiness lead to the opposite (Challinor et al., 2025).</w:t>
      </w:r>
    </w:p>
    <w:p w:rsidRPr="00C1595A" w:rsidR="00C1595A" w:rsidP="00C1595A" w:rsidRDefault="00C1595A" w14:paraId="7B2CB88C" w14:textId="77777777">
      <w:r>
        <w:rPr>
          <w:b/>
          <w:bCs/>
        </w:rPr>
        <w:t xml:space="preserve">4. Bridging central policy and local practice: </w:t>
      </w:r>
      <w:r>
        <w:t>Central policy without local leadership accountability, resources and patient involvement creates systemic flaws that put patients in danger.</w:t>
      </w:r>
    </w:p>
    <w:p w:rsidRPr="00C1595A" w:rsidR="00C1595A" w:rsidP="00C1595A" w:rsidRDefault="00C1595A" w14:paraId="7DB0DB73" w14:textId="77777777">
      <w:r>
        <w:rPr>
          <w:b/>
          <w:bCs/>
        </w:rPr>
        <w:t xml:space="preserve">5. Closed-loop feedback systems: </w:t>
      </w:r>
      <w:r>
        <w:t>Robust and closed-loop feedback systems including reporting, investigation participation and timely learning dissemination are essential (Hibbert et al., 2024; Louch et al., 2025).</w:t>
      </w:r>
    </w:p>
    <w:p w:rsidRPr="00C1595A" w:rsidR="00C1595A" w:rsidP="00C1595A" w:rsidRDefault="00C1595A" w14:paraId="04DFD014" w14:textId="77777777">
      <w:r>
        <w:t>Len’s death was avoidable and was the consequence of the combination of the design flaws, unbalanced leadership, paternalism and broken learning systems. All the solutions are known, evidence-based and feasible. Now what is needed is the leadership courage to implement them.</w:t>
      </w:r>
    </w:p>
    <w:p w:rsidRPr="00C1595A" w:rsidR="00C1595A" w:rsidP="00C1595A" w:rsidRDefault="00C1595A" w14:paraId="193E4824" w14:textId="77777777">
      <w:pPr>
        <w:pStyle w:val="Heading1"/>
      </w:pPr>
      <w:bookmarkStart w:name="_Toc235833218" w:id="6"/>
      <w:r>
        <w:t>Recommendations</w:t>
      </w:r>
      <w:bookmarkEnd w:id="6"/>
    </w:p>
    <w:p w:rsidRPr="00C1595A" w:rsidR="00C1595A" w:rsidP="00C1595A" w:rsidRDefault="00C1595A" w14:paraId="05623B63" w14:textId="77777777">
      <w:r>
        <w:t>Following the critique of the case involving Len, below is a set of evidence-based and practical recommendations to address the issues of medication safety and good leadership practice in primary care.</w:t>
      </w:r>
    </w:p>
    <w:p w:rsidRPr="00C1595A" w:rsidR="00C1595A" w:rsidP="00C1595A" w:rsidRDefault="00C1595A" w14:paraId="248D022F" w14:textId="77777777">
      <w:r>
        <w:rPr>
          <w:b/>
          <w:bCs/>
        </w:rPr>
        <w:t>1. Balanced Behavioural Leadership Training</w:t>
      </w:r>
    </w:p>
    <w:p w:rsidRPr="00C1595A" w:rsidR="00C1595A" w:rsidP="00C1595A" w:rsidRDefault="00C1595A" w14:paraId="509987E9" w14:textId="77777777">
      <w:r>
        <w:t>The first recommendation is the adoption of balanced behavioural leadership training for primary care leaders. Specifically, leaders need to develop the ability to balance high Initiating Structure (structure, clarity, responsibility, and control) with high Consideration (open communication, consideration of the employees’ feelings and needs, interpersonal relations). The training will take advantage of the insights from the Ohio State and Michigan researches as well as from the NHS experience of Salford Royal (where the balanced leadership led to the safety culture changes) (Northouse, 2021; NHS England, 2023; Althobaiti, 2026).</w:t>
      </w:r>
    </w:p>
    <w:p w:rsidRPr="00C1595A" w:rsidR="00C1595A" w:rsidP="00C1595A" w:rsidRDefault="00C1595A" w14:paraId="2CFFD062" w14:textId="77777777">
      <w:r>
        <w:rPr>
          <w:b/>
          <w:bCs/>
        </w:rPr>
        <w:t>2. Mandatory Enhanced Safety-Netting and Teach-Back Protocols</w:t>
      </w:r>
    </w:p>
    <w:p w:rsidRPr="00C1595A" w:rsidR="00C1595A" w:rsidP="00C1595A" w:rsidRDefault="00C1595A" w14:paraId="6CEA182A" w14:textId="77777777">
      <w:r>
        <w:t>The second recommendation is the establishment of mandatory enhanced safety-netting and teach-back protocols concerning high-risk medications issued to the older and frail patients. This includes verbal counselling, involvement of the carers, confirmation of the understanding by the patients and their relatives, and provision of the corresponding written information. These measures help to move from the Theory X to the Theory Y by making practice more systematic and based on strong mechanisms (HSSIB, 2022; Hibbert et al., 2024).</w:t>
      </w:r>
    </w:p>
    <w:p w:rsidRPr="00C1595A" w:rsidR="00C1595A" w:rsidP="00C1595A" w:rsidRDefault="00C1595A" w14:paraId="6BADF7EB" w14:textId="77777777">
      <w:r>
        <w:rPr>
          <w:b/>
          <w:bCs/>
        </w:rPr>
        <w:t>3. Redesign of High-Alert Medication Packaging</w:t>
      </w:r>
    </w:p>
    <w:p w:rsidRPr="00C1595A" w:rsidR="00C1595A" w:rsidP="00C1595A" w:rsidRDefault="00C1595A" w14:paraId="0C0CEB89" w14:textId="77777777">
      <w:r>
        <w:t>The third recommendation is the advocacy for the change of the manufacturers’ practices by forcing them to redesign packaging of oral morphine and other high-alert medications. The relevant information about the dosage and use of the medications should be available on the bottle itself and low-dose measuring devices should be included in the packaging (World Health Organization, 2023; HSSIB, 2022). This measure will help to address the packaging-related issue which lead to Len’s death.</w:t>
      </w:r>
    </w:p>
    <w:p w:rsidRPr="00C1595A" w:rsidR="00C1595A" w:rsidP="00C1595A" w:rsidRDefault="00C1595A" w14:paraId="66B48F4E" w14:textId="77777777">
      <w:r>
        <w:rPr>
          <w:b/>
          <w:bCs/>
        </w:rPr>
        <w:t>4. Strengthening Feedback and Learning Loops</w:t>
      </w:r>
    </w:p>
    <w:p w:rsidRPr="00C1595A" w:rsidR="00C1595A" w:rsidP="00C1595A" w:rsidRDefault="00C1595A" w14:paraId="37EA8771" w14:textId="77777777">
      <w:r>
        <w:t>The fourth recommendation is to create the mechanisms of the feedback and learning loops. The yellow card report should be obligatory for all serious adverse events and should be promptly fed back to the frontline teams. The community pharmacies should become obligated to join in the process of investigation. Implementation of the Patient Safety Incident Response Framework (PSIRF) in primary care will require certain investments and training (HSSIB, 2025; Louch et al., 2025; Newman et al., 2025).</w:t>
      </w:r>
    </w:p>
    <w:p w:rsidRPr="00C1595A" w:rsidR="00C1595A" w:rsidP="00C1595A" w:rsidRDefault="00C1595A" w14:paraId="3B5AC74D" w14:textId="77777777">
      <w:r>
        <w:rPr>
          <w:b/>
          <w:bCs/>
        </w:rPr>
        <w:t>5. Developing Local Leadership Capability in Psychological Safety and Systems Thinking</w:t>
      </w:r>
    </w:p>
    <w:p w:rsidRPr="00C1595A" w:rsidR="00C1595A" w:rsidP="00C1595A" w:rsidRDefault="00C1595A" w14:paraId="249CB93B" w14:textId="77777777">
      <w:r>
        <w:t>The fifth recommendation is the development of local leadership capability in the area of psychological safety and systems thinking. Leaders need to develop their ability to create cultures where it is psychologically safe to speak out the concerns, as well as the ability to use the tools of systems thinking such as rich picture and root cause analysis (Challinor et al., 2025; Fell et al., 2024).</w:t>
      </w:r>
    </w:p>
    <w:p w:rsidRPr="00C1595A" w:rsidR="00C1595A" w:rsidP="00C1595A" w:rsidRDefault="00C1595A" w14:paraId="2B7AC142" w14:textId="77777777">
      <w:r>
        <w:t xml:space="preserve">The above-mentioned recommendations are interrelated and supportive to each other. The balanced behavioural leadership creates the right environment for the safety-netting and teach-back measures. Clear packaging minimizes the dependency on the </w:t>
      </w:r>
      <w:r>
        <w:t>perfect human performance. And, finally, the feedback loops allow for the necessary learning.</w:t>
      </w:r>
    </w:p>
    <w:p w:rsidRPr="0093708D" w:rsidR="003E5415" w:rsidRDefault="00000000" w14:paraId="1F54DCFE" w14:textId="77777777">
      <w:pPr>
        <w:pStyle w:val="Heading1"/>
      </w:pPr>
      <w:bookmarkStart w:name="_Toc235833219" w:id="7"/>
      <w:r>
        <w:t>Conclusion</w:t>
      </w:r>
      <w:bookmarkEnd w:id="7"/>
    </w:p>
    <w:p w:rsidRPr="0093708D" w:rsidR="00C51159" w:rsidP="00C51159" w:rsidRDefault="00C51159" w14:paraId="15AEB1DA" w14:textId="77777777">
      <w:r>
        <w:t>As per the above discussion, it can be concluded that Len’s death could have been prevented. In his case, it occurred because of the interaction of factors including the confusing packaging design, low-consideration behaviour of the healthcare professionals, Theory X assumptions of patient capabilities, and the absence of effective feedback between the centralized and local level.</w:t>
      </w:r>
    </w:p>
    <w:p w:rsidRPr="0093708D" w:rsidR="00C51159" w:rsidP="00C51159" w:rsidRDefault="00C51159" w14:paraId="69E9A6CC" w14:textId="77777777">
      <w:r>
        <w:t>The use of systems thinking through rich pictures revealed how the interaction of various elements created a situation where harm occurred and which can be used to understand the nature of risks in the hybrid governance model where either of the elements does not protect the vulnerable patients. The critical comparison of the two types of leadership showed the contrast between the problems associated with ineffective leadership in Len’s case and successful application of behavioural leadership in Salford Royal NHS Foundation Trust where both high task focus and high people focus were present.</w:t>
      </w:r>
    </w:p>
    <w:p w:rsidRPr="0093708D" w:rsidR="00C51159" w:rsidP="00C51159" w:rsidRDefault="00C51159" w14:paraId="43B0DF90" w14:textId="77777777">
      <w:r>
        <w:t>From the analysis presented above, it is possible to conclude that the sustainable improvement of situations requires the leaders who balance the structural and caring dimensions of leadership, operate on the basis of Theory Y assumptions, and develop effective feedback between elements of the system. Only in such a way will the NHS be able to fulfill its promises and provide its patients, especially the vulnerable ones, with a high level of safety and care. Len’s death must become a trigger for this change in the realm of primary care medication safety and leadership.</w:t>
      </w:r>
    </w:p>
    <w:p w:rsidRPr="0093708D" w:rsidR="00C51159" w:rsidRDefault="00C51159" w14:paraId="737D7006" w14:textId="77777777">
      <w:pPr>
        <w:spacing w:before="0" w:after="0" w:line="240" w:lineRule="auto"/>
        <w:jc w:val="left"/>
        <w:rPr>
          <w:b/>
          <w:bCs/>
          <w:sz w:val="28"/>
          <w:szCs w:val="28"/>
        </w:rPr>
      </w:pPr>
      <w:r>
        <w:br w:type="page"/>
      </w:r>
    </w:p>
    <w:p w:rsidRPr="0093708D" w:rsidR="003E5415" w:rsidRDefault="00000000" w14:paraId="2E3F98C8" w14:textId="77777777">
      <w:pPr>
        <w:pStyle w:val="Heading1"/>
      </w:pPr>
      <w:bookmarkStart w:name="_Toc235833220" w:id="8"/>
      <w:r>
        <w:t>References</w:t>
      </w:r>
      <w:bookmarkEnd w:id="8"/>
    </w:p>
    <w:p w:rsidRPr="00B24294" w:rsidR="00B24294" w:rsidP="00C51159" w:rsidRDefault="00B24294" w14:paraId="58D4FB35" w14:textId="77777777">
      <w:r>
        <w:t xml:space="preserve">Althobaiti, F.M. (2026) </w:t>
      </w:r>
      <w:r>
        <w:rPr>
          <w:i/>
          <w:iCs/>
        </w:rPr>
        <w:t>The effects of leadership on patient safety culture in health care: a systematic review</w:t>
      </w:r>
      <w:r>
        <w:t xml:space="preserve">. BMC Nursing. Available at: </w:t>
      </w:r>
      <w:hyperlink w:tgtFrame="_new" w:history="1" r:id="rId9">
        <w:r>
          <w:rPr>
            <w:rStyle w:val="Hyperlink"/>
            <w:color w:val="auto"/>
            <w:lang w:bidi="ar-SA"/>
          </w:rPr>
          <w:t>https://pmc.ncbi.nlm.nih.gov/articles/PMC12882623/</w:t>
        </w:r>
      </w:hyperlink>
      <w:r>
        <w:t xml:space="preserve"> (Accessed: 15 July 2026). </w:t>
      </w:r>
    </w:p>
    <w:p w:rsidRPr="00B24294" w:rsidR="00B24294" w:rsidP="00C51159" w:rsidRDefault="00B24294" w14:paraId="7DB61630" w14:textId="77777777">
      <w:r>
        <w:t xml:space="preserve">Boot, M., Allison, J., Maguire, J. and O’Driscoll, G. (2023) </w:t>
      </w:r>
      <w:r>
        <w:rPr>
          <w:i/>
          <w:iCs/>
        </w:rPr>
        <w:t>QI initiative to reduce the number of inpatient falls in an acute hospital trust</w:t>
      </w:r>
      <w:r>
        <w:t xml:space="preserve">. </w:t>
      </w:r>
      <w:r>
        <w:rPr>
          <w:i/>
          <w:iCs/>
        </w:rPr>
        <w:t>BMJ Open Quality</w:t>
      </w:r>
      <w:r>
        <w:t xml:space="preserve">, 12(1). Available at: </w:t>
      </w:r>
      <w:hyperlink w:tgtFrame="_new" w:history="1" r:id="rId10">
        <w:r>
          <w:rPr>
            <w:rStyle w:val="Hyperlink"/>
            <w:color w:val="auto"/>
            <w:lang w:bidi="ar-SA"/>
          </w:rPr>
          <w:t>https://bmjopenquality.bmj.com/content/12/1/e002102</w:t>
        </w:r>
      </w:hyperlink>
      <w:r>
        <w:t xml:space="preserve"> (Accessed: 15 July 2026). </w:t>
      </w:r>
    </w:p>
    <w:p w:rsidRPr="00B24294" w:rsidR="00B24294" w:rsidP="00C51159" w:rsidRDefault="00B24294" w14:paraId="4D7E2BE5" w14:textId="77777777">
      <w:r>
        <w:t xml:space="preserve">Bouckley, T., Peiris, D., Nambiar, D., Mishra, S., Sood, T., Purwar, P., Elshaug, A.G., Landon, B.E., Pearson, S.A., Huckel Schneider, C. and Schierhout, G. (2025) </w:t>
      </w:r>
      <w:r>
        <w:rPr>
          <w:i/>
          <w:iCs/>
        </w:rPr>
        <w:t>Addressing health equity during design and implementation of health system reform initiatives: a scoping review and framework</w:t>
      </w:r>
      <w:r>
        <w:t xml:space="preserve">. </w:t>
      </w:r>
      <w:r>
        <w:rPr>
          <w:i/>
          <w:iCs/>
        </w:rPr>
        <w:t>International Journal for Equity in Health</w:t>
      </w:r>
      <w:r>
        <w:t xml:space="preserve">, 24(1), p.68. Available at: </w:t>
      </w:r>
      <w:hyperlink w:tgtFrame="_new" w:history="1" r:id="rId11">
        <w:r>
          <w:rPr>
            <w:rStyle w:val="Hyperlink"/>
            <w:color w:val="auto"/>
            <w:lang w:bidi="ar-SA"/>
          </w:rPr>
          <w:t>https://link.springer.com/article/10.1186/s12939-025-02436-z</w:t>
        </w:r>
      </w:hyperlink>
      <w:r>
        <w:t xml:space="preserve"> (Accessed: 15 July 2026). </w:t>
      </w:r>
    </w:p>
    <w:p w:rsidRPr="00B24294" w:rsidR="00B24294" w:rsidP="00B24294" w:rsidRDefault="00B24294" w14:paraId="7C66BECA" w14:textId="77777777">
      <w:r>
        <w:t xml:space="preserve">Braithwaite, J. (2018) ‘Changing how we think about healthcare improvement’, </w:t>
      </w:r>
      <w:r>
        <w:rPr>
          <w:i/>
          <w:iCs/>
        </w:rPr>
        <w:t>BMJ</w:t>
      </w:r>
      <w:r>
        <w:t xml:space="preserve">, 361, k2014. Available at: </w:t>
      </w:r>
      <w:hyperlink w:tgtFrame="_blank" w:history="1" r:id="rId12">
        <w:r>
          <w:rPr>
            <w:rStyle w:val="Hyperlink"/>
            <w:color w:val="auto"/>
          </w:rPr>
          <w:t>https://doi.org/10.1136/bmj.k2014</w:t>
        </w:r>
      </w:hyperlink>
      <w:r>
        <w:t xml:space="preserve"> (Accessed: 15 July 2026).</w:t>
      </w:r>
    </w:p>
    <w:p w:rsidRPr="00B24294" w:rsidR="00B24294" w:rsidP="00C51159" w:rsidRDefault="00B24294" w14:paraId="0CB239FB" w14:textId="77777777">
      <w:r>
        <w:t>Cathcart, E.J., Russell, E., Schortz, L. and Mossop, L.H., 2025. A human factors and systems-thinking approach to veterinary patient safety education: why, what, and how?. </w:t>
      </w:r>
      <w:r>
        <w:rPr>
          <w:i/>
          <w:iCs/>
        </w:rPr>
        <w:t>Journal of Veterinary Medical Education</w:t>
      </w:r>
      <w:r>
        <w:t>, </w:t>
      </w:r>
      <w:r>
        <w:rPr>
          <w:i/>
          <w:iCs/>
        </w:rPr>
        <w:t>52</w:t>
      </w:r>
      <w:r>
        <w:t xml:space="preserve">(3), pp.330-338. Available at: </w:t>
      </w:r>
      <w:hyperlink w:tgtFrame="_blank" w:history="1" r:id="rId13">
        <w:r>
          <w:rPr>
            <w:rStyle w:val="Hyperlink"/>
            <w:color w:val="auto"/>
            <w:lang w:bidi="ar-SA"/>
          </w:rPr>
          <w:t>https://vetmedbiosci.colostate.edu/tmi/wp-content/uploads/sites/25/2024/12/cathcart-et-al-2024-a-human-factors-and-systems-thinking-approach-to-veterinary-patient-safety-education-why-what-and.pdf</w:t>
        </w:r>
      </w:hyperlink>
      <w:r>
        <w:t xml:space="preserve"> (Accessed: 15 July 2026).</w:t>
      </w:r>
    </w:p>
    <w:p w:rsidRPr="00B24294" w:rsidR="00B24294" w:rsidP="00C51159" w:rsidRDefault="00B24294" w14:paraId="2C67098F" w14:textId="77777777">
      <w:r>
        <w:t>Challinor, A., Bhandari, S., Bifarin, O., Morasae, E.K., Xavier, P., Saini, P., Berzins, K. and Nathan, R., 2026. From root cause analysis to systems thinking: A comparative content analysis of patient safety incident investigation reports in mental healthcare. </w:t>
      </w:r>
      <w:r>
        <w:rPr>
          <w:i/>
          <w:iCs/>
        </w:rPr>
        <w:t>Journal of Evaluation in Clinical Practice</w:t>
      </w:r>
      <w:r>
        <w:t>, </w:t>
      </w:r>
      <w:r>
        <w:rPr>
          <w:i/>
          <w:iCs/>
        </w:rPr>
        <w:t>32</w:t>
      </w:r>
      <w:r>
        <w:t xml:space="preserve">(4), p.e70495. Available at: </w:t>
      </w:r>
      <w:hyperlink w:tgtFrame="_blank" w:history="1" r:id="rId14">
        <w:r>
          <w:rPr>
            <w:rStyle w:val="Hyperlink"/>
            <w:color w:val="auto"/>
            <w:lang w:bidi="ar-SA"/>
          </w:rPr>
          <w:t>https://onlinelibrary.wiley.com/doi/full/10.1111/jep.70495</w:t>
        </w:r>
      </w:hyperlink>
      <w:r>
        <w:t xml:space="preserve"> (Accessed: 15 July 2026).</w:t>
      </w:r>
    </w:p>
    <w:p w:rsidRPr="00B24294" w:rsidR="00B24294" w:rsidP="00C51159" w:rsidRDefault="00B24294" w14:paraId="07E66F58" w14:textId="77777777">
      <w:r>
        <w:t xml:space="preserve">Challinor, A., Bifarin, O., Khedmati Morasae, E., Saini, P., Berzins, K. and Nathan, R. (2025) ‘Systems thinking in mental health patient safety: A narrative review of complex adaptive systems’, </w:t>
      </w:r>
      <w:r>
        <w:rPr>
          <w:i/>
          <w:iCs/>
        </w:rPr>
        <w:t>Journal of Evaluation in Clinical Practice</w:t>
      </w:r>
      <w:r>
        <w:t xml:space="preserve">, 31(4), e70080. Available at: </w:t>
      </w:r>
      <w:hyperlink w:tgtFrame="_blank" w:history="1" r:id="rId15">
        <w:r>
          <w:rPr>
            <w:rStyle w:val="Hyperlink"/>
            <w:color w:val="auto"/>
            <w:lang w:bidi="ar-SA"/>
          </w:rPr>
          <w:t>https://pubmed.ncbi.nlm.nih.gov/40387153/</w:t>
        </w:r>
      </w:hyperlink>
      <w:r>
        <w:t xml:space="preserve"> (Accessed: 15 July 2026).</w:t>
      </w:r>
    </w:p>
    <w:p w:rsidRPr="00B24294" w:rsidR="00B24294" w:rsidP="00C51159" w:rsidRDefault="00B24294" w14:paraId="2E4A45E2" w14:textId="77777777">
      <w:r>
        <w:t xml:space="preserve">Chemonics International (2025) </w:t>
      </w:r>
      <w:r>
        <w:rPr>
          <w:i/>
          <w:iCs/>
        </w:rPr>
        <w:t>Systems thinking for health: Technical brief</w:t>
      </w:r>
      <w:r>
        <w:t xml:space="preserve">. Available at: </w:t>
      </w:r>
      <w:hyperlink w:tgtFrame="_blank" w:history="1" r:id="rId16">
        <w:r>
          <w:rPr>
            <w:rStyle w:val="Hyperlink"/>
            <w:color w:val="auto"/>
            <w:lang w:bidi="ar-SA"/>
          </w:rPr>
          <w:t>https://www.chemonics.com/wp-content/uploads/2025/11/Systems-Thinking-for-Health-Technical-Brief_Final.pdf</w:t>
        </w:r>
      </w:hyperlink>
      <w:r>
        <w:t xml:space="preserve"> (Accessed: 15 July 2026).</w:t>
      </w:r>
    </w:p>
    <w:p w:rsidRPr="00B24294" w:rsidR="00B24294" w:rsidP="00C51159" w:rsidRDefault="00B24294" w14:paraId="7267AA71" w14:textId="77777777">
      <w:r>
        <w:t xml:space="preserve">Fell, S.E., Bowie, P., Spalding, K. and Medves, J. (2024) ‘Preliminary adaptation of the Systems Thinking for Everyday Work (STEW) cue card set in a US healthcare system: a pragmatic and participatory co-design approach’, </w:t>
      </w:r>
      <w:r>
        <w:rPr>
          <w:i/>
          <w:iCs/>
        </w:rPr>
        <w:t>BMJ Open Quality</w:t>
      </w:r>
      <w:r>
        <w:t xml:space="preserve">, 13(2), e002655. Available at: </w:t>
      </w:r>
      <w:hyperlink w:tgtFrame="_blank" w:history="1" r:id="rId17">
        <w:r>
          <w:rPr>
            <w:rStyle w:val="Hyperlink"/>
            <w:color w:val="auto"/>
            <w:lang w:bidi="ar-SA"/>
          </w:rPr>
          <w:t>https://bmjopenquality.bmj.com/content/13/2/e002655</w:t>
        </w:r>
      </w:hyperlink>
      <w:r>
        <w:t xml:space="preserve"> (Accessed: 15 July 2026).</w:t>
      </w:r>
    </w:p>
    <w:p w:rsidRPr="00B24294" w:rsidR="00B24294" w:rsidP="00C51159" w:rsidRDefault="00B24294" w14:paraId="0E02ABDD" w14:textId="77777777">
      <w:r>
        <w:t>Ganasan-Ryan, S., Kumar, M., Slater, D., Krishnan, R., Frost, P. and Carson-Stevens, A., 2027. Exploring the resilience potentials of a responsive team managing clinical deterioration: A systems analysis. </w:t>
      </w:r>
      <w:r>
        <w:rPr>
          <w:i/>
          <w:iCs/>
        </w:rPr>
        <w:t>Applied ergonomics</w:t>
      </w:r>
      <w:r>
        <w:t>, </w:t>
      </w:r>
      <w:r>
        <w:rPr>
          <w:i/>
          <w:iCs/>
        </w:rPr>
        <w:t>138</w:t>
      </w:r>
      <w:r>
        <w:t xml:space="preserve">, p.104845. Available at: </w:t>
      </w:r>
      <w:hyperlink w:tgtFrame="_blank" w:history="1" r:id="rId18">
        <w:r>
          <w:rPr>
            <w:rStyle w:val="Hyperlink"/>
            <w:color w:val="auto"/>
            <w:lang w:bidi="ar-SA"/>
          </w:rPr>
          <w:t>https://www.sciencedirect.com/science/article/pii/S0003687026001237</w:t>
        </w:r>
      </w:hyperlink>
      <w:r>
        <w:t xml:space="preserve"> (Accessed: 15 July 2026).</w:t>
      </w:r>
    </w:p>
    <w:p w:rsidRPr="00B24294" w:rsidR="00B24294" w:rsidP="00C51159" w:rsidRDefault="00B24294" w14:paraId="1787E5AD" w14:textId="77777777">
      <w:r>
        <w:t xml:space="preserve">Guo, Y., Wang, Z., Kettley, S. and Roesch-Marsh, A., 2026. Mapping How Design Engages with Systems Thinking in Complex Healthcare Systems: A Scoping Review. Available at: </w:t>
      </w:r>
      <w:hyperlink w:history="1" r:id="rId19">
        <w:r>
          <w:rPr>
            <w:rStyle w:val="Hyperlink"/>
            <w:color w:val="auto"/>
          </w:rPr>
          <w:t>https://dl.designresearchsociety.org/cgi/viewcontent.cgi?article=3924&amp;context=drs-conference-papers</w:t>
        </w:r>
      </w:hyperlink>
      <w:r>
        <w:t xml:space="preserve">  (Accessed: 15 July 2026).</w:t>
      </w:r>
    </w:p>
    <w:p w:rsidRPr="00B24294" w:rsidR="00B24294" w:rsidP="00C51159" w:rsidRDefault="00B24294" w14:paraId="5382CDA7" w14:textId="77777777">
      <w:r>
        <w:t xml:space="preserve">Hamdan, M., Jaaffar, A., Khraisat, O., Issa, M. and Jarrar, M. (2024) ‘The association of transformational leadership on safety practices among nurses: the mediating role of patient safety culture’, </w:t>
      </w:r>
      <w:r>
        <w:rPr>
          <w:i/>
          <w:iCs/>
        </w:rPr>
        <w:t>Risk Management and Healthcare Policy</w:t>
      </w:r>
      <w:r>
        <w:t xml:space="preserve">, 17, pp. 1687–1700. Available at: </w:t>
      </w:r>
      <w:hyperlink w:tgtFrame="_new" w:history="1" r:id="rId20">
        <w:r>
          <w:rPr>
            <w:rStyle w:val="Hyperlink"/>
            <w:color w:val="auto"/>
            <w:lang w:bidi="ar-SA"/>
          </w:rPr>
          <w:t>https://www.dovepress.com/the-association-of-transformational-leadership-on-safety-practices-among-peer-reviewed-fulltext-article-RMHP</w:t>
        </w:r>
      </w:hyperlink>
      <w:r>
        <w:t xml:space="preserve"> (Accessed: 15 July 2026). </w:t>
      </w:r>
    </w:p>
    <w:p w:rsidRPr="00B24294" w:rsidR="00B24294" w:rsidP="00C51159" w:rsidRDefault="00B24294" w14:paraId="5C185529" w14:textId="77777777">
      <w:r>
        <w:t xml:space="preserve">Healthcare Safety Investigation Branch (HSIB) (2022) </w:t>
      </w:r>
      <w:r>
        <w:rPr>
          <w:i/>
          <w:iCs/>
        </w:rPr>
        <w:t>Unintentional overdose of morphine sulfate oral solution</w:t>
      </w:r>
      <w:r>
        <w:t xml:space="preserve">. Available at: </w:t>
      </w:r>
      <w:hyperlink w:tgtFrame="_new" w:history="1" r:id="rId21">
        <w:r>
          <w:rPr>
            <w:rStyle w:val="Hyperlink"/>
            <w:color w:val="auto"/>
            <w:lang w:bidi="ar-SA"/>
          </w:rPr>
          <w:t>https://www.hssib.org.uk/patient-safety-investigations/unintentional-overdose-of-morphine-sulfate-oral-solution/investigation-report/</w:t>
        </w:r>
      </w:hyperlink>
      <w:r>
        <w:t xml:space="preserve"> (Accessed: 15 July 2026). </w:t>
      </w:r>
    </w:p>
    <w:p w:rsidRPr="00B24294" w:rsidR="00B24294" w:rsidP="00C51159" w:rsidRDefault="00B24294" w14:paraId="2C87E967" w14:textId="77777777">
      <w:r>
        <w:t xml:space="preserve">Healthcare Safety Investigation Branch (HSSIB) (2022) </w:t>
      </w:r>
      <w:r>
        <w:rPr>
          <w:i/>
          <w:iCs/>
        </w:rPr>
        <w:t>Unintentional overdose of morphine sulfate oral solution</w:t>
      </w:r>
      <w:r>
        <w:t xml:space="preserve">. Available at: </w:t>
      </w:r>
      <w:hyperlink w:tgtFrame="_blank" w:history="1" r:id="rId22">
        <w:r>
          <w:rPr>
            <w:rStyle w:val="Hyperlink"/>
            <w:color w:val="auto"/>
            <w:lang w:bidi="ar-SA"/>
          </w:rPr>
          <w:t>https://www.hssib.org.uk/patient-safety-investigations/unintentional-overdose-of-morphine-sulfate-oral-solution/investigation-report/</w:t>
        </w:r>
      </w:hyperlink>
      <w:r>
        <w:t xml:space="preserve"> (Accessed: 15 July 2026).</w:t>
      </w:r>
    </w:p>
    <w:p w:rsidRPr="00B24294" w:rsidR="00B24294" w:rsidP="00C51159" w:rsidRDefault="00B24294" w14:paraId="7511D048" w14:textId="77777777">
      <w:r>
        <w:t xml:space="preserve">Healthcare Safety Investigation Branch (HSSIB) (2025) </w:t>
      </w:r>
      <w:r>
        <w:rPr>
          <w:i/>
          <w:iCs/>
        </w:rPr>
        <w:t>Investigating under the Patient Safety Incident Response Framework (PSIRF): sharing HSSIB learning for future development</w:t>
      </w:r>
      <w:r>
        <w:t xml:space="preserve">. Available at: </w:t>
      </w:r>
      <w:hyperlink w:tgtFrame="_new" w:history="1" r:id="rId23">
        <w:r>
          <w:rPr>
            <w:rStyle w:val="Hyperlink"/>
            <w:color w:val="auto"/>
            <w:lang w:bidi="ar-SA"/>
          </w:rPr>
          <w:t>https://www.hssib.org.uk/patient-safety-investigations/investigating-under-the-patient-safety-incident-response-framework-psirf-sharing-hssib-learning-for-future-development/investigation-report/</w:t>
        </w:r>
      </w:hyperlink>
      <w:r>
        <w:t xml:space="preserve"> (Accessed: 15 July 2026). </w:t>
      </w:r>
    </w:p>
    <w:p w:rsidRPr="00B24294" w:rsidR="00B24294" w:rsidP="00C51159" w:rsidRDefault="00B24294" w14:paraId="47705F61" w14:textId="77777777">
      <w:r>
        <w:t xml:space="preserve">Hibbert, P.D., Raggett, L., Molloy, C.J., Westbrook, J., Magrabi, F., Mumford, V., Clay-Williams, R., Lingam, R., Salmon, P.M., Middleton, S. and Roberts, M. (2024) </w:t>
      </w:r>
      <w:r>
        <w:rPr>
          <w:i/>
          <w:iCs/>
        </w:rPr>
        <w:t>Improving health system responses when patients are harmed: a protocol for a multistage mixed-methods study</w:t>
      </w:r>
      <w:r>
        <w:t xml:space="preserve">. </w:t>
      </w:r>
      <w:r>
        <w:rPr>
          <w:i/>
          <w:iCs/>
        </w:rPr>
        <w:t>BMJ Open</w:t>
      </w:r>
      <w:r>
        <w:t xml:space="preserve">, 14(7), p.e085854. Available at: </w:t>
      </w:r>
      <w:hyperlink w:tgtFrame="_new" w:history="1" r:id="rId24">
        <w:r>
          <w:rPr>
            <w:rStyle w:val="Hyperlink"/>
            <w:color w:val="auto"/>
            <w:lang w:bidi="ar-SA"/>
          </w:rPr>
          <w:t>https://pmc.ncbi.nlm.nih.gov/articles/PMC11227800/</w:t>
        </w:r>
      </w:hyperlink>
      <w:r>
        <w:t xml:space="preserve"> (Accessed: 15 July 2026). </w:t>
      </w:r>
    </w:p>
    <w:p w:rsidRPr="00B24294" w:rsidR="00B24294" w:rsidP="00C51159" w:rsidRDefault="00B24294" w14:paraId="3D07E494" w14:textId="77777777">
      <w:r>
        <w:t xml:space="preserve">Hollnagel, E. (2014) </w:t>
      </w:r>
      <w:r>
        <w:rPr>
          <w:i/>
          <w:iCs/>
        </w:rPr>
        <w:t>Safety-I and Safety-II: The Past and Future of Safety Management</w:t>
      </w:r>
      <w:r>
        <w:t xml:space="preserve">. Farnham: Ashgate Publishing. </w:t>
      </w:r>
      <w:r>
        <w:rPr>
          <w:i/>
          <w:iCs/>
        </w:rPr>
        <w:t>(Still highly relevant and widely cited in systems thinking and patient safety literature)</w:t>
      </w:r>
    </w:p>
    <w:p w:rsidRPr="00B24294" w:rsidR="00B24294" w:rsidP="00C51159" w:rsidRDefault="00B24294" w14:paraId="72D8E185" w14:textId="77777777">
      <w:r>
        <w:t xml:space="preserve">Hughes, H. (2023) </w:t>
      </w:r>
      <w:r>
        <w:rPr>
          <w:i/>
          <w:iCs/>
        </w:rPr>
        <w:t>Public inquiries, patient safety and the implementation gap</w:t>
      </w:r>
      <w:r>
        <w:t xml:space="preserve">. </w:t>
      </w:r>
      <w:r>
        <w:rPr>
          <w:i/>
          <w:iCs/>
        </w:rPr>
        <w:t>Future Healthcare Journal</w:t>
      </w:r>
      <w:r>
        <w:t xml:space="preserve">, 10(1), pp. 7–9. Available at: </w:t>
      </w:r>
      <w:hyperlink w:tgtFrame="_new" w:history="1" r:id="rId25">
        <w:r>
          <w:rPr>
            <w:rStyle w:val="Hyperlink"/>
            <w:color w:val="auto"/>
            <w:lang w:bidi="ar-SA"/>
          </w:rPr>
          <w:t>https://pmc.ncbi.nlm.nih.gov/articles/PMC10538677/</w:t>
        </w:r>
      </w:hyperlink>
      <w:r>
        <w:t xml:space="preserve"> (Accessed: 15 July 2026). </w:t>
      </w:r>
    </w:p>
    <w:p w:rsidRPr="00B24294" w:rsidR="00B24294" w:rsidP="00B24294" w:rsidRDefault="00B24294" w14:paraId="0550B0C5" w14:textId="77777777">
      <w:r>
        <w:t xml:space="preserve">Joint Formulary Committee (2023) </w:t>
      </w:r>
      <w:r>
        <w:rPr>
          <w:i/>
          <w:iCs/>
        </w:rPr>
        <w:t>British National Formulary (BNF 85)</w:t>
      </w:r>
      <w:r>
        <w:t xml:space="preserve">. London: BMJ Group and Pharmaceutical Press. Available at: </w:t>
      </w:r>
      <w:hyperlink w:tgtFrame="_blank" w:history="1" r:id="rId26">
        <w:r>
          <w:rPr>
            <w:rStyle w:val="Hyperlink"/>
            <w:color w:val="auto"/>
          </w:rPr>
          <w:t>https://bnf.nice.org.uk/</w:t>
        </w:r>
      </w:hyperlink>
      <w:r>
        <w:t xml:space="preserve"> (Accessed: 15 July 2026).</w:t>
      </w:r>
    </w:p>
    <w:p w:rsidRPr="00B24294" w:rsidR="00B24294" w:rsidP="00C51159" w:rsidRDefault="00B24294" w14:paraId="039A1604" w14:textId="77777777">
      <w:r>
        <w:t>Korn, J., 2024. Existence as a web of problem-solving systems. </w:t>
      </w:r>
      <w:r>
        <w:rPr>
          <w:i/>
          <w:iCs/>
        </w:rPr>
        <w:t>Kybernetes</w:t>
      </w:r>
      <w:r>
        <w:t>, </w:t>
      </w:r>
      <w:r>
        <w:rPr>
          <w:i/>
          <w:iCs/>
        </w:rPr>
        <w:t>53</w:t>
      </w:r>
      <w:r>
        <w:t xml:space="preserve">(12), pp.5991-6007. Available at: </w:t>
      </w:r>
      <w:hyperlink w:tgtFrame="_blank" w:history="1" r:id="rId27">
        <w:r>
          <w:rPr>
            <w:rStyle w:val="Hyperlink"/>
            <w:color w:val="auto"/>
            <w:lang w:bidi="ar-SA"/>
          </w:rPr>
          <w:t>https://www.emerald.com/insight/content/doi/10.1108/K-01-2024-0122</w:t>
        </w:r>
      </w:hyperlink>
      <w:r>
        <w:t xml:space="preserve"> (Accessed: 15 July 2026).</w:t>
      </w:r>
    </w:p>
    <w:p w:rsidRPr="00B24294" w:rsidR="00B24294" w:rsidP="00C51159" w:rsidRDefault="00B24294" w14:paraId="494B3D84" w14:textId="77777777">
      <w:r>
        <w:t xml:space="preserve">Louch, G., Macrae, C., Talbot, R., McHugh, S. and O’Hara, J.K. (2023) </w:t>
      </w:r>
      <w:r>
        <w:rPr>
          <w:i/>
          <w:iCs/>
        </w:rPr>
        <w:t>How Were Patient Safety Incidents Responded to, Investigated, and Learned From Within the English National Health Service Before the Implementation of the Patient Safety Incident Response Framework? A Rapid Review</w:t>
      </w:r>
      <w:r>
        <w:t xml:space="preserve">. </w:t>
      </w:r>
      <w:r>
        <w:rPr>
          <w:i/>
          <w:iCs/>
        </w:rPr>
        <w:t>Journal of Patient Safety</w:t>
      </w:r>
      <w:r>
        <w:t xml:space="preserve">. Available at: </w:t>
      </w:r>
      <w:hyperlink w:tgtFrame="_new" w:history="1" r:id="rId28">
        <w:r>
          <w:rPr>
            <w:rStyle w:val="Hyperlink"/>
            <w:color w:val="auto"/>
            <w:lang w:bidi="ar-SA"/>
          </w:rPr>
          <w:t>https://pmc.ncbi.nlm.nih.gov/articles/PMC12266792/</w:t>
        </w:r>
      </w:hyperlink>
      <w:r>
        <w:t xml:space="preserve"> (Accessed: 15 July 2026). </w:t>
      </w:r>
    </w:p>
    <w:p w:rsidRPr="00B24294" w:rsidR="00B24294" w:rsidP="00B24294" w:rsidRDefault="00B24294" w14:paraId="6683D548" w14:textId="77777777">
      <w:r>
        <w:t xml:space="preserve">Medicines and Healthcare products Regulatory Agency (MHRA) (2014, updated) </w:t>
      </w:r>
      <w:r>
        <w:rPr>
          <w:i/>
          <w:iCs/>
        </w:rPr>
        <w:t>Medicines: packaging, labelling and patient information leaflets</w:t>
      </w:r>
      <w:r>
        <w:t xml:space="preserve">. Available at: </w:t>
      </w:r>
      <w:hyperlink w:tgtFrame="_blank" w:history="1" r:id="rId29">
        <w:r>
          <w:rPr>
            <w:rStyle w:val="Hyperlink"/>
            <w:color w:val="auto"/>
          </w:rPr>
          <w:t>https://www.gov.uk/guidance/medicines-packaging-labelling-and-patient-information-leaflets</w:t>
        </w:r>
      </w:hyperlink>
      <w:r>
        <w:t xml:space="preserve"> (Accessed: 15 July 2026).</w:t>
      </w:r>
    </w:p>
    <w:p w:rsidRPr="00B24294" w:rsidR="00B24294" w:rsidP="00B24294" w:rsidRDefault="00B24294" w14:paraId="6A9A0D4F" w14:textId="77777777">
      <w:r>
        <w:t xml:space="preserve">Medicines and Healthcare products Regulatory Agency (MHRA) (n.d.) </w:t>
      </w:r>
      <w:r>
        <w:rPr>
          <w:i/>
          <w:iCs/>
        </w:rPr>
        <w:t>The Yellow Card scheme: guidance for healthcare professionals, patients and the public</w:t>
      </w:r>
      <w:r>
        <w:t xml:space="preserve">. Available at: </w:t>
      </w:r>
      <w:hyperlink w:tgtFrame="_blank" w:history="1" r:id="rId30">
        <w:r>
          <w:rPr>
            <w:rStyle w:val="Hyperlink"/>
            <w:color w:val="auto"/>
          </w:rPr>
          <w:t>https://www.gov.uk/guidance/the-yellow-card-scheme-guidance-for-healthcare-professionals-patients-and-the-public</w:t>
        </w:r>
      </w:hyperlink>
      <w:r>
        <w:t xml:space="preserve"> (Accessed: 15 July 2026).</w:t>
      </w:r>
    </w:p>
    <w:p w:rsidRPr="00B24294" w:rsidR="00B24294" w:rsidP="00B24294" w:rsidRDefault="00B24294" w14:paraId="32FD8DF4" w14:textId="77777777">
      <w:r>
        <w:t xml:space="preserve">National Institute for Health and Care Excellence (NICE) (2015) </w:t>
      </w:r>
      <w:r>
        <w:rPr>
          <w:i/>
          <w:iCs/>
        </w:rPr>
        <w:t>Medicines optimisation: the safe and effective use of medicines to enable the best possible outcomes</w:t>
      </w:r>
      <w:r>
        <w:t xml:space="preserve"> (NG5). Available at: </w:t>
      </w:r>
      <w:hyperlink w:tgtFrame="_blank" w:history="1" r:id="rId31">
        <w:r>
          <w:rPr>
            <w:rStyle w:val="Hyperlink"/>
            <w:color w:val="auto"/>
          </w:rPr>
          <w:t>https://www.nice.org.uk/guidance/ng5</w:t>
        </w:r>
      </w:hyperlink>
      <w:r>
        <w:t xml:space="preserve"> (Accessed: 15 July 2026).</w:t>
      </w:r>
    </w:p>
    <w:p w:rsidRPr="00B24294" w:rsidR="00B24294" w:rsidP="00C51159" w:rsidRDefault="00B24294" w14:paraId="443BA5F4" w14:textId="77777777">
      <w:r>
        <w:t xml:space="preserve">Newman, C., Mason, C., Brittain, K., Dawson, P., Spencer, M., Sykes, K., Waring, J., Young-Murphy, L. and Scott, J. (2025) </w:t>
      </w:r>
      <w:r>
        <w:rPr>
          <w:i/>
          <w:iCs/>
        </w:rPr>
        <w:t>Patient Safety Incident Reporting Framework (PSIRF) Standards: Co-Production of Adaptations for the Care Home Sector to Improve Cross-System Integration</w:t>
      </w:r>
      <w:r>
        <w:t xml:space="preserve">. </w:t>
      </w:r>
      <w:r>
        <w:rPr>
          <w:i/>
          <w:iCs/>
        </w:rPr>
        <w:t>Journal of Long Term Care</w:t>
      </w:r>
      <w:r>
        <w:t xml:space="preserve">, pp. 66–80. Available at: </w:t>
      </w:r>
      <w:hyperlink w:tgtFrame="_new" w:history="1" r:id="rId32">
        <w:r>
          <w:rPr>
            <w:rStyle w:val="Hyperlink"/>
            <w:color w:val="auto"/>
            <w:lang w:bidi="ar-SA"/>
          </w:rPr>
          <w:t>https://journal.ilpnetwork.org/articles/10.31389/jltc.358</w:t>
        </w:r>
      </w:hyperlink>
      <w:r>
        <w:t xml:space="preserve"> (Accessed: 15 July 2026). </w:t>
      </w:r>
    </w:p>
    <w:p w:rsidRPr="00B24294" w:rsidR="00B24294" w:rsidP="00C51159" w:rsidRDefault="00B24294" w14:paraId="3F5A5317" w14:textId="77777777">
      <w:r>
        <w:t xml:space="preserve">NHS England (2023) </w:t>
      </w:r>
      <w:r>
        <w:rPr>
          <w:i/>
          <w:iCs/>
        </w:rPr>
        <w:t>Improving patient safety culture – a practical guide</w:t>
      </w:r>
      <w:r>
        <w:t xml:space="preserve">. Available at: </w:t>
      </w:r>
      <w:hyperlink w:tgtFrame="_new" w:history="1" r:id="rId33">
        <w:r>
          <w:rPr>
            <w:rStyle w:val="Hyperlink"/>
            <w:color w:val="auto"/>
            <w:lang w:bidi="ar-SA"/>
          </w:rPr>
          <w:t>https://www.england.nhs.uk/long-read/improving-patient-safety-culture-a-practical-guide/</w:t>
        </w:r>
      </w:hyperlink>
      <w:r>
        <w:t xml:space="preserve"> (Accessed: 15 July 2026). </w:t>
      </w:r>
    </w:p>
    <w:p w:rsidRPr="00B24294" w:rsidR="00B24294" w:rsidP="00C51159" w:rsidRDefault="00B24294" w14:paraId="07325DD8" w14:textId="77777777">
      <w:r>
        <w:t xml:space="preserve">NHS England (2024) </w:t>
      </w:r>
      <w:r>
        <w:rPr>
          <w:i/>
          <w:iCs/>
        </w:rPr>
        <w:t>Patient Safety Incident Response Framework (PSIRF)</w:t>
      </w:r>
      <w:r>
        <w:t xml:space="preserve">. Available at: </w:t>
      </w:r>
      <w:hyperlink w:tgtFrame="_new" w:history="1" r:id="rId34">
        <w:r>
          <w:rPr>
            <w:rStyle w:val="Hyperlink"/>
            <w:color w:val="auto"/>
            <w:lang w:bidi="ar-SA"/>
          </w:rPr>
          <w:t>https://www.england.nhs.uk/patient-safety/patient-safety-insight/incident-response-framework/</w:t>
        </w:r>
      </w:hyperlink>
      <w:r>
        <w:t xml:space="preserve"> (Accessed: 15 July 2026).</w:t>
      </w:r>
    </w:p>
    <w:p w:rsidRPr="00B24294" w:rsidR="00B24294" w:rsidP="00C51159" w:rsidRDefault="00B24294" w14:paraId="3246DBB2" w14:textId="77777777">
      <w:r>
        <w:t xml:space="preserve">NHS England (2024) </w:t>
      </w:r>
      <w:r>
        <w:rPr>
          <w:i/>
          <w:iCs/>
        </w:rPr>
        <w:t>Primary care patient safety strategy</w:t>
      </w:r>
      <w:r>
        <w:t xml:space="preserve">. Available at: </w:t>
      </w:r>
      <w:hyperlink w:tgtFrame="_blank" w:history="1" r:id="rId35">
        <w:r>
          <w:rPr>
            <w:rStyle w:val="Hyperlink"/>
            <w:color w:val="auto"/>
            <w:lang w:bidi="ar-SA"/>
          </w:rPr>
          <w:t>https://www.england.nhs.uk/long-read/primary-care-patient-safety-strategy/</w:t>
        </w:r>
      </w:hyperlink>
      <w:r>
        <w:t xml:space="preserve"> (Accessed: 15 July 2026).</w:t>
      </w:r>
    </w:p>
    <w:p w:rsidRPr="00B24294" w:rsidR="00B24294" w:rsidP="00C51159" w:rsidRDefault="00B24294" w14:paraId="6367064A" w14:textId="77777777">
      <w:r>
        <w:t xml:space="preserve">NHS England (2026) </w:t>
      </w:r>
      <w:r>
        <w:rPr>
          <w:i/>
          <w:iCs/>
        </w:rPr>
        <w:t>NHS patient safety strategy – progress update – July 2026</w:t>
      </w:r>
      <w:r>
        <w:t xml:space="preserve">. Available at: </w:t>
      </w:r>
      <w:hyperlink w:tgtFrame="_new" w:history="1" r:id="rId36">
        <w:r>
          <w:rPr>
            <w:rStyle w:val="Hyperlink"/>
            <w:color w:val="auto"/>
            <w:lang w:bidi="ar-SA"/>
          </w:rPr>
          <w:t>https://www.england.nhs.uk/patient-safety/the-nhs-patient-safety-strategy/nhs-patient-safety-strategy-progress-so-far/</w:t>
        </w:r>
      </w:hyperlink>
      <w:r>
        <w:t xml:space="preserve"> (Accessed: 15 July 2026). </w:t>
      </w:r>
    </w:p>
    <w:p w:rsidRPr="00B24294" w:rsidR="00B24294" w:rsidP="00C51159" w:rsidRDefault="00B24294" w14:paraId="026941CB" w14:textId="77777777">
      <w:r>
        <w:t xml:space="preserve">NHS England (2026) </w:t>
      </w:r>
      <w:r>
        <w:rPr>
          <w:i/>
          <w:iCs/>
        </w:rPr>
        <w:t>NHS patient safety strategy – progress update – July 2026</w:t>
      </w:r>
      <w:r>
        <w:t xml:space="preserve">. Available at: </w:t>
      </w:r>
      <w:hyperlink w:tgtFrame="_blank" w:history="1" r:id="rId37">
        <w:r>
          <w:rPr>
            <w:rStyle w:val="Hyperlink"/>
            <w:color w:val="auto"/>
            <w:lang w:bidi="ar-SA"/>
          </w:rPr>
          <w:t>https://www.england.nhs.uk/patient-safety/the-nhs-patient-safety-strategy/nhs-patient-safety-strategy-progress-so-far/</w:t>
        </w:r>
      </w:hyperlink>
      <w:r>
        <w:t xml:space="preserve"> (Accessed: 15 July 2026).</w:t>
      </w:r>
    </w:p>
    <w:p w:rsidRPr="00B24294" w:rsidR="00B24294" w:rsidP="00C51159" w:rsidRDefault="00B24294" w14:paraId="1B0DB45B" w14:textId="77777777">
      <w:r>
        <w:t xml:space="preserve">Northouse, P.G. (2021) </w:t>
      </w:r>
      <w:r>
        <w:rPr>
          <w:i/>
          <w:iCs/>
        </w:rPr>
        <w:t>Leadership: Theory and Practice</w:t>
      </w:r>
      <w:r>
        <w:t>. 9th edn. London: Sage Publications.</w:t>
      </w:r>
    </w:p>
    <w:p w:rsidRPr="00B24294" w:rsidR="00B24294" w:rsidP="00C51159" w:rsidRDefault="00B24294" w14:paraId="77CCD5F5" w14:textId="77777777">
      <w:r>
        <w:t xml:space="preserve">Reason, J. (1997) </w:t>
      </w:r>
      <w:r>
        <w:rPr>
          <w:i/>
          <w:iCs/>
        </w:rPr>
        <w:t>Managing the Risks of Organizational Accidents</w:t>
      </w:r>
      <w:r>
        <w:t>. Aldershot: Ashgate Publishing.</w:t>
      </w:r>
    </w:p>
    <w:p w:rsidRPr="00B24294" w:rsidR="00B24294" w:rsidP="00B24294" w:rsidRDefault="00B24294" w14:paraId="0839131D" w14:textId="77777777">
      <w:r>
        <w:t xml:space="preserve">Ryan, R.M. and Deci, E.L. (2000) ‘Self-determination theory and the facilitation of intrinsic motivation, social development, and well-being’, </w:t>
      </w:r>
      <w:r>
        <w:rPr>
          <w:i/>
          <w:iCs/>
        </w:rPr>
        <w:t>American Psychologist</w:t>
      </w:r>
      <w:r>
        <w:t xml:space="preserve">, 55(1), pp. 68–78. Available at: </w:t>
      </w:r>
      <w:hyperlink w:tgtFrame="_blank" w:history="1" r:id="rId38">
        <w:r>
          <w:rPr>
            <w:rStyle w:val="Hyperlink"/>
            <w:color w:val="auto"/>
          </w:rPr>
          <w:t>https://doi.org/10.1037/0003-066X.55.1.68</w:t>
        </w:r>
      </w:hyperlink>
      <w:r>
        <w:t xml:space="preserve"> (Accessed: 15 July 2026).</w:t>
      </w:r>
    </w:p>
    <w:p w:rsidRPr="00B24294" w:rsidR="00B24294" w:rsidP="00B24294" w:rsidRDefault="00B24294" w14:paraId="109F03CC" w14:textId="77777777">
      <w:r>
        <w:t xml:space="preserve">Senge, P.M. (2006) </w:t>
      </w:r>
      <w:r>
        <w:rPr>
          <w:i/>
          <w:iCs/>
        </w:rPr>
        <w:t>The Fifth Discipline: The Art and Practice of the Learning Organization</w:t>
      </w:r>
      <w:r>
        <w:t xml:space="preserve">. Revised edn. New York: Doubleday. Available at: </w:t>
      </w:r>
      <w:hyperlink w:tgtFrame="_blank" w:history="1" r:id="rId39">
        <w:r>
          <w:rPr>
            <w:rStyle w:val="Hyperlink"/>
            <w:color w:val="auto"/>
          </w:rPr>
          <w:t>https://www.penguinrandomhouse.com/books/163984/the-fifth-discipline-by-peter-m-senge/</w:t>
        </w:r>
      </w:hyperlink>
      <w:r>
        <w:t xml:space="preserve"> (Accessed: 15 July 2026).</w:t>
      </w:r>
    </w:p>
    <w:p w:rsidRPr="00B24294" w:rsidR="00B24294" w:rsidP="00B24294" w:rsidRDefault="00B24294" w14:paraId="3F616ECB" w14:textId="77777777">
      <w:r>
        <w:t xml:space="preserve">Shanafelt, T.D., Dyrbye, L.N. and West, C.P. (2017) ‘Addressing physician burnout: The way forward’, </w:t>
      </w:r>
      <w:r>
        <w:rPr>
          <w:i/>
          <w:iCs/>
        </w:rPr>
        <w:t>JAMA</w:t>
      </w:r>
      <w:r>
        <w:t xml:space="preserve">, 317(9), pp. 901–902. Available at: </w:t>
      </w:r>
      <w:hyperlink w:tgtFrame="_blank" w:history="1" r:id="rId40">
        <w:r>
          <w:rPr>
            <w:rStyle w:val="Hyperlink"/>
            <w:color w:val="auto"/>
          </w:rPr>
          <w:t>https://doi.org/10.1001/jama.2017.0076</w:t>
        </w:r>
      </w:hyperlink>
      <w:r>
        <w:t xml:space="preserve"> (Accessed: 15 July 2026).</w:t>
      </w:r>
    </w:p>
    <w:p w:rsidRPr="00B24294" w:rsidR="00B24294" w:rsidP="00C51159" w:rsidRDefault="00B24294" w14:paraId="17E438BE" w14:textId="77777777">
      <w:r>
        <w:t xml:space="preserve">Sutton, C., Prowse, J., McVey, L., Elshehaly, M., Neagu, D., Montague, J., Alvarado, N., Tissiman, C., O’Connell, K., Eyers, E. and Faisal, M. (2023) </w:t>
      </w:r>
      <w:r>
        <w:rPr>
          <w:i/>
          <w:iCs/>
        </w:rPr>
        <w:t>Strategic workforce planning in health and social care – an international perspective: A scoping review</w:t>
      </w:r>
      <w:r>
        <w:t xml:space="preserve">. </w:t>
      </w:r>
      <w:r>
        <w:rPr>
          <w:i/>
          <w:iCs/>
        </w:rPr>
        <w:t>Health Policy</w:t>
      </w:r>
      <w:r>
        <w:t xml:space="preserve">, 132, p.104827. Available at: </w:t>
      </w:r>
      <w:hyperlink w:tgtFrame="_new" w:history="1" r:id="rId41">
        <w:r>
          <w:rPr>
            <w:rStyle w:val="Hyperlink"/>
            <w:color w:val="auto"/>
            <w:lang w:bidi="ar-SA"/>
          </w:rPr>
          <w:t>https://www.sciencedirect.com/science/article/pii/S0168851023001124</w:t>
        </w:r>
      </w:hyperlink>
      <w:r>
        <w:t xml:space="preserve"> (Accessed: 15 July 2026). </w:t>
      </w:r>
    </w:p>
    <w:p w:rsidR="004F60EE" w:rsidRDefault="00000000" w14:paraId="29618015" w14:textId="77777777">
      <w:r>
        <w:rPr>
          <w:i/>
          <w:iCs/>
        </w:rPr>
        <w:t>Tannenbaum, R. and Schmidt, W.H. (1958) ‘How to choose a leadership pattern’, Harvard Business Review, 36(2), pp. 95–101.</w:t>
      </w:r>
    </w:p>
    <w:p w:rsidRPr="00B24294" w:rsidR="00B24294" w:rsidP="00C51159" w:rsidRDefault="00B24294" w14:paraId="1C7B5BCE" w14:textId="77777777">
      <w:r>
        <w:t>Trbovich, P., 2014. Five ways to incorporate systems thinking into healthcare organizations. </w:t>
      </w:r>
      <w:r>
        <w:rPr>
          <w:i/>
          <w:iCs/>
        </w:rPr>
        <w:t>Biomedical instrumentation &amp; technology</w:t>
      </w:r>
      <w:r>
        <w:t>, </w:t>
      </w:r>
      <w:r>
        <w:rPr>
          <w:i/>
          <w:iCs/>
        </w:rPr>
        <w:t>48</w:t>
      </w:r>
      <w:r>
        <w:t xml:space="preserve">(s2), pp.31-36. Available at: </w:t>
      </w:r>
      <w:hyperlink w:tgtFrame="_blank" w:history="1" r:id="rId42">
        <w:r>
          <w:rPr>
            <w:rStyle w:val="Hyperlink"/>
            <w:color w:val="auto"/>
            <w:lang w:bidi="ar-SA"/>
          </w:rPr>
          <w:t>https://array.aami.org/doi/full/10.2345/0899-8205-48.s2.31</w:t>
        </w:r>
      </w:hyperlink>
      <w:r>
        <w:t xml:space="preserve"> (Accessed: 15 July 2026).</w:t>
      </w:r>
    </w:p>
    <w:p w:rsidRPr="00B24294" w:rsidR="00B24294" w:rsidP="00B24294" w:rsidRDefault="00B24294" w14:paraId="437DADD3" w14:textId="77777777">
      <w:r>
        <w:t xml:space="preserve">WHO (2023) </w:t>
      </w:r>
      <w:r>
        <w:rPr>
          <w:i/>
          <w:iCs/>
        </w:rPr>
        <w:t>Systems thinking in patient safety at the national level</w:t>
      </w:r>
      <w:r>
        <w:t xml:space="preserve">. Geneva: World Health Organization. Available at: </w:t>
      </w:r>
      <w:hyperlink w:tgtFrame="_blank" w:history="1" r:id="rId43">
        <w:r>
          <w:rPr>
            <w:rStyle w:val="Hyperlink"/>
            <w:color w:val="auto"/>
            <w:lang w:bidi="ar-SA"/>
          </w:rPr>
          <w:t>https://cdn.who.int/media/docs/default-source/integrated-health-services-(ihs)/psf/gpsc/imad-hassan_gpsc-webinar_systems-thinking-for-patient-safety_23.11.2023.pdf</w:t>
        </w:r>
      </w:hyperlink>
      <w:r>
        <w:t xml:space="preserve"> (Accessed: 15 July 2026).</w:t>
      </w:r>
    </w:p>
    <w:p w:rsidRPr="0093708D" w:rsidR="00C51159" w:rsidP="00C51159" w:rsidRDefault="00C51159" w14:paraId="47825623" w14:textId="77777777"/>
    <w:sectPr w:rsidRPr="0093708D" w:rsidR="00C51159">
      <w:footerReference w:type="default" r:id="rId44"/>
      <w:pgSz w:w="11906" w:h="16838" w:orient="portrait"/>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37045" w:rsidRDefault="00A37045" w14:paraId="005C4C92" w14:textId="77777777">
      <w:pPr>
        <w:spacing w:before="0" w:after="0" w:line="240" w:lineRule="auto"/>
      </w:pPr>
      <w:r>
        <w:separator/>
      </w:r>
    </w:p>
  </w:endnote>
  <w:endnote w:type="continuationSeparator" w:id="0">
    <w:p w:rsidR="00A37045" w:rsidRDefault="00A37045" w14:paraId="38EB8D40"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E5415" w:rsidRDefault="00000000" w14:paraId="22C08CD2" w14:textId="77777777">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D760D0">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37045" w:rsidRDefault="00A37045" w14:paraId="4B4459E3" w14:textId="77777777">
      <w:pPr>
        <w:spacing w:before="0" w:after="0" w:line="240" w:lineRule="auto"/>
      </w:pPr>
      <w:r>
        <w:separator/>
      </w:r>
    </w:p>
  </w:footnote>
  <w:footnote w:type="continuationSeparator" w:id="0">
    <w:p w:rsidR="00A37045" w:rsidRDefault="00A37045" w14:paraId="673DF450"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FB071A"/>
    <w:multiLevelType w:val="hybridMultilevel"/>
    <w:tmpl w:val="5546D068"/>
    <w:lvl w:ilvl="0" w:tplc="C5D651C4">
      <w:start w:val="1"/>
      <w:numFmt w:val="bullet"/>
      <w:lvlText w:val="●"/>
      <w:lvlJc w:val="left"/>
      <w:pPr>
        <w:ind w:left="720" w:hanging="360"/>
      </w:pPr>
    </w:lvl>
    <w:lvl w:ilvl="1" w:tplc="2460FAE8">
      <w:start w:val="1"/>
      <w:numFmt w:val="bullet"/>
      <w:lvlText w:val="○"/>
      <w:lvlJc w:val="left"/>
      <w:pPr>
        <w:ind w:left="1440" w:hanging="360"/>
      </w:pPr>
    </w:lvl>
    <w:lvl w:ilvl="2" w:tplc="1C7C3ADC">
      <w:start w:val="1"/>
      <w:numFmt w:val="bullet"/>
      <w:lvlText w:val="■"/>
      <w:lvlJc w:val="left"/>
      <w:pPr>
        <w:ind w:left="2160" w:hanging="360"/>
      </w:pPr>
    </w:lvl>
    <w:lvl w:ilvl="3" w:tplc="634E3330">
      <w:start w:val="1"/>
      <w:numFmt w:val="bullet"/>
      <w:lvlText w:val="●"/>
      <w:lvlJc w:val="left"/>
      <w:pPr>
        <w:ind w:left="2880" w:hanging="360"/>
      </w:pPr>
    </w:lvl>
    <w:lvl w:ilvl="4" w:tplc="FEF25714">
      <w:start w:val="1"/>
      <w:numFmt w:val="bullet"/>
      <w:lvlText w:val="○"/>
      <w:lvlJc w:val="left"/>
      <w:pPr>
        <w:ind w:left="3600" w:hanging="360"/>
      </w:pPr>
    </w:lvl>
    <w:lvl w:ilvl="5" w:tplc="F6ACECCC">
      <w:start w:val="1"/>
      <w:numFmt w:val="bullet"/>
      <w:lvlText w:val="■"/>
      <w:lvlJc w:val="left"/>
      <w:pPr>
        <w:ind w:left="4320" w:hanging="360"/>
      </w:pPr>
    </w:lvl>
    <w:lvl w:ilvl="6" w:tplc="E5883F2A">
      <w:start w:val="1"/>
      <w:numFmt w:val="bullet"/>
      <w:lvlText w:val="●"/>
      <w:lvlJc w:val="left"/>
      <w:pPr>
        <w:ind w:left="5040" w:hanging="360"/>
      </w:pPr>
    </w:lvl>
    <w:lvl w:ilvl="7" w:tplc="C1F6AA7E">
      <w:start w:val="1"/>
      <w:numFmt w:val="bullet"/>
      <w:lvlText w:val="●"/>
      <w:lvlJc w:val="left"/>
      <w:pPr>
        <w:ind w:left="5760" w:hanging="360"/>
      </w:pPr>
    </w:lvl>
    <w:lvl w:ilvl="8" w:tplc="10F4CAC0">
      <w:start w:val="1"/>
      <w:numFmt w:val="bullet"/>
      <w:lvlText w:val="●"/>
      <w:lvlJc w:val="left"/>
      <w:pPr>
        <w:ind w:left="6480" w:hanging="360"/>
      </w:pPr>
    </w:lvl>
  </w:abstractNum>
  <w:num w:numId="1" w16cid:durableId="1244725995">
    <w:abstractNumId w:val="0"/>
    <w:lvlOverride w:ilvl="0">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isplayBackgroundShape/>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415"/>
    <w:rsid w:val="00000000"/>
    <w:rsid w:val="00036E65"/>
    <w:rsid w:val="00051815"/>
    <w:rsid w:val="0006657D"/>
    <w:rsid w:val="000A3A80"/>
    <w:rsid w:val="000C0248"/>
    <w:rsid w:val="000F6C17"/>
    <w:rsid w:val="00141BD2"/>
    <w:rsid w:val="001550A8"/>
    <w:rsid w:val="003269A6"/>
    <w:rsid w:val="003E5415"/>
    <w:rsid w:val="0042418E"/>
    <w:rsid w:val="004F60EE"/>
    <w:rsid w:val="005639F6"/>
    <w:rsid w:val="005657C5"/>
    <w:rsid w:val="006A1D47"/>
    <w:rsid w:val="006C3676"/>
    <w:rsid w:val="007108DC"/>
    <w:rsid w:val="00795AD6"/>
    <w:rsid w:val="008A2E68"/>
    <w:rsid w:val="008A4A8C"/>
    <w:rsid w:val="0093708D"/>
    <w:rsid w:val="00A17A5C"/>
    <w:rsid w:val="00A37045"/>
    <w:rsid w:val="00A64033"/>
    <w:rsid w:val="00B0235D"/>
    <w:rsid w:val="00B24294"/>
    <w:rsid w:val="00C1595A"/>
    <w:rsid w:val="00C51159"/>
    <w:rsid w:val="00CE47A7"/>
    <w:rsid w:val="00D01ADB"/>
    <w:rsid w:val="00D12321"/>
    <w:rsid w:val="00D760D0"/>
    <w:rsid w:val="00E73953"/>
    <w:rsid w:val="00EF05E3"/>
    <w:rsid w:val="00FD37AE"/>
    <w:rsid w:val="04C3B63F"/>
    <w:rsid w:val="09965B12"/>
    <w:rsid w:val="0C019097"/>
    <w:rsid w:val="0C185B6E"/>
    <w:rsid w:val="1CAF792C"/>
    <w:rsid w:val="1D370332"/>
    <w:rsid w:val="1E1D2512"/>
    <w:rsid w:val="1FB35742"/>
    <w:rsid w:val="2093DF35"/>
    <w:rsid w:val="224C8F8C"/>
    <w:rsid w:val="2508504C"/>
    <w:rsid w:val="26C12D8B"/>
    <w:rsid w:val="29B91C3C"/>
    <w:rsid w:val="36EC1E2A"/>
    <w:rsid w:val="3815062E"/>
    <w:rsid w:val="39902B0D"/>
    <w:rsid w:val="4559E6C9"/>
    <w:rsid w:val="5361C415"/>
    <w:rsid w:val="56E33B4D"/>
    <w:rsid w:val="5A3692D9"/>
    <w:rsid w:val="5A4F5E04"/>
    <w:rsid w:val="5C429485"/>
    <w:rsid w:val="5C6917EB"/>
    <w:rsid w:val="5EB744C7"/>
    <w:rsid w:val="6072CF9F"/>
    <w:rsid w:val="64EF4C9F"/>
    <w:rsid w:val="69F179F9"/>
    <w:rsid w:val="6D5C5426"/>
    <w:rsid w:val="6F055FA7"/>
    <w:rsid w:val="6F103C44"/>
    <w:rsid w:val="6F705EF2"/>
    <w:rsid w:val="731A5738"/>
    <w:rsid w:val="76E4F659"/>
    <w:rsid w:val="78273CD6"/>
    <w:rsid w:val="7A6E9384"/>
    <w:rsid w:val="7DAA4FEE"/>
    <w:rsid w:val="7E9FA075"/>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524A5"/>
  <w15:docId w15:val="{037C7704-6A1C-410A-A128-D0144CE01F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sz w:val="24"/>
        <w:szCs w:val="24"/>
        <w:lang w:val="en-IN" w:eastAsia="en-IN"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760D0"/>
    <w:pPr>
      <w:spacing w:before="120" w:after="120" w:line="360" w:lineRule="auto"/>
      <w:jc w:val="both"/>
    </w:pPr>
  </w:style>
  <w:style w:type="paragraph" w:styleId="Heading1">
    <w:name w:val="heading 1"/>
    <w:uiPriority w:val="9"/>
    <w:qFormat/>
    <w:rsid w:val="00D760D0"/>
    <w:pPr>
      <w:spacing w:before="120" w:after="120" w:line="360" w:lineRule="auto"/>
      <w:outlineLvl w:val="0"/>
    </w:pPr>
    <w:rPr>
      <w:b/>
      <w:bCs/>
      <w:sz w:val="28"/>
      <w:szCs w:val="28"/>
    </w:rPr>
  </w:style>
  <w:style w:type="paragraph" w:styleId="Heading2">
    <w:name w:val="heading 2"/>
    <w:uiPriority w:val="9"/>
    <w:unhideWhenUsed/>
    <w:qFormat/>
    <w:rsid w:val="00D760D0"/>
    <w:pPr>
      <w:spacing w:before="120" w:after="120" w:line="360" w:lineRule="auto"/>
      <w:outlineLvl w:val="1"/>
    </w:pPr>
    <w:rPr>
      <w:b/>
      <w:bCs/>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uiPriority w:val="10"/>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styleId="FootnoteTextChar" w:customStyle="1">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styleId="EndnoteTextChar" w:customStyle="1">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C51159"/>
    <w:pPr>
      <w:tabs>
        <w:tab w:val="center" w:pos="4513"/>
        <w:tab w:val="right" w:pos="9026"/>
      </w:tabs>
      <w:spacing w:before="0" w:after="0" w:line="240" w:lineRule="auto"/>
    </w:pPr>
    <w:rPr>
      <w:szCs w:val="30"/>
    </w:rPr>
  </w:style>
  <w:style w:type="character" w:styleId="HeaderChar" w:customStyle="1">
    <w:name w:val="Header Char"/>
    <w:basedOn w:val="DefaultParagraphFont"/>
    <w:link w:val="Header"/>
    <w:uiPriority w:val="99"/>
    <w:rsid w:val="00C51159"/>
    <w:rPr>
      <w:szCs w:val="30"/>
    </w:rPr>
  </w:style>
  <w:style w:type="paragraph" w:styleId="Footer">
    <w:name w:val="footer"/>
    <w:basedOn w:val="Normal"/>
    <w:link w:val="FooterChar"/>
    <w:uiPriority w:val="99"/>
    <w:unhideWhenUsed/>
    <w:rsid w:val="00C51159"/>
    <w:pPr>
      <w:tabs>
        <w:tab w:val="center" w:pos="4513"/>
        <w:tab w:val="right" w:pos="9026"/>
      </w:tabs>
      <w:spacing w:before="0" w:after="0" w:line="240" w:lineRule="auto"/>
    </w:pPr>
    <w:rPr>
      <w:szCs w:val="30"/>
    </w:rPr>
  </w:style>
  <w:style w:type="character" w:styleId="FooterChar" w:customStyle="1">
    <w:name w:val="Footer Char"/>
    <w:basedOn w:val="DefaultParagraphFont"/>
    <w:link w:val="Footer"/>
    <w:uiPriority w:val="99"/>
    <w:rsid w:val="00C51159"/>
    <w:rPr>
      <w:szCs w:val="30"/>
    </w:rPr>
  </w:style>
  <w:style w:type="paragraph" w:styleId="TOCHeading">
    <w:name w:val="TOC Heading"/>
    <w:basedOn w:val="Heading1"/>
    <w:next w:val="Normal"/>
    <w:uiPriority w:val="39"/>
    <w:unhideWhenUsed/>
    <w:qFormat/>
    <w:rsid w:val="00C51159"/>
    <w:pPr>
      <w:keepNext/>
      <w:keepLines/>
      <w:spacing w:before="240" w:after="0" w:line="259" w:lineRule="auto"/>
      <w:outlineLvl w:val="9"/>
    </w:pPr>
    <w:rPr>
      <w:rFonts w:asciiTheme="majorHAnsi" w:hAnsiTheme="majorHAnsi" w:eastAsiaTheme="majorEastAsia" w:cstheme="majorBidi"/>
      <w:b w:val="0"/>
      <w:bCs w:val="0"/>
      <w:color w:val="2F5496" w:themeColor="accent1" w:themeShade="BF"/>
      <w:sz w:val="32"/>
      <w:szCs w:val="32"/>
      <w:lang w:val="en-US" w:eastAsia="en-US" w:bidi="ar-SA"/>
    </w:rPr>
  </w:style>
  <w:style w:type="paragraph" w:styleId="TOC1">
    <w:name w:val="toc 1"/>
    <w:basedOn w:val="Normal"/>
    <w:next w:val="Normal"/>
    <w:autoRedefine/>
    <w:uiPriority w:val="39"/>
    <w:unhideWhenUsed/>
    <w:rsid w:val="00C51159"/>
    <w:pPr>
      <w:spacing w:after="100"/>
    </w:pPr>
    <w:rPr>
      <w:szCs w:val="30"/>
    </w:rPr>
  </w:style>
  <w:style w:type="paragraph" w:styleId="TOC2">
    <w:name w:val="toc 2"/>
    <w:basedOn w:val="Normal"/>
    <w:next w:val="Normal"/>
    <w:autoRedefine/>
    <w:uiPriority w:val="39"/>
    <w:unhideWhenUsed/>
    <w:rsid w:val="00C51159"/>
    <w:pPr>
      <w:spacing w:after="100"/>
      <w:ind w:left="240"/>
    </w:pPr>
    <w:rPr>
      <w:szCs w:val="30"/>
    </w:rPr>
  </w:style>
  <w:style w:type="character" w:styleId="UnresolvedMention">
    <w:name w:val="Unresolved Mention"/>
    <w:basedOn w:val="DefaultParagraphFont"/>
    <w:uiPriority w:val="99"/>
    <w:semiHidden/>
    <w:unhideWhenUsed/>
    <w:rsid w:val="00B242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vetmedbiosci.colostate.edu/tmi/wp-content/uploads/sites/25/2024/12/cathcart-et-al-2024-a-human-factors-and-systems-thinking-approach-to-veterinary-patient-safety-education-why-what-and.pdf" TargetMode="External" Id="rId13" /><Relationship Type="http://schemas.openxmlformats.org/officeDocument/2006/relationships/hyperlink" Target="https://www.sciencedirect.com/science/article/pii/S0003687026001237" TargetMode="External" Id="rId18" /><Relationship Type="http://schemas.openxmlformats.org/officeDocument/2006/relationships/hyperlink" Target="https://bnf.nice.org.uk/" TargetMode="External" Id="rId26" /><Relationship Type="http://schemas.openxmlformats.org/officeDocument/2006/relationships/hyperlink" Target="https://www.penguinrandomhouse.com/books/163984/the-fifth-discipline-by-peter-m-senge/" TargetMode="External" Id="rId39" /><Relationship Type="http://schemas.openxmlformats.org/officeDocument/2006/relationships/hyperlink" Target="https://www.hssib.org.uk/patient-safety-investigations/unintentional-overdose-of-morphine-sulfate-oral-solution/investigation-report/" TargetMode="External" Id="rId21" /><Relationship Type="http://schemas.openxmlformats.org/officeDocument/2006/relationships/hyperlink" Target="https://www.england.nhs.uk/patient-safety/patient-safety-insight/incident-response-framework/" TargetMode="External" Id="rId34" /><Relationship Type="http://schemas.openxmlformats.org/officeDocument/2006/relationships/hyperlink" Target="https://array.aami.org/doi/full/10.2345/0899-8205-48.s2.31" TargetMode="External" Id="rId42"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www.chemonics.com/wp-content/uploads/2025/11/Systems-Thinking-for-Health-Technical-Brief_Final.pdf" TargetMode="External" Id="rId16" /><Relationship Type="http://schemas.openxmlformats.org/officeDocument/2006/relationships/hyperlink" Target="https://www.gov.uk/guidance/medicines-packaging-labelling-and-patient-information-leaflets" TargetMode="Externa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link.springer.com/article/10.1186/s12939-025-02436-z" TargetMode="External" Id="rId11" /><Relationship Type="http://schemas.openxmlformats.org/officeDocument/2006/relationships/hyperlink" Target="https://pmc.ncbi.nlm.nih.gov/articles/PMC11227800/" TargetMode="External" Id="rId24" /><Relationship Type="http://schemas.openxmlformats.org/officeDocument/2006/relationships/hyperlink" Target="https://journal.ilpnetwork.org/articles/10.31389/jltc.358" TargetMode="External" Id="rId32" /><Relationship Type="http://schemas.openxmlformats.org/officeDocument/2006/relationships/hyperlink" Target="https://www.england.nhs.uk/patient-safety/the-nhs-patient-safety-strategy/nhs-patient-safety-strategy-progress-so-far/" TargetMode="External" Id="rId37" /><Relationship Type="http://schemas.openxmlformats.org/officeDocument/2006/relationships/hyperlink" Target="https://doi.org/10.1001/jama.2017.0076" TargetMode="External" Id="rId40" /><Relationship Type="http://schemas.openxmlformats.org/officeDocument/2006/relationships/fontTable" Target="fontTable.xml" Id="rId45" /><Relationship Type="http://schemas.openxmlformats.org/officeDocument/2006/relationships/webSettings" Target="webSettings.xml" Id="rId5" /><Relationship Type="http://schemas.openxmlformats.org/officeDocument/2006/relationships/hyperlink" Target="https://pubmed.ncbi.nlm.nih.gov/40387153/" TargetMode="External" Id="rId15" /><Relationship Type="http://schemas.openxmlformats.org/officeDocument/2006/relationships/hyperlink" Target="https://www.hssib.org.uk/patient-safety-investigations/investigating-under-the-patient-safety-incident-response-framework-psirf-sharing-hssib-learning-for-future-development/investigation-report/" TargetMode="External" Id="rId23" /><Relationship Type="http://schemas.openxmlformats.org/officeDocument/2006/relationships/hyperlink" Target="https://pmc.ncbi.nlm.nih.gov/articles/PMC12266792/" TargetMode="External" Id="rId28" /><Relationship Type="http://schemas.openxmlformats.org/officeDocument/2006/relationships/hyperlink" Target="https://www.england.nhs.uk/patient-safety/the-nhs-patient-safety-strategy/nhs-patient-safety-strategy-progress-so-far/" TargetMode="External" Id="rId36" /><Relationship Type="http://schemas.openxmlformats.org/officeDocument/2006/relationships/hyperlink" Target="https://bmjopenquality.bmj.com/content/12/1/e002102" TargetMode="External" Id="rId10" /><Relationship Type="http://schemas.openxmlformats.org/officeDocument/2006/relationships/hyperlink" Target="https://dl.designresearchsociety.org/cgi/viewcontent.cgi?article=3924&amp;context=drs-conference-papers" TargetMode="External" Id="rId19" /><Relationship Type="http://schemas.openxmlformats.org/officeDocument/2006/relationships/hyperlink" Target="https://www.nice.org.uk/guidance/ng5" TargetMode="External" Id="rId31" /><Relationship Type="http://schemas.openxmlformats.org/officeDocument/2006/relationships/footer" Target="footer1.xml" Id="rId44" /><Relationship Type="http://schemas.openxmlformats.org/officeDocument/2006/relationships/settings" Target="settings.xml" Id="rId4" /><Relationship Type="http://schemas.openxmlformats.org/officeDocument/2006/relationships/hyperlink" Target="https://pmc.ncbi.nlm.nih.gov/articles/PMC12882623/" TargetMode="External" Id="rId9" /><Relationship Type="http://schemas.openxmlformats.org/officeDocument/2006/relationships/hyperlink" Target="https://onlinelibrary.wiley.com/doi/full/10.1111/jep.70495" TargetMode="External" Id="rId14" /><Relationship Type="http://schemas.openxmlformats.org/officeDocument/2006/relationships/hyperlink" Target="https://www.hssib.org.uk/patient-safety-investigations/unintentional-overdose-of-morphine-sulfate-oral-solution/investigation-report/" TargetMode="External" Id="rId22" /><Relationship Type="http://schemas.openxmlformats.org/officeDocument/2006/relationships/hyperlink" Target="https://www.emerald.com/insight/content/doi/10.1108/K-01-2024-0122" TargetMode="External" Id="rId27" /><Relationship Type="http://schemas.openxmlformats.org/officeDocument/2006/relationships/hyperlink" Target="https://www.gov.uk/guidance/the-yellow-card-scheme-guidance-for-healthcare-professionals-patients-and-the-public" TargetMode="External" Id="rId30" /><Relationship Type="http://schemas.openxmlformats.org/officeDocument/2006/relationships/hyperlink" Target="https://www.england.nhs.uk/long-read/primary-care-patient-safety-strategy/" TargetMode="External" Id="rId35" /><Relationship Type="http://schemas.openxmlformats.org/officeDocument/2006/relationships/hyperlink" Target="https://cdn.who.int/media/docs/default-source/integrated-health-services-(ihs)/psf/gpsc/imad-hassan_gpsc-webinar_systems-thinking-for-patient-safety_23.11.2023.pdf" TargetMode="External" Id="rId43" /><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hyperlink" Target="https://doi.org/10.1136/bmj.k2014" TargetMode="External" Id="rId12" /><Relationship Type="http://schemas.openxmlformats.org/officeDocument/2006/relationships/hyperlink" Target="https://bmjopenquality.bmj.com/content/13/2/e002655" TargetMode="External" Id="rId17" /><Relationship Type="http://schemas.openxmlformats.org/officeDocument/2006/relationships/hyperlink" Target="https://pmc.ncbi.nlm.nih.gov/articles/PMC10538677/" TargetMode="External" Id="rId25" /><Relationship Type="http://schemas.openxmlformats.org/officeDocument/2006/relationships/hyperlink" Target="https://www.england.nhs.uk/long-read/improving-patient-safety-culture-a-practical-guide/" TargetMode="External" Id="rId33" /><Relationship Type="http://schemas.openxmlformats.org/officeDocument/2006/relationships/hyperlink" Target="https://doi.org/10.1037/0003-066X.55.1.68" TargetMode="External" Id="rId38" /><Relationship Type="http://schemas.openxmlformats.org/officeDocument/2006/relationships/theme" Target="theme/theme1.xml" Id="rId46" /><Relationship Type="http://schemas.openxmlformats.org/officeDocument/2006/relationships/hyperlink" Target="https://www.dovepress.com/the-association-of-transformational-leadership-on-safety-practices-among-peer-reviewed-fulltext-article-RMHP" TargetMode="External" Id="rId20" /><Relationship Type="http://schemas.openxmlformats.org/officeDocument/2006/relationships/hyperlink" Target="https://www.sciencedirect.com/science/article/pii/S0168851023001124" TargetMode="External" Id="rId4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panose="020B06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panose="020B06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D9327-0725-45C5-AA5C-636D9C1F8B9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2026-07-15T10:52:00.0000000Z</dcterms:created>
  <dcterms:modified xsi:type="dcterms:W3CDTF">2026-07-26T23:32:54.3721229Z</dcterms:modified>
  <lastModifiedBy>Misbabanu Amanullah Khan (2538422)</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0887fd95-84af-4d2f-a6c4-c97ac6abfcb3</vt:lpwstr>
  </property>
</Properties>
</file>