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3F6934" w14:textId="3B3C75E9" w:rsidR="00FE1517" w:rsidRDefault="000D54B9" w:rsidP="000D54B9">
      <w:pPr>
        <w:spacing w:line="360" w:lineRule="auto"/>
        <w:rPr>
          <w:rFonts w:ascii="Times New Roman" w:hAnsi="Times New Roman" w:cs="Times New Roman"/>
          <w:b/>
          <w:bCs/>
          <w:sz w:val="32"/>
          <w:szCs w:val="32"/>
        </w:rPr>
      </w:pPr>
      <w:r w:rsidRPr="000D54B9">
        <w:rPr>
          <w:rFonts w:ascii="Times New Roman" w:hAnsi="Times New Roman" w:cs="Times New Roman"/>
          <w:b/>
          <w:bCs/>
          <w:noProof/>
          <w:sz w:val="32"/>
          <w:szCs w:val="32"/>
        </w:rPr>
        <w:drawing>
          <wp:inline distT="0" distB="0" distL="0" distR="0" wp14:anchorId="06DBA801" wp14:editId="33C8D913">
            <wp:extent cx="1933845" cy="68589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33845" cy="685896"/>
                    </a:xfrm>
                    <a:prstGeom prst="rect">
                      <a:avLst/>
                    </a:prstGeom>
                  </pic:spPr>
                </pic:pic>
              </a:graphicData>
            </a:graphic>
          </wp:inline>
        </w:drawing>
      </w:r>
    </w:p>
    <w:p w14:paraId="4A175E5E" w14:textId="7478B7BD" w:rsidR="000D54B9" w:rsidRPr="007C3792" w:rsidRDefault="000D54B9" w:rsidP="000D54B9">
      <w:pPr>
        <w:spacing w:line="360" w:lineRule="auto"/>
        <w:jc w:val="center"/>
        <w:rPr>
          <w:rFonts w:ascii="Times New Roman" w:hAnsi="Times New Roman" w:cs="Times New Roman"/>
          <w:b/>
          <w:bCs/>
          <w:sz w:val="32"/>
          <w:szCs w:val="32"/>
        </w:rPr>
      </w:pPr>
      <w:r w:rsidRPr="007C3792">
        <w:rPr>
          <w:rFonts w:ascii="Times New Roman" w:hAnsi="Times New Roman" w:cs="Times New Roman"/>
          <w:b/>
          <w:bCs/>
          <w:sz w:val="32"/>
          <w:szCs w:val="32"/>
        </w:rPr>
        <w:t>Programme: Master of Business Administration</w:t>
      </w:r>
    </w:p>
    <w:p w14:paraId="7D8C1F6D" w14:textId="562DCB17" w:rsidR="000D54B9" w:rsidRPr="007C3792" w:rsidRDefault="000D54B9" w:rsidP="000D54B9">
      <w:pPr>
        <w:spacing w:line="360" w:lineRule="auto"/>
        <w:jc w:val="center"/>
        <w:rPr>
          <w:rFonts w:ascii="Times New Roman" w:hAnsi="Times New Roman" w:cs="Times New Roman"/>
          <w:b/>
          <w:bCs/>
          <w:sz w:val="32"/>
          <w:szCs w:val="32"/>
        </w:rPr>
      </w:pPr>
      <w:r w:rsidRPr="007C3792">
        <w:rPr>
          <w:rFonts w:ascii="Times New Roman" w:hAnsi="Times New Roman" w:cs="Times New Roman"/>
          <w:b/>
          <w:bCs/>
          <w:sz w:val="32"/>
          <w:szCs w:val="32"/>
        </w:rPr>
        <w:t>Module: Marketing Management</w:t>
      </w:r>
    </w:p>
    <w:p w14:paraId="15CA2AE2" w14:textId="5A335473" w:rsidR="009D1DF5" w:rsidRPr="007C3792" w:rsidRDefault="000D54B9" w:rsidP="00FE1517">
      <w:pPr>
        <w:spacing w:line="360" w:lineRule="auto"/>
        <w:jc w:val="center"/>
        <w:rPr>
          <w:rFonts w:ascii="Times New Roman" w:hAnsi="Times New Roman" w:cs="Times New Roman"/>
          <w:b/>
          <w:bCs/>
          <w:sz w:val="32"/>
          <w:szCs w:val="32"/>
        </w:rPr>
      </w:pPr>
      <w:r w:rsidRPr="007C3792">
        <w:rPr>
          <w:rFonts w:ascii="Times New Roman" w:hAnsi="Times New Roman" w:cs="Times New Roman"/>
          <w:b/>
          <w:bCs/>
          <w:sz w:val="32"/>
          <w:szCs w:val="32"/>
        </w:rPr>
        <w:t>Module code: LCMB7024</w:t>
      </w:r>
    </w:p>
    <w:p w14:paraId="1ABA7F20" w14:textId="77777777" w:rsidR="009D1DF5" w:rsidRDefault="009D1DF5" w:rsidP="00FE1517">
      <w:pPr>
        <w:spacing w:line="360" w:lineRule="auto"/>
        <w:jc w:val="center"/>
        <w:rPr>
          <w:rFonts w:ascii="Times New Roman" w:hAnsi="Times New Roman" w:cs="Times New Roman"/>
          <w:b/>
          <w:bCs/>
          <w:sz w:val="32"/>
          <w:szCs w:val="32"/>
        </w:rPr>
      </w:pPr>
    </w:p>
    <w:p w14:paraId="28C02D35" w14:textId="77777777" w:rsidR="00FE1517" w:rsidRDefault="00FE1517" w:rsidP="00FE1517">
      <w:pPr>
        <w:spacing w:line="360" w:lineRule="auto"/>
        <w:jc w:val="center"/>
        <w:rPr>
          <w:rFonts w:ascii="Times New Roman" w:hAnsi="Times New Roman" w:cs="Times New Roman"/>
          <w:b/>
          <w:bCs/>
          <w:sz w:val="32"/>
          <w:szCs w:val="32"/>
        </w:rPr>
      </w:pPr>
    </w:p>
    <w:p w14:paraId="7963EF54" w14:textId="77777777" w:rsidR="00FE1517" w:rsidRDefault="00FE1517" w:rsidP="00FE1517">
      <w:pPr>
        <w:spacing w:line="360" w:lineRule="auto"/>
        <w:jc w:val="center"/>
        <w:rPr>
          <w:rFonts w:ascii="Times New Roman" w:hAnsi="Times New Roman" w:cs="Times New Roman"/>
          <w:b/>
          <w:bCs/>
          <w:sz w:val="32"/>
          <w:szCs w:val="32"/>
        </w:rPr>
      </w:pPr>
    </w:p>
    <w:p w14:paraId="10AB1F49" w14:textId="5B61A2AE" w:rsidR="00B603CE" w:rsidRDefault="002E2ECC" w:rsidP="00FE1517">
      <w:pPr>
        <w:spacing w:line="360" w:lineRule="auto"/>
        <w:jc w:val="center"/>
        <w:rPr>
          <w:rFonts w:ascii="Times New Roman" w:hAnsi="Times New Roman" w:cs="Times New Roman"/>
          <w:b/>
          <w:bCs/>
          <w:sz w:val="32"/>
          <w:szCs w:val="32"/>
        </w:rPr>
      </w:pPr>
      <w:r w:rsidRPr="00FE1517">
        <w:rPr>
          <w:rFonts w:ascii="Times New Roman" w:hAnsi="Times New Roman" w:cs="Times New Roman"/>
          <w:b/>
          <w:bCs/>
          <w:sz w:val="32"/>
          <w:szCs w:val="32"/>
        </w:rPr>
        <w:t>Technological and Political–Legal Forces in the Automotive Industry: Strategic Responses of Pioneers and Followers in a Changing Macro Marketing Environment</w:t>
      </w:r>
    </w:p>
    <w:p w14:paraId="7C241FCA" w14:textId="77777777" w:rsidR="00CA6BC0" w:rsidRDefault="00CA6BC0" w:rsidP="00FE1517">
      <w:pPr>
        <w:spacing w:line="360" w:lineRule="auto"/>
        <w:jc w:val="center"/>
        <w:rPr>
          <w:rFonts w:ascii="Times New Roman" w:hAnsi="Times New Roman" w:cs="Times New Roman"/>
          <w:b/>
          <w:bCs/>
          <w:sz w:val="32"/>
          <w:szCs w:val="32"/>
        </w:rPr>
      </w:pPr>
    </w:p>
    <w:p w14:paraId="2733D874" w14:textId="77777777" w:rsidR="00CA6BC0" w:rsidRDefault="00CA6BC0" w:rsidP="00FE1517">
      <w:pPr>
        <w:spacing w:line="360" w:lineRule="auto"/>
        <w:jc w:val="center"/>
        <w:rPr>
          <w:rFonts w:ascii="Times New Roman" w:hAnsi="Times New Roman" w:cs="Times New Roman"/>
          <w:b/>
          <w:bCs/>
          <w:sz w:val="32"/>
          <w:szCs w:val="32"/>
        </w:rPr>
      </w:pPr>
    </w:p>
    <w:p w14:paraId="23C9C7A6" w14:textId="77777777" w:rsidR="00CA6BC0" w:rsidRDefault="00CA6BC0" w:rsidP="00FE1517">
      <w:pPr>
        <w:spacing w:line="360" w:lineRule="auto"/>
        <w:jc w:val="center"/>
        <w:rPr>
          <w:rFonts w:ascii="Times New Roman" w:hAnsi="Times New Roman" w:cs="Times New Roman"/>
          <w:b/>
          <w:bCs/>
          <w:sz w:val="32"/>
          <w:szCs w:val="32"/>
        </w:rPr>
      </w:pPr>
    </w:p>
    <w:p w14:paraId="53D0E269" w14:textId="3422978D" w:rsidR="00601336" w:rsidRDefault="00034C4B" w:rsidP="00FE1517">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Name: Dinyo Radev</w:t>
      </w:r>
    </w:p>
    <w:p w14:paraId="05E7D7D0" w14:textId="66C908D6" w:rsidR="00601336" w:rsidRDefault="00601336" w:rsidP="00FE1517">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ID:</w:t>
      </w:r>
      <w:r w:rsidR="00744AE4">
        <w:rPr>
          <w:rFonts w:ascii="Times New Roman" w:hAnsi="Times New Roman" w:cs="Times New Roman"/>
          <w:b/>
          <w:bCs/>
          <w:sz w:val="32"/>
          <w:szCs w:val="32"/>
        </w:rPr>
        <w:t>2129750</w:t>
      </w:r>
    </w:p>
    <w:p w14:paraId="14F73350" w14:textId="21C32734" w:rsidR="00406305" w:rsidRPr="00FE1517" w:rsidRDefault="00034C4B" w:rsidP="00FE1517">
      <w:pPr>
        <w:spacing w:line="360" w:lineRule="auto"/>
        <w:jc w:val="center"/>
        <w:rPr>
          <w:rFonts w:ascii="Times New Roman" w:hAnsi="Times New Roman" w:cs="Times New Roman"/>
          <w:b/>
          <w:bCs/>
          <w:sz w:val="32"/>
          <w:szCs w:val="32"/>
          <w:lang w:val="en-IN"/>
        </w:rPr>
      </w:pPr>
      <w:r>
        <w:rPr>
          <w:rFonts w:ascii="Times New Roman" w:hAnsi="Times New Roman" w:cs="Times New Roman"/>
          <w:b/>
          <w:bCs/>
          <w:sz w:val="32"/>
          <w:szCs w:val="32"/>
        </w:rPr>
        <w:t>Word</w:t>
      </w:r>
      <w:r w:rsidR="00406305">
        <w:rPr>
          <w:rFonts w:ascii="Times New Roman" w:hAnsi="Times New Roman" w:cs="Times New Roman"/>
          <w:b/>
          <w:bCs/>
          <w:sz w:val="32"/>
          <w:szCs w:val="32"/>
        </w:rPr>
        <w:t>: 26</w:t>
      </w:r>
      <w:r w:rsidR="00520B0F">
        <w:rPr>
          <w:rFonts w:ascii="Times New Roman" w:hAnsi="Times New Roman" w:cs="Times New Roman"/>
          <w:b/>
          <w:bCs/>
          <w:sz w:val="32"/>
          <w:szCs w:val="32"/>
        </w:rPr>
        <w:t>27</w:t>
      </w:r>
    </w:p>
    <w:p w14:paraId="26BF16B1" w14:textId="77777777" w:rsidR="00BE13FB" w:rsidRDefault="00BE13FB" w:rsidP="00FE1517">
      <w:pPr>
        <w:spacing w:line="360" w:lineRule="auto"/>
        <w:rPr>
          <w:lang w:val="en-IN"/>
        </w:rPr>
      </w:pPr>
    </w:p>
    <w:p w14:paraId="27FD8574" w14:textId="77777777" w:rsidR="00FE1517" w:rsidRDefault="00FE1517">
      <w:pPr>
        <w:rPr>
          <w:b/>
          <w:bCs/>
          <w:lang w:val="en-IN"/>
        </w:rPr>
      </w:pPr>
      <w:r>
        <w:rPr>
          <w:b/>
          <w:bCs/>
          <w:lang w:val="en-IN"/>
        </w:rPr>
        <w:br w:type="page"/>
      </w:r>
    </w:p>
    <w:sdt>
      <w:sdtPr>
        <w:rPr>
          <w:rFonts w:asciiTheme="minorHAnsi" w:eastAsiaTheme="minorHAnsi" w:hAnsiTheme="minorHAnsi" w:cstheme="minorBidi"/>
          <w:b/>
          <w:bCs/>
          <w:color w:val="auto"/>
          <w:kern w:val="2"/>
          <w:sz w:val="28"/>
          <w:szCs w:val="28"/>
          <w:lang w:val="en-GB"/>
          <w14:ligatures w14:val="standardContextual"/>
        </w:rPr>
        <w:id w:val="212475692"/>
        <w:docPartObj>
          <w:docPartGallery w:val="Table of Contents"/>
          <w:docPartUnique/>
        </w:docPartObj>
      </w:sdtPr>
      <w:sdtEndPr>
        <w:rPr>
          <w:noProof/>
          <w:sz w:val="24"/>
          <w:szCs w:val="24"/>
        </w:rPr>
      </w:sdtEndPr>
      <w:sdtContent>
        <w:p w14:paraId="6BB8F71D" w14:textId="5CD22EAB" w:rsidR="009D1DF5" w:rsidRPr="004C44CE" w:rsidRDefault="009D1DF5" w:rsidP="007D657F">
          <w:pPr>
            <w:pStyle w:val="TOCHeading"/>
            <w:spacing w:line="360" w:lineRule="auto"/>
            <w:jc w:val="center"/>
            <w:rPr>
              <w:rFonts w:ascii="Times New Roman" w:hAnsi="Times New Roman" w:cs="Times New Roman"/>
              <w:b/>
              <w:bCs/>
              <w:color w:val="0D0D0D" w:themeColor="text1" w:themeTint="F2"/>
              <w:sz w:val="28"/>
              <w:szCs w:val="28"/>
            </w:rPr>
          </w:pPr>
          <w:r w:rsidRPr="004C44CE">
            <w:rPr>
              <w:rFonts w:ascii="Times New Roman" w:hAnsi="Times New Roman" w:cs="Times New Roman"/>
              <w:b/>
              <w:bCs/>
              <w:color w:val="0D0D0D" w:themeColor="text1" w:themeTint="F2"/>
              <w:sz w:val="28"/>
              <w:szCs w:val="28"/>
            </w:rPr>
            <w:t>Table of Contents</w:t>
          </w:r>
        </w:p>
        <w:p w14:paraId="37E52AC0" w14:textId="1ED5F6B2" w:rsidR="0099425B" w:rsidRPr="0099425B" w:rsidRDefault="009D1DF5" w:rsidP="0099425B">
          <w:pPr>
            <w:pStyle w:val="TOC1"/>
            <w:tabs>
              <w:tab w:val="right" w:leader="dot" w:pos="9016"/>
            </w:tabs>
            <w:spacing w:line="360" w:lineRule="auto"/>
            <w:jc w:val="both"/>
            <w:rPr>
              <w:rFonts w:ascii="Times New Roman" w:eastAsiaTheme="minorEastAsia" w:hAnsi="Times New Roman" w:cs="Times New Roman"/>
              <w:noProof/>
              <w:kern w:val="0"/>
              <w:sz w:val="22"/>
              <w:szCs w:val="22"/>
              <w:lang w:val="en-US"/>
              <w14:ligatures w14:val="none"/>
            </w:rPr>
          </w:pPr>
          <w:r w:rsidRPr="0099425B">
            <w:rPr>
              <w:rFonts w:ascii="Times New Roman" w:hAnsi="Times New Roman" w:cs="Times New Roman"/>
              <w:color w:val="0D0D0D" w:themeColor="text1" w:themeTint="F2"/>
            </w:rPr>
            <w:fldChar w:fldCharType="begin"/>
          </w:r>
          <w:r w:rsidRPr="0099425B">
            <w:rPr>
              <w:rFonts w:ascii="Times New Roman" w:hAnsi="Times New Roman" w:cs="Times New Roman"/>
              <w:color w:val="0D0D0D" w:themeColor="text1" w:themeTint="F2"/>
            </w:rPr>
            <w:instrText xml:space="preserve"> TOC \o "1-3" \h \z \u </w:instrText>
          </w:r>
          <w:r w:rsidRPr="0099425B">
            <w:rPr>
              <w:rFonts w:ascii="Times New Roman" w:hAnsi="Times New Roman" w:cs="Times New Roman"/>
              <w:color w:val="0D0D0D" w:themeColor="text1" w:themeTint="F2"/>
            </w:rPr>
            <w:fldChar w:fldCharType="separate"/>
          </w:r>
          <w:hyperlink w:anchor="_Toc213676661" w:history="1">
            <w:r w:rsidR="0099425B" w:rsidRPr="0099425B">
              <w:rPr>
                <w:rStyle w:val="Hyperlink"/>
                <w:rFonts w:ascii="Times New Roman" w:hAnsi="Times New Roman" w:cs="Times New Roman"/>
                <w:noProof/>
                <w:lang w:val="en-IN"/>
              </w:rPr>
              <w:t>1. Introduction</w:t>
            </w:r>
            <w:r w:rsidR="0099425B" w:rsidRPr="0099425B">
              <w:rPr>
                <w:rFonts w:ascii="Times New Roman" w:hAnsi="Times New Roman" w:cs="Times New Roman"/>
                <w:noProof/>
                <w:webHidden/>
              </w:rPr>
              <w:tab/>
            </w:r>
            <w:r w:rsidR="0099425B" w:rsidRPr="0099425B">
              <w:rPr>
                <w:rFonts w:ascii="Times New Roman" w:hAnsi="Times New Roman" w:cs="Times New Roman"/>
                <w:noProof/>
                <w:webHidden/>
              </w:rPr>
              <w:fldChar w:fldCharType="begin"/>
            </w:r>
            <w:r w:rsidR="0099425B" w:rsidRPr="0099425B">
              <w:rPr>
                <w:rFonts w:ascii="Times New Roman" w:hAnsi="Times New Roman" w:cs="Times New Roman"/>
                <w:noProof/>
                <w:webHidden/>
              </w:rPr>
              <w:instrText xml:space="preserve"> PAGEREF _Toc213676661 \h </w:instrText>
            </w:r>
            <w:r w:rsidR="0099425B" w:rsidRPr="0099425B">
              <w:rPr>
                <w:rFonts w:ascii="Times New Roman" w:hAnsi="Times New Roman" w:cs="Times New Roman"/>
                <w:noProof/>
                <w:webHidden/>
              </w:rPr>
            </w:r>
            <w:r w:rsidR="0099425B" w:rsidRPr="0099425B">
              <w:rPr>
                <w:rFonts w:ascii="Times New Roman" w:hAnsi="Times New Roman" w:cs="Times New Roman"/>
                <w:noProof/>
                <w:webHidden/>
              </w:rPr>
              <w:fldChar w:fldCharType="separate"/>
            </w:r>
            <w:r w:rsidR="0099425B" w:rsidRPr="0099425B">
              <w:rPr>
                <w:rFonts w:ascii="Times New Roman" w:hAnsi="Times New Roman" w:cs="Times New Roman"/>
                <w:noProof/>
                <w:webHidden/>
              </w:rPr>
              <w:t>3</w:t>
            </w:r>
            <w:r w:rsidR="0099425B" w:rsidRPr="0099425B">
              <w:rPr>
                <w:rFonts w:ascii="Times New Roman" w:hAnsi="Times New Roman" w:cs="Times New Roman"/>
                <w:noProof/>
                <w:webHidden/>
              </w:rPr>
              <w:fldChar w:fldCharType="end"/>
            </w:r>
          </w:hyperlink>
        </w:p>
        <w:p w14:paraId="6DA5D273" w14:textId="5E427006" w:rsidR="0099425B" w:rsidRPr="0099425B" w:rsidRDefault="0099425B" w:rsidP="0099425B">
          <w:pPr>
            <w:pStyle w:val="TOC1"/>
            <w:tabs>
              <w:tab w:val="right" w:leader="dot" w:pos="9016"/>
            </w:tabs>
            <w:spacing w:line="360" w:lineRule="auto"/>
            <w:jc w:val="both"/>
            <w:rPr>
              <w:rFonts w:ascii="Times New Roman" w:eastAsiaTheme="minorEastAsia" w:hAnsi="Times New Roman" w:cs="Times New Roman"/>
              <w:noProof/>
              <w:kern w:val="0"/>
              <w:sz w:val="22"/>
              <w:szCs w:val="22"/>
              <w:lang w:val="en-US"/>
              <w14:ligatures w14:val="none"/>
            </w:rPr>
          </w:pPr>
          <w:hyperlink w:anchor="_Toc213676662" w:history="1">
            <w:r w:rsidRPr="0099425B">
              <w:rPr>
                <w:rStyle w:val="Hyperlink"/>
                <w:rFonts w:ascii="Times New Roman" w:hAnsi="Times New Roman" w:cs="Times New Roman"/>
                <w:noProof/>
                <w:lang w:val="en-IN"/>
              </w:rPr>
              <w:t xml:space="preserve">2. </w:t>
            </w:r>
            <w:r w:rsidRPr="0099425B">
              <w:rPr>
                <w:rStyle w:val="Hyperlink"/>
                <w:rFonts w:ascii="Times New Roman" w:hAnsi="Times New Roman" w:cs="Times New Roman"/>
                <w:noProof/>
              </w:rPr>
              <w:t>Task 1: Critical Analysis of the Macro Marketing Environment</w:t>
            </w:r>
            <w:r w:rsidRPr="0099425B">
              <w:rPr>
                <w:rFonts w:ascii="Times New Roman" w:hAnsi="Times New Roman" w:cs="Times New Roman"/>
                <w:noProof/>
                <w:webHidden/>
              </w:rPr>
              <w:tab/>
            </w:r>
            <w:r w:rsidRPr="0099425B">
              <w:rPr>
                <w:rFonts w:ascii="Times New Roman" w:hAnsi="Times New Roman" w:cs="Times New Roman"/>
                <w:noProof/>
                <w:webHidden/>
              </w:rPr>
              <w:fldChar w:fldCharType="begin"/>
            </w:r>
            <w:r w:rsidRPr="0099425B">
              <w:rPr>
                <w:rFonts w:ascii="Times New Roman" w:hAnsi="Times New Roman" w:cs="Times New Roman"/>
                <w:noProof/>
                <w:webHidden/>
              </w:rPr>
              <w:instrText xml:space="preserve"> PAGEREF _Toc213676662 \h </w:instrText>
            </w:r>
            <w:r w:rsidRPr="0099425B">
              <w:rPr>
                <w:rFonts w:ascii="Times New Roman" w:hAnsi="Times New Roman" w:cs="Times New Roman"/>
                <w:noProof/>
                <w:webHidden/>
              </w:rPr>
            </w:r>
            <w:r w:rsidRPr="0099425B">
              <w:rPr>
                <w:rFonts w:ascii="Times New Roman" w:hAnsi="Times New Roman" w:cs="Times New Roman"/>
                <w:noProof/>
                <w:webHidden/>
              </w:rPr>
              <w:fldChar w:fldCharType="separate"/>
            </w:r>
            <w:r w:rsidRPr="0099425B">
              <w:rPr>
                <w:rFonts w:ascii="Times New Roman" w:hAnsi="Times New Roman" w:cs="Times New Roman"/>
                <w:noProof/>
                <w:webHidden/>
              </w:rPr>
              <w:t>3</w:t>
            </w:r>
            <w:r w:rsidRPr="0099425B">
              <w:rPr>
                <w:rFonts w:ascii="Times New Roman" w:hAnsi="Times New Roman" w:cs="Times New Roman"/>
                <w:noProof/>
                <w:webHidden/>
              </w:rPr>
              <w:fldChar w:fldCharType="end"/>
            </w:r>
          </w:hyperlink>
        </w:p>
        <w:p w14:paraId="0D8789A8" w14:textId="0E6F0949" w:rsidR="0099425B" w:rsidRPr="0099425B" w:rsidRDefault="0099425B" w:rsidP="0099425B">
          <w:pPr>
            <w:pStyle w:val="TOC2"/>
            <w:tabs>
              <w:tab w:val="right" w:leader="dot" w:pos="9016"/>
            </w:tabs>
            <w:spacing w:line="360" w:lineRule="auto"/>
            <w:jc w:val="both"/>
            <w:rPr>
              <w:rFonts w:ascii="Times New Roman" w:eastAsiaTheme="minorEastAsia" w:hAnsi="Times New Roman" w:cs="Times New Roman"/>
              <w:noProof/>
              <w:kern w:val="0"/>
              <w:sz w:val="22"/>
              <w:szCs w:val="22"/>
              <w:lang w:val="en-US"/>
              <w14:ligatures w14:val="none"/>
            </w:rPr>
          </w:pPr>
          <w:hyperlink w:anchor="_Toc213676663" w:history="1">
            <w:r w:rsidRPr="0099425B">
              <w:rPr>
                <w:rStyle w:val="Hyperlink"/>
                <w:rFonts w:ascii="Times New Roman" w:hAnsi="Times New Roman" w:cs="Times New Roman"/>
                <w:noProof/>
              </w:rPr>
              <w:t>2.1 Overview of the Macro Marketing Environment</w:t>
            </w:r>
            <w:r w:rsidRPr="0099425B">
              <w:rPr>
                <w:rFonts w:ascii="Times New Roman" w:hAnsi="Times New Roman" w:cs="Times New Roman"/>
                <w:noProof/>
                <w:webHidden/>
              </w:rPr>
              <w:tab/>
            </w:r>
            <w:r w:rsidRPr="0099425B">
              <w:rPr>
                <w:rFonts w:ascii="Times New Roman" w:hAnsi="Times New Roman" w:cs="Times New Roman"/>
                <w:noProof/>
                <w:webHidden/>
              </w:rPr>
              <w:fldChar w:fldCharType="begin"/>
            </w:r>
            <w:r w:rsidRPr="0099425B">
              <w:rPr>
                <w:rFonts w:ascii="Times New Roman" w:hAnsi="Times New Roman" w:cs="Times New Roman"/>
                <w:noProof/>
                <w:webHidden/>
              </w:rPr>
              <w:instrText xml:space="preserve"> PAGEREF _Toc213676663 \h </w:instrText>
            </w:r>
            <w:r w:rsidRPr="0099425B">
              <w:rPr>
                <w:rFonts w:ascii="Times New Roman" w:hAnsi="Times New Roman" w:cs="Times New Roman"/>
                <w:noProof/>
                <w:webHidden/>
              </w:rPr>
            </w:r>
            <w:r w:rsidRPr="0099425B">
              <w:rPr>
                <w:rFonts w:ascii="Times New Roman" w:hAnsi="Times New Roman" w:cs="Times New Roman"/>
                <w:noProof/>
                <w:webHidden/>
              </w:rPr>
              <w:fldChar w:fldCharType="separate"/>
            </w:r>
            <w:r w:rsidRPr="0099425B">
              <w:rPr>
                <w:rFonts w:ascii="Times New Roman" w:hAnsi="Times New Roman" w:cs="Times New Roman"/>
                <w:noProof/>
                <w:webHidden/>
              </w:rPr>
              <w:t>3</w:t>
            </w:r>
            <w:r w:rsidRPr="0099425B">
              <w:rPr>
                <w:rFonts w:ascii="Times New Roman" w:hAnsi="Times New Roman" w:cs="Times New Roman"/>
                <w:noProof/>
                <w:webHidden/>
              </w:rPr>
              <w:fldChar w:fldCharType="end"/>
            </w:r>
          </w:hyperlink>
        </w:p>
        <w:p w14:paraId="23B89985" w14:textId="79108E8B" w:rsidR="0099425B" w:rsidRPr="0099425B" w:rsidRDefault="0099425B" w:rsidP="0099425B">
          <w:pPr>
            <w:pStyle w:val="TOC2"/>
            <w:tabs>
              <w:tab w:val="right" w:leader="dot" w:pos="9016"/>
            </w:tabs>
            <w:spacing w:line="360" w:lineRule="auto"/>
            <w:jc w:val="both"/>
            <w:rPr>
              <w:rFonts w:ascii="Times New Roman" w:eastAsiaTheme="minorEastAsia" w:hAnsi="Times New Roman" w:cs="Times New Roman"/>
              <w:noProof/>
              <w:kern w:val="0"/>
              <w:sz w:val="22"/>
              <w:szCs w:val="22"/>
              <w:lang w:val="en-US"/>
              <w14:ligatures w14:val="none"/>
            </w:rPr>
          </w:pPr>
          <w:hyperlink w:anchor="_Toc213676664" w:history="1">
            <w:r w:rsidRPr="0099425B">
              <w:rPr>
                <w:rStyle w:val="Hyperlink"/>
                <w:rFonts w:ascii="Times New Roman" w:hAnsi="Times New Roman" w:cs="Times New Roman"/>
                <w:noProof/>
              </w:rPr>
              <w:t>2.2 Selection of Two External Macro Marketing Actors</w:t>
            </w:r>
            <w:r w:rsidRPr="0099425B">
              <w:rPr>
                <w:rFonts w:ascii="Times New Roman" w:hAnsi="Times New Roman" w:cs="Times New Roman"/>
                <w:noProof/>
                <w:webHidden/>
              </w:rPr>
              <w:tab/>
            </w:r>
            <w:r w:rsidRPr="0099425B">
              <w:rPr>
                <w:rFonts w:ascii="Times New Roman" w:hAnsi="Times New Roman" w:cs="Times New Roman"/>
                <w:noProof/>
                <w:webHidden/>
              </w:rPr>
              <w:fldChar w:fldCharType="begin"/>
            </w:r>
            <w:r w:rsidRPr="0099425B">
              <w:rPr>
                <w:rFonts w:ascii="Times New Roman" w:hAnsi="Times New Roman" w:cs="Times New Roman"/>
                <w:noProof/>
                <w:webHidden/>
              </w:rPr>
              <w:instrText xml:space="preserve"> PAGEREF _Toc213676664 \h </w:instrText>
            </w:r>
            <w:r w:rsidRPr="0099425B">
              <w:rPr>
                <w:rFonts w:ascii="Times New Roman" w:hAnsi="Times New Roman" w:cs="Times New Roman"/>
                <w:noProof/>
                <w:webHidden/>
              </w:rPr>
            </w:r>
            <w:r w:rsidRPr="0099425B">
              <w:rPr>
                <w:rFonts w:ascii="Times New Roman" w:hAnsi="Times New Roman" w:cs="Times New Roman"/>
                <w:noProof/>
                <w:webHidden/>
              </w:rPr>
              <w:fldChar w:fldCharType="separate"/>
            </w:r>
            <w:r w:rsidRPr="0099425B">
              <w:rPr>
                <w:rFonts w:ascii="Times New Roman" w:hAnsi="Times New Roman" w:cs="Times New Roman"/>
                <w:noProof/>
                <w:webHidden/>
              </w:rPr>
              <w:t>5</w:t>
            </w:r>
            <w:r w:rsidRPr="0099425B">
              <w:rPr>
                <w:rFonts w:ascii="Times New Roman" w:hAnsi="Times New Roman" w:cs="Times New Roman"/>
                <w:noProof/>
                <w:webHidden/>
              </w:rPr>
              <w:fldChar w:fldCharType="end"/>
            </w:r>
          </w:hyperlink>
        </w:p>
        <w:p w14:paraId="7BE65296" w14:textId="7A42E8E9" w:rsidR="0099425B" w:rsidRPr="0099425B" w:rsidRDefault="0099425B" w:rsidP="0099425B">
          <w:pPr>
            <w:pStyle w:val="TOC2"/>
            <w:tabs>
              <w:tab w:val="right" w:leader="dot" w:pos="9016"/>
            </w:tabs>
            <w:spacing w:line="360" w:lineRule="auto"/>
            <w:jc w:val="both"/>
            <w:rPr>
              <w:rFonts w:ascii="Times New Roman" w:eastAsiaTheme="minorEastAsia" w:hAnsi="Times New Roman" w:cs="Times New Roman"/>
              <w:noProof/>
              <w:kern w:val="0"/>
              <w:sz w:val="22"/>
              <w:szCs w:val="22"/>
              <w:lang w:val="en-US"/>
              <w14:ligatures w14:val="none"/>
            </w:rPr>
          </w:pPr>
          <w:hyperlink w:anchor="_Toc213676665" w:history="1">
            <w:r w:rsidRPr="0099425B">
              <w:rPr>
                <w:rStyle w:val="Hyperlink"/>
                <w:rFonts w:ascii="Times New Roman" w:hAnsi="Times New Roman" w:cs="Times New Roman"/>
                <w:noProof/>
              </w:rPr>
              <w:t>2.3 Critical Analysis of Each Actor</w:t>
            </w:r>
            <w:r w:rsidRPr="0099425B">
              <w:rPr>
                <w:rFonts w:ascii="Times New Roman" w:hAnsi="Times New Roman" w:cs="Times New Roman"/>
                <w:noProof/>
                <w:webHidden/>
              </w:rPr>
              <w:tab/>
            </w:r>
            <w:r w:rsidRPr="0099425B">
              <w:rPr>
                <w:rFonts w:ascii="Times New Roman" w:hAnsi="Times New Roman" w:cs="Times New Roman"/>
                <w:noProof/>
                <w:webHidden/>
              </w:rPr>
              <w:fldChar w:fldCharType="begin"/>
            </w:r>
            <w:r w:rsidRPr="0099425B">
              <w:rPr>
                <w:rFonts w:ascii="Times New Roman" w:hAnsi="Times New Roman" w:cs="Times New Roman"/>
                <w:noProof/>
                <w:webHidden/>
              </w:rPr>
              <w:instrText xml:space="preserve"> PAGEREF _Toc213676665 \h </w:instrText>
            </w:r>
            <w:r w:rsidRPr="0099425B">
              <w:rPr>
                <w:rFonts w:ascii="Times New Roman" w:hAnsi="Times New Roman" w:cs="Times New Roman"/>
                <w:noProof/>
                <w:webHidden/>
              </w:rPr>
            </w:r>
            <w:r w:rsidRPr="0099425B">
              <w:rPr>
                <w:rFonts w:ascii="Times New Roman" w:hAnsi="Times New Roman" w:cs="Times New Roman"/>
                <w:noProof/>
                <w:webHidden/>
              </w:rPr>
              <w:fldChar w:fldCharType="separate"/>
            </w:r>
            <w:r w:rsidRPr="0099425B">
              <w:rPr>
                <w:rFonts w:ascii="Times New Roman" w:hAnsi="Times New Roman" w:cs="Times New Roman"/>
                <w:noProof/>
                <w:webHidden/>
              </w:rPr>
              <w:t>7</w:t>
            </w:r>
            <w:r w:rsidRPr="0099425B">
              <w:rPr>
                <w:rFonts w:ascii="Times New Roman" w:hAnsi="Times New Roman" w:cs="Times New Roman"/>
                <w:noProof/>
                <w:webHidden/>
              </w:rPr>
              <w:fldChar w:fldCharType="end"/>
            </w:r>
          </w:hyperlink>
        </w:p>
        <w:p w14:paraId="4DFB4B70" w14:textId="7DDF8A2E" w:rsidR="0099425B" w:rsidRPr="0099425B" w:rsidRDefault="0099425B" w:rsidP="0099425B">
          <w:pPr>
            <w:pStyle w:val="TOC1"/>
            <w:tabs>
              <w:tab w:val="right" w:leader="dot" w:pos="9016"/>
            </w:tabs>
            <w:spacing w:line="360" w:lineRule="auto"/>
            <w:jc w:val="both"/>
            <w:rPr>
              <w:rFonts w:ascii="Times New Roman" w:eastAsiaTheme="minorEastAsia" w:hAnsi="Times New Roman" w:cs="Times New Roman"/>
              <w:noProof/>
              <w:kern w:val="0"/>
              <w:sz w:val="22"/>
              <w:szCs w:val="22"/>
              <w:lang w:val="en-US"/>
              <w14:ligatures w14:val="none"/>
            </w:rPr>
          </w:pPr>
          <w:hyperlink w:anchor="_Toc213676666" w:history="1">
            <w:r w:rsidRPr="0099425B">
              <w:rPr>
                <w:rStyle w:val="Hyperlink"/>
                <w:rFonts w:ascii="Times New Roman" w:hAnsi="Times New Roman" w:cs="Times New Roman"/>
                <w:noProof/>
              </w:rPr>
              <w:t>3. Task 2: Strategic Responses of Pioneering and Follower organisation</w:t>
            </w:r>
            <w:r w:rsidRPr="0099425B">
              <w:rPr>
                <w:rFonts w:ascii="Times New Roman" w:hAnsi="Times New Roman" w:cs="Times New Roman"/>
                <w:noProof/>
                <w:webHidden/>
              </w:rPr>
              <w:tab/>
            </w:r>
            <w:r w:rsidRPr="0099425B">
              <w:rPr>
                <w:rFonts w:ascii="Times New Roman" w:hAnsi="Times New Roman" w:cs="Times New Roman"/>
                <w:noProof/>
                <w:webHidden/>
              </w:rPr>
              <w:fldChar w:fldCharType="begin"/>
            </w:r>
            <w:r w:rsidRPr="0099425B">
              <w:rPr>
                <w:rFonts w:ascii="Times New Roman" w:hAnsi="Times New Roman" w:cs="Times New Roman"/>
                <w:noProof/>
                <w:webHidden/>
              </w:rPr>
              <w:instrText xml:space="preserve"> PAGEREF _Toc213676666 \h </w:instrText>
            </w:r>
            <w:r w:rsidRPr="0099425B">
              <w:rPr>
                <w:rFonts w:ascii="Times New Roman" w:hAnsi="Times New Roman" w:cs="Times New Roman"/>
                <w:noProof/>
                <w:webHidden/>
              </w:rPr>
            </w:r>
            <w:r w:rsidRPr="0099425B">
              <w:rPr>
                <w:rFonts w:ascii="Times New Roman" w:hAnsi="Times New Roman" w:cs="Times New Roman"/>
                <w:noProof/>
                <w:webHidden/>
              </w:rPr>
              <w:fldChar w:fldCharType="separate"/>
            </w:r>
            <w:r w:rsidRPr="0099425B">
              <w:rPr>
                <w:rFonts w:ascii="Times New Roman" w:hAnsi="Times New Roman" w:cs="Times New Roman"/>
                <w:noProof/>
                <w:webHidden/>
              </w:rPr>
              <w:t>7</w:t>
            </w:r>
            <w:r w:rsidRPr="0099425B">
              <w:rPr>
                <w:rFonts w:ascii="Times New Roman" w:hAnsi="Times New Roman" w:cs="Times New Roman"/>
                <w:noProof/>
                <w:webHidden/>
              </w:rPr>
              <w:fldChar w:fldCharType="end"/>
            </w:r>
          </w:hyperlink>
        </w:p>
        <w:p w14:paraId="3C89E6C6" w14:textId="2C03D035" w:rsidR="0099425B" w:rsidRPr="0099425B" w:rsidRDefault="0099425B" w:rsidP="0099425B">
          <w:pPr>
            <w:pStyle w:val="TOC2"/>
            <w:tabs>
              <w:tab w:val="right" w:leader="dot" w:pos="9016"/>
            </w:tabs>
            <w:spacing w:line="360" w:lineRule="auto"/>
            <w:jc w:val="both"/>
            <w:rPr>
              <w:rFonts w:ascii="Times New Roman" w:eastAsiaTheme="minorEastAsia" w:hAnsi="Times New Roman" w:cs="Times New Roman"/>
              <w:noProof/>
              <w:kern w:val="0"/>
              <w:sz w:val="22"/>
              <w:szCs w:val="22"/>
              <w:lang w:val="en-US"/>
              <w14:ligatures w14:val="none"/>
            </w:rPr>
          </w:pPr>
          <w:hyperlink w:anchor="_Toc213676667" w:history="1">
            <w:r w:rsidRPr="0099425B">
              <w:rPr>
                <w:rStyle w:val="Hyperlink"/>
                <w:rFonts w:ascii="Times New Roman" w:hAnsi="Times New Roman" w:cs="Times New Roman"/>
                <w:noProof/>
              </w:rPr>
              <w:t>3.1 Pioneering Organisations’ Strategic Responses</w:t>
            </w:r>
            <w:r w:rsidRPr="0099425B">
              <w:rPr>
                <w:rFonts w:ascii="Times New Roman" w:hAnsi="Times New Roman" w:cs="Times New Roman"/>
                <w:noProof/>
                <w:webHidden/>
              </w:rPr>
              <w:tab/>
            </w:r>
            <w:r w:rsidRPr="0099425B">
              <w:rPr>
                <w:rFonts w:ascii="Times New Roman" w:hAnsi="Times New Roman" w:cs="Times New Roman"/>
                <w:noProof/>
                <w:webHidden/>
              </w:rPr>
              <w:fldChar w:fldCharType="begin"/>
            </w:r>
            <w:r w:rsidRPr="0099425B">
              <w:rPr>
                <w:rFonts w:ascii="Times New Roman" w:hAnsi="Times New Roman" w:cs="Times New Roman"/>
                <w:noProof/>
                <w:webHidden/>
              </w:rPr>
              <w:instrText xml:space="preserve"> PAGEREF _Toc213676667 \h </w:instrText>
            </w:r>
            <w:r w:rsidRPr="0099425B">
              <w:rPr>
                <w:rFonts w:ascii="Times New Roman" w:hAnsi="Times New Roman" w:cs="Times New Roman"/>
                <w:noProof/>
                <w:webHidden/>
              </w:rPr>
            </w:r>
            <w:r w:rsidRPr="0099425B">
              <w:rPr>
                <w:rFonts w:ascii="Times New Roman" w:hAnsi="Times New Roman" w:cs="Times New Roman"/>
                <w:noProof/>
                <w:webHidden/>
              </w:rPr>
              <w:fldChar w:fldCharType="separate"/>
            </w:r>
            <w:r w:rsidRPr="0099425B">
              <w:rPr>
                <w:rFonts w:ascii="Times New Roman" w:hAnsi="Times New Roman" w:cs="Times New Roman"/>
                <w:noProof/>
                <w:webHidden/>
              </w:rPr>
              <w:t>7</w:t>
            </w:r>
            <w:r w:rsidRPr="0099425B">
              <w:rPr>
                <w:rFonts w:ascii="Times New Roman" w:hAnsi="Times New Roman" w:cs="Times New Roman"/>
                <w:noProof/>
                <w:webHidden/>
              </w:rPr>
              <w:fldChar w:fldCharType="end"/>
            </w:r>
          </w:hyperlink>
        </w:p>
        <w:p w14:paraId="116700AA" w14:textId="38FB91DE" w:rsidR="0099425B" w:rsidRPr="0099425B" w:rsidRDefault="0099425B" w:rsidP="0099425B">
          <w:pPr>
            <w:pStyle w:val="TOC2"/>
            <w:tabs>
              <w:tab w:val="right" w:leader="dot" w:pos="9016"/>
            </w:tabs>
            <w:spacing w:line="360" w:lineRule="auto"/>
            <w:jc w:val="both"/>
            <w:rPr>
              <w:rFonts w:ascii="Times New Roman" w:eastAsiaTheme="minorEastAsia" w:hAnsi="Times New Roman" w:cs="Times New Roman"/>
              <w:noProof/>
              <w:kern w:val="0"/>
              <w:sz w:val="22"/>
              <w:szCs w:val="22"/>
              <w:lang w:val="en-US"/>
              <w14:ligatures w14:val="none"/>
            </w:rPr>
          </w:pPr>
          <w:hyperlink w:anchor="_Toc213676668" w:history="1">
            <w:r w:rsidRPr="0099425B">
              <w:rPr>
                <w:rStyle w:val="Hyperlink"/>
                <w:rFonts w:ascii="Times New Roman" w:hAnsi="Times New Roman" w:cs="Times New Roman"/>
                <w:noProof/>
              </w:rPr>
              <w:t>3.2 Follower Organisations’ Strategic Responses</w:t>
            </w:r>
            <w:r w:rsidRPr="0099425B">
              <w:rPr>
                <w:rFonts w:ascii="Times New Roman" w:hAnsi="Times New Roman" w:cs="Times New Roman"/>
                <w:noProof/>
                <w:webHidden/>
              </w:rPr>
              <w:tab/>
            </w:r>
            <w:r w:rsidRPr="0099425B">
              <w:rPr>
                <w:rFonts w:ascii="Times New Roman" w:hAnsi="Times New Roman" w:cs="Times New Roman"/>
                <w:noProof/>
                <w:webHidden/>
              </w:rPr>
              <w:fldChar w:fldCharType="begin"/>
            </w:r>
            <w:r w:rsidRPr="0099425B">
              <w:rPr>
                <w:rFonts w:ascii="Times New Roman" w:hAnsi="Times New Roman" w:cs="Times New Roman"/>
                <w:noProof/>
                <w:webHidden/>
              </w:rPr>
              <w:instrText xml:space="preserve"> PAGEREF _Toc213676668 \h </w:instrText>
            </w:r>
            <w:r w:rsidRPr="0099425B">
              <w:rPr>
                <w:rFonts w:ascii="Times New Roman" w:hAnsi="Times New Roman" w:cs="Times New Roman"/>
                <w:noProof/>
                <w:webHidden/>
              </w:rPr>
            </w:r>
            <w:r w:rsidRPr="0099425B">
              <w:rPr>
                <w:rFonts w:ascii="Times New Roman" w:hAnsi="Times New Roman" w:cs="Times New Roman"/>
                <w:noProof/>
                <w:webHidden/>
              </w:rPr>
              <w:fldChar w:fldCharType="separate"/>
            </w:r>
            <w:r w:rsidRPr="0099425B">
              <w:rPr>
                <w:rFonts w:ascii="Times New Roman" w:hAnsi="Times New Roman" w:cs="Times New Roman"/>
                <w:noProof/>
                <w:webHidden/>
              </w:rPr>
              <w:t>9</w:t>
            </w:r>
            <w:r w:rsidRPr="0099425B">
              <w:rPr>
                <w:rFonts w:ascii="Times New Roman" w:hAnsi="Times New Roman" w:cs="Times New Roman"/>
                <w:noProof/>
                <w:webHidden/>
              </w:rPr>
              <w:fldChar w:fldCharType="end"/>
            </w:r>
          </w:hyperlink>
        </w:p>
        <w:p w14:paraId="37913F38" w14:textId="5D7761D4" w:rsidR="0099425B" w:rsidRPr="0099425B" w:rsidRDefault="0099425B" w:rsidP="0099425B">
          <w:pPr>
            <w:pStyle w:val="TOC1"/>
            <w:tabs>
              <w:tab w:val="right" w:leader="dot" w:pos="9016"/>
            </w:tabs>
            <w:spacing w:line="360" w:lineRule="auto"/>
            <w:jc w:val="both"/>
            <w:rPr>
              <w:rFonts w:ascii="Times New Roman" w:eastAsiaTheme="minorEastAsia" w:hAnsi="Times New Roman" w:cs="Times New Roman"/>
              <w:noProof/>
              <w:kern w:val="0"/>
              <w:sz w:val="22"/>
              <w:szCs w:val="22"/>
              <w:lang w:val="en-US"/>
              <w14:ligatures w14:val="none"/>
            </w:rPr>
          </w:pPr>
          <w:hyperlink w:anchor="_Toc213676669" w:history="1">
            <w:r w:rsidRPr="0099425B">
              <w:rPr>
                <w:rStyle w:val="Hyperlink"/>
                <w:rFonts w:ascii="Times New Roman" w:hAnsi="Times New Roman" w:cs="Times New Roman"/>
                <w:noProof/>
                <w:lang w:val="en-IN"/>
              </w:rPr>
              <w:t>4. Conclusion</w:t>
            </w:r>
            <w:r w:rsidRPr="0099425B">
              <w:rPr>
                <w:rFonts w:ascii="Times New Roman" w:hAnsi="Times New Roman" w:cs="Times New Roman"/>
                <w:noProof/>
                <w:webHidden/>
              </w:rPr>
              <w:tab/>
            </w:r>
            <w:r w:rsidRPr="0099425B">
              <w:rPr>
                <w:rFonts w:ascii="Times New Roman" w:hAnsi="Times New Roman" w:cs="Times New Roman"/>
                <w:noProof/>
                <w:webHidden/>
              </w:rPr>
              <w:fldChar w:fldCharType="begin"/>
            </w:r>
            <w:r w:rsidRPr="0099425B">
              <w:rPr>
                <w:rFonts w:ascii="Times New Roman" w:hAnsi="Times New Roman" w:cs="Times New Roman"/>
                <w:noProof/>
                <w:webHidden/>
              </w:rPr>
              <w:instrText xml:space="preserve"> PAGEREF _Toc213676669 \h </w:instrText>
            </w:r>
            <w:r w:rsidRPr="0099425B">
              <w:rPr>
                <w:rFonts w:ascii="Times New Roman" w:hAnsi="Times New Roman" w:cs="Times New Roman"/>
                <w:noProof/>
                <w:webHidden/>
              </w:rPr>
            </w:r>
            <w:r w:rsidRPr="0099425B">
              <w:rPr>
                <w:rFonts w:ascii="Times New Roman" w:hAnsi="Times New Roman" w:cs="Times New Roman"/>
                <w:noProof/>
                <w:webHidden/>
              </w:rPr>
              <w:fldChar w:fldCharType="separate"/>
            </w:r>
            <w:r w:rsidRPr="0099425B">
              <w:rPr>
                <w:rFonts w:ascii="Times New Roman" w:hAnsi="Times New Roman" w:cs="Times New Roman"/>
                <w:noProof/>
                <w:webHidden/>
              </w:rPr>
              <w:t>10</w:t>
            </w:r>
            <w:r w:rsidRPr="0099425B">
              <w:rPr>
                <w:rFonts w:ascii="Times New Roman" w:hAnsi="Times New Roman" w:cs="Times New Roman"/>
                <w:noProof/>
                <w:webHidden/>
              </w:rPr>
              <w:fldChar w:fldCharType="end"/>
            </w:r>
          </w:hyperlink>
        </w:p>
        <w:p w14:paraId="5A33096E" w14:textId="4F837C0C" w:rsidR="0099425B" w:rsidRPr="0099425B" w:rsidRDefault="0099425B" w:rsidP="0099425B">
          <w:pPr>
            <w:pStyle w:val="TOC1"/>
            <w:tabs>
              <w:tab w:val="right" w:leader="dot" w:pos="9016"/>
            </w:tabs>
            <w:spacing w:line="360" w:lineRule="auto"/>
            <w:jc w:val="both"/>
            <w:rPr>
              <w:rFonts w:ascii="Times New Roman" w:eastAsiaTheme="minorEastAsia" w:hAnsi="Times New Roman" w:cs="Times New Roman"/>
              <w:noProof/>
              <w:kern w:val="0"/>
              <w:sz w:val="22"/>
              <w:szCs w:val="22"/>
              <w:lang w:val="en-US"/>
              <w14:ligatures w14:val="none"/>
            </w:rPr>
          </w:pPr>
          <w:hyperlink w:anchor="_Toc213676670" w:history="1">
            <w:r w:rsidRPr="0099425B">
              <w:rPr>
                <w:rStyle w:val="Hyperlink"/>
                <w:rFonts w:ascii="Times New Roman" w:hAnsi="Times New Roman" w:cs="Times New Roman"/>
                <w:noProof/>
                <w:lang w:val="en-IN"/>
              </w:rPr>
              <w:t>References</w:t>
            </w:r>
            <w:r w:rsidRPr="0099425B">
              <w:rPr>
                <w:rFonts w:ascii="Times New Roman" w:hAnsi="Times New Roman" w:cs="Times New Roman"/>
                <w:noProof/>
                <w:webHidden/>
              </w:rPr>
              <w:tab/>
            </w:r>
            <w:r w:rsidRPr="0099425B">
              <w:rPr>
                <w:rFonts w:ascii="Times New Roman" w:hAnsi="Times New Roman" w:cs="Times New Roman"/>
                <w:noProof/>
                <w:webHidden/>
              </w:rPr>
              <w:fldChar w:fldCharType="begin"/>
            </w:r>
            <w:r w:rsidRPr="0099425B">
              <w:rPr>
                <w:rFonts w:ascii="Times New Roman" w:hAnsi="Times New Roman" w:cs="Times New Roman"/>
                <w:noProof/>
                <w:webHidden/>
              </w:rPr>
              <w:instrText xml:space="preserve"> PAGEREF _Toc213676670 \h </w:instrText>
            </w:r>
            <w:r w:rsidRPr="0099425B">
              <w:rPr>
                <w:rFonts w:ascii="Times New Roman" w:hAnsi="Times New Roman" w:cs="Times New Roman"/>
                <w:noProof/>
                <w:webHidden/>
              </w:rPr>
            </w:r>
            <w:r w:rsidRPr="0099425B">
              <w:rPr>
                <w:rFonts w:ascii="Times New Roman" w:hAnsi="Times New Roman" w:cs="Times New Roman"/>
                <w:noProof/>
                <w:webHidden/>
              </w:rPr>
              <w:fldChar w:fldCharType="separate"/>
            </w:r>
            <w:r w:rsidRPr="0099425B">
              <w:rPr>
                <w:rFonts w:ascii="Times New Roman" w:hAnsi="Times New Roman" w:cs="Times New Roman"/>
                <w:noProof/>
                <w:webHidden/>
              </w:rPr>
              <w:t>12</w:t>
            </w:r>
            <w:r w:rsidRPr="0099425B">
              <w:rPr>
                <w:rFonts w:ascii="Times New Roman" w:hAnsi="Times New Roman" w:cs="Times New Roman"/>
                <w:noProof/>
                <w:webHidden/>
              </w:rPr>
              <w:fldChar w:fldCharType="end"/>
            </w:r>
          </w:hyperlink>
        </w:p>
        <w:p w14:paraId="31ED0A5F" w14:textId="72FDA2BD" w:rsidR="009D1DF5" w:rsidRDefault="009D1DF5" w:rsidP="0099425B">
          <w:pPr>
            <w:spacing w:line="360" w:lineRule="auto"/>
            <w:jc w:val="both"/>
          </w:pPr>
          <w:r w:rsidRPr="0099425B">
            <w:rPr>
              <w:rFonts w:ascii="Times New Roman" w:hAnsi="Times New Roman" w:cs="Times New Roman"/>
              <w:b/>
              <w:bCs/>
              <w:noProof/>
              <w:color w:val="0D0D0D" w:themeColor="text1" w:themeTint="F2"/>
            </w:rPr>
            <w:fldChar w:fldCharType="end"/>
          </w:r>
        </w:p>
      </w:sdtContent>
    </w:sdt>
    <w:p w14:paraId="3CA47C93" w14:textId="77777777" w:rsidR="00FE1517" w:rsidRDefault="00FE1517">
      <w:pPr>
        <w:rPr>
          <w:b/>
          <w:bCs/>
          <w:lang w:val="en-IN"/>
        </w:rPr>
      </w:pPr>
      <w:r>
        <w:rPr>
          <w:b/>
          <w:bCs/>
          <w:lang w:val="en-IN"/>
        </w:rPr>
        <w:br w:type="page"/>
      </w:r>
    </w:p>
    <w:p w14:paraId="1B63F198" w14:textId="43F582B7" w:rsidR="00BE13FB" w:rsidRPr="00FE1517" w:rsidRDefault="00BE13FB" w:rsidP="00314039">
      <w:pPr>
        <w:pStyle w:val="Heading1"/>
        <w:rPr>
          <w:lang w:val="en-IN"/>
        </w:rPr>
      </w:pPr>
      <w:bookmarkStart w:id="0" w:name="_Toc213676661"/>
      <w:r w:rsidRPr="00FE1517">
        <w:rPr>
          <w:lang w:val="en-IN"/>
        </w:rPr>
        <w:lastRenderedPageBreak/>
        <w:t>1. Introduction</w:t>
      </w:r>
      <w:bookmarkEnd w:id="0"/>
    </w:p>
    <w:p w14:paraId="2976025E" w14:textId="03DC2E81" w:rsidR="006C38E9" w:rsidRPr="006C38E9" w:rsidRDefault="006C38E9" w:rsidP="006C38E9">
      <w:pPr>
        <w:spacing w:line="360" w:lineRule="auto"/>
        <w:jc w:val="both"/>
        <w:rPr>
          <w:rFonts w:ascii="Times New Roman" w:hAnsi="Times New Roman" w:cs="Times New Roman"/>
        </w:rPr>
      </w:pPr>
      <w:r w:rsidRPr="006C38E9">
        <w:rPr>
          <w:rFonts w:ascii="Times New Roman" w:hAnsi="Times New Roman" w:cs="Times New Roman"/>
        </w:rPr>
        <w:t xml:space="preserve">Strategic marketing management describes the process by which organisations study both the external and the internal environment, establish long-term marketing goals, and employ strategies to realise sustainable competitive advantage (Kotler and Keller, 2022). It combines market knowledge, allocation of resources and strategic position to make sure that the companies are dynamic to the current conditions in the market. In this process, knowledge of the macro marketing environment is important, which involves external forces, political, economic, social, technological, environmental and legal factors that either directly or indirectly influence the organisational opportunities, threats and </w:t>
      </w:r>
      <w:r w:rsidR="007D657F" w:rsidRPr="006C38E9">
        <w:rPr>
          <w:rFonts w:ascii="Times New Roman" w:hAnsi="Times New Roman" w:cs="Times New Roman"/>
        </w:rPr>
        <w:t>long-term</w:t>
      </w:r>
      <w:r w:rsidRPr="006C38E9">
        <w:rPr>
          <w:rFonts w:ascii="Times New Roman" w:hAnsi="Times New Roman" w:cs="Times New Roman"/>
        </w:rPr>
        <w:t xml:space="preserve"> viability.</w:t>
      </w:r>
    </w:p>
    <w:p w14:paraId="1CF65356" w14:textId="48A4C824" w:rsidR="006C38E9" w:rsidRPr="006C38E9" w:rsidRDefault="006C38E9" w:rsidP="006C38E9">
      <w:pPr>
        <w:spacing w:line="360" w:lineRule="auto"/>
        <w:jc w:val="both"/>
        <w:rPr>
          <w:rFonts w:ascii="Times New Roman" w:hAnsi="Times New Roman" w:cs="Times New Roman"/>
        </w:rPr>
      </w:pPr>
      <w:r w:rsidRPr="006C38E9">
        <w:rPr>
          <w:rFonts w:ascii="Times New Roman" w:hAnsi="Times New Roman" w:cs="Times New Roman"/>
        </w:rPr>
        <w:t>Stimulation of the macro environment can enable organisations to predict the trends that will occur instead of responding to them. It improves the strategic decision-making process through the identification of new market opportunities, the ability to predict regulatory or technological changes, as well as aligning business goals with societal expectations. To marketing strategists, this kind of environmental scanning forms the basis of proactive innovation, mitigating risks, and growth that is sustainable.</w:t>
      </w:r>
    </w:p>
    <w:p w14:paraId="267A1FCE" w14:textId="0EBA3ACC" w:rsidR="00BE13FB" w:rsidRPr="00FE1517" w:rsidRDefault="006C38E9" w:rsidP="006C38E9">
      <w:pPr>
        <w:spacing w:line="360" w:lineRule="auto"/>
        <w:jc w:val="both"/>
        <w:rPr>
          <w:rFonts w:ascii="Times New Roman" w:hAnsi="Times New Roman" w:cs="Times New Roman"/>
          <w:lang w:val="en-IN"/>
        </w:rPr>
      </w:pPr>
      <w:r w:rsidRPr="006C38E9">
        <w:rPr>
          <w:rFonts w:ascii="Times New Roman" w:hAnsi="Times New Roman" w:cs="Times New Roman"/>
        </w:rPr>
        <w:t xml:space="preserve">This report is a critical analysis of the impact of technological and political-legal macro-environment forces on organisations in the automotive industry particularly the different strategic behaviour of pioneers and followers. Pioneers, like Tesla, are an innovator and disruptive technology introducing a new standard of the market, whereas follower firms, e.g. Ford and Volkswagen, optimise existing technologies and make them efficient. </w:t>
      </w:r>
    </w:p>
    <w:p w14:paraId="3622D83C" w14:textId="1CA29C89" w:rsidR="00BE13FB" w:rsidRPr="00FE1517" w:rsidRDefault="00BE13FB" w:rsidP="00314039">
      <w:pPr>
        <w:pStyle w:val="Heading1"/>
        <w:rPr>
          <w:lang w:val="en-IN"/>
        </w:rPr>
      </w:pPr>
      <w:bookmarkStart w:id="1" w:name="_Toc213676662"/>
      <w:r w:rsidRPr="00FE1517">
        <w:rPr>
          <w:lang w:val="en-IN"/>
        </w:rPr>
        <w:t xml:space="preserve">2. </w:t>
      </w:r>
      <w:r w:rsidR="00314039" w:rsidRPr="00314039">
        <w:t>Task 1: Critical Analysis of the Macro Marketing Environment</w:t>
      </w:r>
      <w:bookmarkEnd w:id="1"/>
    </w:p>
    <w:p w14:paraId="6951C22D" w14:textId="0B136158" w:rsidR="00314039" w:rsidRPr="00314039" w:rsidRDefault="00314039" w:rsidP="00314039">
      <w:pPr>
        <w:pStyle w:val="Heading2"/>
      </w:pPr>
      <w:bookmarkStart w:id="2" w:name="_Toc211437171"/>
      <w:bookmarkStart w:id="3" w:name="_Toc213676663"/>
      <w:r w:rsidRPr="00314039">
        <w:t>2.1 Overview of the Macro Marketing Environment</w:t>
      </w:r>
      <w:bookmarkEnd w:id="2"/>
      <w:bookmarkEnd w:id="3"/>
    </w:p>
    <w:p w14:paraId="3914C20C" w14:textId="6AFAEED5" w:rsidR="007C47DF" w:rsidRDefault="007C47DF" w:rsidP="007C47DF">
      <w:pPr>
        <w:spacing w:line="360" w:lineRule="auto"/>
        <w:jc w:val="both"/>
        <w:rPr>
          <w:rFonts w:ascii="Times New Roman" w:hAnsi="Times New Roman" w:cs="Times New Roman"/>
          <w:lang w:val="en-IN"/>
        </w:rPr>
      </w:pPr>
      <w:r w:rsidRPr="007C47DF">
        <w:rPr>
          <w:rFonts w:ascii="Times New Roman" w:hAnsi="Times New Roman" w:cs="Times New Roman"/>
          <w:lang w:val="en-IN"/>
        </w:rPr>
        <w:t>The macro marketing environment comprises of external forces which act upon the strategic choices of an organisation and its success in the long run. It is essential to marketing strategy as it determines the environment within which the firms will compete, consumer expectations, and the marketing goals will be possible or not</w:t>
      </w:r>
      <w:r w:rsidR="004A23F6" w:rsidRPr="004A23F6">
        <w:t xml:space="preserve"> </w:t>
      </w:r>
      <w:r w:rsidR="004A23F6" w:rsidRPr="004A23F6">
        <w:rPr>
          <w:rFonts w:ascii="Times New Roman" w:hAnsi="Times New Roman" w:cs="Times New Roman"/>
        </w:rPr>
        <w:t>(Batat, 2024)</w:t>
      </w:r>
      <w:r w:rsidRPr="007C47DF">
        <w:rPr>
          <w:rFonts w:ascii="Times New Roman" w:hAnsi="Times New Roman" w:cs="Times New Roman"/>
          <w:lang w:val="en-IN"/>
        </w:rPr>
        <w:t xml:space="preserve">. Macro-environmental factors unlike internal or micro factors are external and </w:t>
      </w:r>
      <w:r w:rsidR="00B7242A" w:rsidRPr="007C47DF">
        <w:rPr>
          <w:rFonts w:ascii="Times New Roman" w:hAnsi="Times New Roman" w:cs="Times New Roman"/>
          <w:lang w:val="en-IN"/>
        </w:rPr>
        <w:t>cannot</w:t>
      </w:r>
      <w:r w:rsidRPr="007C47DF">
        <w:rPr>
          <w:rFonts w:ascii="Times New Roman" w:hAnsi="Times New Roman" w:cs="Times New Roman"/>
          <w:lang w:val="en-IN"/>
        </w:rPr>
        <w:t xml:space="preserve"> be controlled or manipulated by the firm. </w:t>
      </w:r>
    </w:p>
    <w:p w14:paraId="6C65157B" w14:textId="76947832" w:rsidR="007C47DF" w:rsidRDefault="007C47DF" w:rsidP="007C47DF">
      <w:pPr>
        <w:spacing w:line="360" w:lineRule="auto"/>
        <w:jc w:val="both"/>
        <w:rPr>
          <w:rFonts w:ascii="Times New Roman" w:hAnsi="Times New Roman" w:cs="Times New Roman"/>
          <w:lang w:val="en-IN"/>
        </w:rPr>
      </w:pPr>
      <w:r w:rsidRPr="007C47DF">
        <w:rPr>
          <w:rFonts w:ascii="Times New Roman" w:hAnsi="Times New Roman" w:cs="Times New Roman"/>
          <w:lang w:val="en-IN"/>
        </w:rPr>
        <w:t xml:space="preserve">One of the best-known frameworks that are applied to the macro environment is PESTEL, which involves Political, Economic, Social, Technological, Environmental, and Legal. All </w:t>
      </w:r>
      <w:r w:rsidRPr="007C47DF">
        <w:rPr>
          <w:rFonts w:ascii="Times New Roman" w:hAnsi="Times New Roman" w:cs="Times New Roman"/>
          <w:lang w:val="en-IN"/>
        </w:rPr>
        <w:lastRenderedPageBreak/>
        <w:t>these dimensions play a very huge role in strategic marketing. Regulation is framed by political and legal factors and influences the compliance requirements. Consumer purchasing power and market stability are dictated by the economic factors. Cultural values and consumption trends are based on social factors. Innovation and changes are motivated by technological advancements</w:t>
      </w:r>
      <w:r w:rsidR="004A23F6" w:rsidRPr="004A23F6">
        <w:t xml:space="preserve"> </w:t>
      </w:r>
      <w:r w:rsidR="004A23F6" w:rsidRPr="004A23F6">
        <w:rPr>
          <w:rFonts w:ascii="Times New Roman" w:hAnsi="Times New Roman" w:cs="Times New Roman"/>
        </w:rPr>
        <w:t>(Bhattacharyya et al., 2021)</w:t>
      </w:r>
      <w:r w:rsidRPr="007C47DF">
        <w:rPr>
          <w:rFonts w:ascii="Times New Roman" w:hAnsi="Times New Roman" w:cs="Times New Roman"/>
          <w:lang w:val="en-IN"/>
        </w:rPr>
        <w:t>. Operational legitimacy as stipulated by legal frameworks and environmental concerns with a focus on sustainability are seen as imperatives.</w:t>
      </w:r>
    </w:p>
    <w:p w14:paraId="3A28F461" w14:textId="77777777" w:rsidR="00257EB4" w:rsidRPr="00E52917" w:rsidRDefault="00257EB4" w:rsidP="00257EB4">
      <w:pPr>
        <w:spacing w:line="360" w:lineRule="auto"/>
        <w:jc w:val="center"/>
        <w:rPr>
          <w:rFonts w:ascii="Times New Roman" w:hAnsi="Times New Roman" w:cs="Times New Roman"/>
          <w:b/>
          <w:bCs/>
          <w:lang w:val="en-IN"/>
        </w:rPr>
      </w:pPr>
      <w:r w:rsidRPr="00E52917">
        <w:rPr>
          <w:b/>
          <w:bCs/>
          <w:noProof/>
        </w:rPr>
        <w:drawing>
          <wp:inline distT="0" distB="0" distL="0" distR="0" wp14:anchorId="42287A51" wp14:editId="25E943E1">
            <wp:extent cx="5731510" cy="3453130"/>
            <wp:effectExtent l="0" t="0" r="2540" b="0"/>
            <wp:docPr id="94315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15106" name=""/>
                    <pic:cNvPicPr/>
                  </pic:nvPicPr>
                  <pic:blipFill>
                    <a:blip r:embed="rId9"/>
                    <a:stretch>
                      <a:fillRect/>
                    </a:stretch>
                  </pic:blipFill>
                  <pic:spPr>
                    <a:xfrm>
                      <a:off x="0" y="0"/>
                      <a:ext cx="5731510" cy="3453130"/>
                    </a:xfrm>
                    <a:prstGeom prst="rect">
                      <a:avLst/>
                    </a:prstGeom>
                  </pic:spPr>
                </pic:pic>
              </a:graphicData>
            </a:graphic>
          </wp:inline>
        </w:drawing>
      </w:r>
    </w:p>
    <w:p w14:paraId="50340ECB" w14:textId="77777777" w:rsidR="00257EB4" w:rsidRDefault="00257EB4" w:rsidP="00257EB4">
      <w:pPr>
        <w:spacing w:line="360" w:lineRule="auto"/>
        <w:jc w:val="center"/>
        <w:rPr>
          <w:rFonts w:ascii="Times New Roman" w:hAnsi="Times New Roman" w:cs="Times New Roman"/>
          <w:b/>
          <w:bCs/>
          <w:lang w:val="en-IN"/>
        </w:rPr>
      </w:pPr>
      <w:r w:rsidRPr="00E52917">
        <w:rPr>
          <w:rFonts w:ascii="Times New Roman" w:hAnsi="Times New Roman" w:cs="Times New Roman"/>
          <w:b/>
          <w:bCs/>
          <w:lang w:val="en-IN"/>
        </w:rPr>
        <w:t>Figure 1: PESTEL analysis</w:t>
      </w:r>
    </w:p>
    <w:p w14:paraId="38D40DFA" w14:textId="00DDC909" w:rsidR="00257EB4" w:rsidRPr="007C47DF" w:rsidRDefault="00257EB4" w:rsidP="00257EB4">
      <w:pPr>
        <w:spacing w:line="360" w:lineRule="auto"/>
        <w:jc w:val="center"/>
        <w:rPr>
          <w:rFonts w:ascii="Times New Roman" w:hAnsi="Times New Roman" w:cs="Times New Roman"/>
          <w:lang w:val="en-IN"/>
        </w:rPr>
      </w:pPr>
      <w:r>
        <w:rPr>
          <w:rFonts w:ascii="Times New Roman" w:hAnsi="Times New Roman" w:cs="Times New Roman"/>
          <w:lang w:val="en-IN"/>
        </w:rPr>
        <w:t>(Source: self-created)</w:t>
      </w:r>
    </w:p>
    <w:p w14:paraId="2D121E12" w14:textId="51809DF9" w:rsidR="00BE13FB" w:rsidRPr="00FE1517" w:rsidRDefault="007C47DF" w:rsidP="007C47DF">
      <w:pPr>
        <w:spacing w:line="360" w:lineRule="auto"/>
        <w:jc w:val="both"/>
        <w:rPr>
          <w:rFonts w:ascii="Times New Roman" w:hAnsi="Times New Roman" w:cs="Times New Roman"/>
          <w:lang w:val="en-IN"/>
        </w:rPr>
      </w:pPr>
      <w:r w:rsidRPr="007C47DF">
        <w:rPr>
          <w:rFonts w:ascii="Times New Roman" w:hAnsi="Times New Roman" w:cs="Times New Roman"/>
          <w:lang w:val="en-IN"/>
        </w:rPr>
        <w:t>Macro environment is volatile in the automotive industry. The technological environment has been re-invented through electrification, automation and connectivity, and the political and legal environment has been enforced on the world through global efforts on carbon reduction and sustainability. Consumer behaviour and industrial competition is reformed through trade dynamics, environmental activism, and digital transformation</w:t>
      </w:r>
      <w:r w:rsidR="004A23F6" w:rsidRPr="004A23F6">
        <w:t xml:space="preserve"> </w:t>
      </w:r>
      <w:r w:rsidR="004A23F6" w:rsidRPr="004A23F6">
        <w:rPr>
          <w:rFonts w:ascii="Times New Roman" w:hAnsi="Times New Roman" w:cs="Times New Roman"/>
        </w:rPr>
        <w:t>(Capatina, Bleoju and Kalisz, 2024)</w:t>
      </w:r>
      <w:r w:rsidRPr="007C47DF">
        <w:rPr>
          <w:rFonts w:ascii="Times New Roman" w:hAnsi="Times New Roman" w:cs="Times New Roman"/>
          <w:lang w:val="en-IN"/>
        </w:rPr>
        <w:t>. To such innovators like Tesla, this environment presents a scope that has never been witnessed before to spearhead innovation and redefine what is considered normal in the market. It is a challenge and an opportunity to the followers (the Ford and Volkswagen) to reposition their brands and embrace sustainable technologies</w:t>
      </w:r>
      <w:r w:rsidR="004A23F6" w:rsidRPr="004A23F6">
        <w:t xml:space="preserve"> </w:t>
      </w:r>
      <w:r w:rsidR="004A23F6" w:rsidRPr="004A23F6">
        <w:rPr>
          <w:rFonts w:ascii="Times New Roman" w:hAnsi="Times New Roman" w:cs="Times New Roman"/>
        </w:rPr>
        <w:t>(Da Silva and Castañeda-Ayarza, 2021)</w:t>
      </w:r>
      <w:r w:rsidRPr="007C47DF">
        <w:rPr>
          <w:rFonts w:ascii="Times New Roman" w:hAnsi="Times New Roman" w:cs="Times New Roman"/>
          <w:lang w:val="en-IN"/>
        </w:rPr>
        <w:t xml:space="preserve">. </w:t>
      </w:r>
    </w:p>
    <w:p w14:paraId="6436616B" w14:textId="0BC9C93D" w:rsidR="00BE13FB" w:rsidRPr="00314039" w:rsidRDefault="00314039" w:rsidP="00314039">
      <w:pPr>
        <w:pStyle w:val="Heading2"/>
      </w:pPr>
      <w:bookmarkStart w:id="4" w:name="_Toc211437172"/>
      <w:bookmarkStart w:id="5" w:name="_Toc213676664"/>
      <w:r w:rsidRPr="00314039">
        <w:lastRenderedPageBreak/>
        <w:t>2.2 Selection of Two External Macro Marketing Actors</w:t>
      </w:r>
      <w:bookmarkEnd w:id="4"/>
      <w:bookmarkEnd w:id="5"/>
    </w:p>
    <w:p w14:paraId="15442316" w14:textId="725E394D" w:rsidR="00BE13FB" w:rsidRPr="00FE1517" w:rsidRDefault="00BE13FB" w:rsidP="00FE1517">
      <w:pPr>
        <w:spacing w:line="360" w:lineRule="auto"/>
        <w:jc w:val="both"/>
        <w:rPr>
          <w:rFonts w:ascii="Times New Roman" w:hAnsi="Times New Roman" w:cs="Times New Roman"/>
          <w:b/>
          <w:bCs/>
          <w:lang w:val="en-IN"/>
        </w:rPr>
      </w:pPr>
      <w:r w:rsidRPr="00FE1517">
        <w:rPr>
          <w:rFonts w:ascii="Times New Roman" w:hAnsi="Times New Roman" w:cs="Times New Roman"/>
          <w:b/>
          <w:bCs/>
          <w:lang w:val="en-IN"/>
        </w:rPr>
        <w:t>Technological Environment</w:t>
      </w:r>
    </w:p>
    <w:p w14:paraId="70CA62B7" w14:textId="77777777" w:rsidR="007C47DF" w:rsidRPr="007C47DF" w:rsidRDefault="007C47DF" w:rsidP="007C47DF">
      <w:pPr>
        <w:spacing w:line="360" w:lineRule="auto"/>
        <w:jc w:val="both"/>
        <w:rPr>
          <w:rFonts w:ascii="Times New Roman" w:hAnsi="Times New Roman" w:cs="Times New Roman"/>
          <w:lang w:val="en-IN"/>
        </w:rPr>
      </w:pPr>
      <w:r w:rsidRPr="007C47DF">
        <w:rPr>
          <w:rFonts w:ascii="Times New Roman" w:hAnsi="Times New Roman" w:cs="Times New Roman"/>
          <w:lang w:val="en-IN"/>
        </w:rPr>
        <w:t>The contemporary automotive sector has been characterised by technological change as the force. The fast development of electric vehicle (EV), battery performance, autonomous driving, and digital connectivity have changed the production, marketing, and consumption of cars. Technology is not only a catalyst of disruption, but also a platform of sustainable advantage. It defines the product performance, consumer perception of value and general market competition direction.</w:t>
      </w:r>
    </w:p>
    <w:p w14:paraId="1F39ED36" w14:textId="37A95BE3" w:rsidR="007C47DF" w:rsidRPr="007C47DF" w:rsidRDefault="007C47DF" w:rsidP="007C47DF">
      <w:pPr>
        <w:spacing w:line="360" w:lineRule="auto"/>
        <w:jc w:val="both"/>
        <w:rPr>
          <w:rFonts w:ascii="Times New Roman" w:hAnsi="Times New Roman" w:cs="Times New Roman"/>
          <w:lang w:val="en-IN"/>
        </w:rPr>
      </w:pPr>
      <w:r w:rsidRPr="007C47DF">
        <w:rPr>
          <w:rFonts w:ascii="Times New Roman" w:hAnsi="Times New Roman" w:cs="Times New Roman"/>
          <w:lang w:val="en-IN"/>
        </w:rPr>
        <w:t>Technological innovation is the main part of the strategic identity of such innovative companies like Tesla</w:t>
      </w:r>
      <w:r w:rsidR="004A23F6" w:rsidRPr="004A23F6">
        <w:t xml:space="preserve"> </w:t>
      </w:r>
      <w:r w:rsidR="004A23F6" w:rsidRPr="004A23F6">
        <w:rPr>
          <w:rFonts w:ascii="Times New Roman" w:hAnsi="Times New Roman" w:cs="Times New Roman"/>
        </w:rPr>
        <w:t>(Dahlquist and Lehnert, 2023)</w:t>
      </w:r>
      <w:r w:rsidRPr="007C47DF">
        <w:rPr>
          <w:rFonts w:ascii="Times New Roman" w:hAnsi="Times New Roman" w:cs="Times New Roman"/>
          <w:lang w:val="en-IN"/>
        </w:rPr>
        <w:t>. Tesla has invested in battery technology, AI autonomous systems, and integrated software ecosystems to establish itself as a technological leader, as opposed to a conventional automaker. Nonetheless, it has significant threats as well. The economic and operational cost of enduring innovation is huge and the rate of technological change makes one more prone to obsolescence</w:t>
      </w:r>
      <w:r w:rsidR="004A23F6" w:rsidRPr="004A23F6">
        <w:t xml:space="preserve"> </w:t>
      </w:r>
      <w:r w:rsidR="004A23F6" w:rsidRPr="004A23F6">
        <w:rPr>
          <w:rFonts w:ascii="Times New Roman" w:hAnsi="Times New Roman" w:cs="Times New Roman"/>
        </w:rPr>
        <w:t>(Gini and Agala, 2023)</w:t>
      </w:r>
      <w:r w:rsidRPr="007C47DF">
        <w:rPr>
          <w:rFonts w:ascii="Times New Roman" w:hAnsi="Times New Roman" w:cs="Times New Roman"/>
          <w:lang w:val="en-IN"/>
        </w:rPr>
        <w:t xml:space="preserve">. </w:t>
      </w:r>
    </w:p>
    <w:p w14:paraId="0C4DE54C" w14:textId="7736ECB4" w:rsidR="007C47DF" w:rsidRDefault="007C47DF" w:rsidP="007C47DF">
      <w:pPr>
        <w:spacing w:line="360" w:lineRule="auto"/>
        <w:jc w:val="both"/>
        <w:rPr>
          <w:rFonts w:ascii="Times New Roman" w:hAnsi="Times New Roman" w:cs="Times New Roman"/>
          <w:lang w:val="en-IN"/>
        </w:rPr>
      </w:pPr>
      <w:r w:rsidRPr="007C47DF">
        <w:rPr>
          <w:rFonts w:ascii="Times New Roman" w:hAnsi="Times New Roman" w:cs="Times New Roman"/>
          <w:lang w:val="en-IN"/>
        </w:rPr>
        <w:t>Follower organisations like Ford, Volkswagen and Toyota do not take the same approach to a technological change. They use their size, well-developed supply chains, and brand equity to expand into the EV market when technological viability has been established. Their prospects are in the success and failure of pioneers to enable them minimise the uncertainty and concentrate on effective implementation</w:t>
      </w:r>
      <w:r w:rsidR="004A23F6" w:rsidRPr="004A23F6">
        <w:t xml:space="preserve"> </w:t>
      </w:r>
      <w:r w:rsidR="004A23F6" w:rsidRPr="004A23F6">
        <w:rPr>
          <w:rFonts w:ascii="Times New Roman" w:hAnsi="Times New Roman" w:cs="Times New Roman"/>
        </w:rPr>
        <w:t>(Gomez, Perez-Aradros and Salazar, 2022)</w:t>
      </w:r>
      <w:r w:rsidRPr="007C47DF">
        <w:rPr>
          <w:rFonts w:ascii="Times New Roman" w:hAnsi="Times New Roman" w:cs="Times New Roman"/>
          <w:lang w:val="en-IN"/>
        </w:rPr>
        <w:t xml:space="preserve">. </w:t>
      </w:r>
    </w:p>
    <w:p w14:paraId="71C007B4" w14:textId="119FC501" w:rsidR="00BE13FB" w:rsidRDefault="007C47DF" w:rsidP="007C47DF">
      <w:pPr>
        <w:spacing w:line="360" w:lineRule="auto"/>
        <w:jc w:val="both"/>
        <w:rPr>
          <w:rFonts w:ascii="Times New Roman" w:hAnsi="Times New Roman" w:cs="Times New Roman"/>
          <w:lang w:val="en-IN"/>
        </w:rPr>
      </w:pPr>
      <w:r w:rsidRPr="007C47DF">
        <w:rPr>
          <w:rFonts w:ascii="Times New Roman" w:hAnsi="Times New Roman" w:cs="Times New Roman"/>
          <w:lang w:val="en-IN"/>
        </w:rPr>
        <w:t xml:space="preserve">The diffusion of innovation is used to explain the way in which the benefits of technology improve with time. The initial adopters will spur market recognition and acceptance, but once this process picks up pace, competitiveness moves to those companies with the ability to produce products in bulk and offer them at scale. The same trend could be observed in the EV market, where the multi-billion-euro investment in electrification and platform sharing by Volkswagen is expected to fill the gap to Tesla. The harder the diffusion of technologies, the heavier the competition, and the innovators should keep innovating to remain a leader. </w:t>
      </w:r>
    </w:p>
    <w:p w14:paraId="1FA26CBE" w14:textId="77777777" w:rsidR="00B26998" w:rsidRPr="004D61D7" w:rsidRDefault="00B26998" w:rsidP="00B26998">
      <w:pPr>
        <w:spacing w:line="360" w:lineRule="auto"/>
        <w:jc w:val="center"/>
        <w:rPr>
          <w:rFonts w:ascii="Times New Roman" w:hAnsi="Times New Roman" w:cs="Times New Roman"/>
          <w:b/>
          <w:bCs/>
          <w:lang w:val="en-IN"/>
        </w:rPr>
      </w:pPr>
      <w:r w:rsidRPr="004D61D7">
        <w:rPr>
          <w:b/>
          <w:bCs/>
          <w:noProof/>
        </w:rPr>
        <w:lastRenderedPageBreak/>
        <w:drawing>
          <wp:inline distT="0" distB="0" distL="0" distR="0" wp14:anchorId="7236F1C8" wp14:editId="53E1751F">
            <wp:extent cx="5731510" cy="2295525"/>
            <wp:effectExtent l="19050" t="19050" r="21590" b="28575"/>
            <wp:docPr id="1090075558" name="Picture 1" descr="What is the The Diffusion of Innovation model? | Smart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What is the The Diffusion of Innovation model? | Smart Insights"/>
                    <pic:cNvPicPr>
                      <a:picLocks noChangeAspect="1" noChangeArrowheads="1"/>
                    </pic:cNvPicPr>
                  </pic:nvPicPr>
                  <pic:blipFill rotWithShape="1">
                    <a:blip r:embed="rId10">
                      <a:extLst>
                        <a:ext uri="{28A0092B-C50C-407E-A947-70E740481C1C}">
                          <a14:useLocalDpi xmlns:a14="http://schemas.microsoft.com/office/drawing/2010/main" val="0"/>
                        </a:ext>
                      </a:extLst>
                    </a:blip>
                    <a:srcRect b="15949"/>
                    <a:stretch>
                      <a:fillRect/>
                    </a:stretch>
                  </pic:blipFill>
                  <pic:spPr bwMode="auto">
                    <a:xfrm>
                      <a:off x="0" y="0"/>
                      <a:ext cx="5731510" cy="2295525"/>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35327071" w14:textId="77777777" w:rsidR="00B26998" w:rsidRDefault="00B26998" w:rsidP="00B26998">
      <w:pPr>
        <w:spacing w:line="360" w:lineRule="auto"/>
        <w:jc w:val="center"/>
        <w:rPr>
          <w:rFonts w:ascii="Times New Roman" w:hAnsi="Times New Roman" w:cs="Times New Roman"/>
          <w:b/>
          <w:bCs/>
          <w:lang w:val="en-IN"/>
        </w:rPr>
      </w:pPr>
      <w:r w:rsidRPr="004D61D7">
        <w:rPr>
          <w:rFonts w:ascii="Times New Roman" w:hAnsi="Times New Roman" w:cs="Times New Roman"/>
          <w:b/>
          <w:bCs/>
          <w:lang w:val="en-IN"/>
        </w:rPr>
        <w:t>Figure 2: diffusion of innovation model</w:t>
      </w:r>
    </w:p>
    <w:p w14:paraId="39557CD3" w14:textId="65232C41" w:rsidR="00B26998" w:rsidRPr="00FE1517" w:rsidRDefault="00B26998" w:rsidP="00B26998">
      <w:pPr>
        <w:spacing w:line="360" w:lineRule="auto"/>
        <w:jc w:val="center"/>
        <w:rPr>
          <w:rFonts w:ascii="Times New Roman" w:hAnsi="Times New Roman" w:cs="Times New Roman"/>
          <w:lang w:val="en-IN"/>
        </w:rPr>
      </w:pPr>
      <w:r>
        <w:rPr>
          <w:rFonts w:ascii="Times New Roman" w:hAnsi="Times New Roman" w:cs="Times New Roman"/>
          <w:lang w:val="en-IN"/>
        </w:rPr>
        <w:t xml:space="preserve">(Source: </w:t>
      </w:r>
      <w:r w:rsidRPr="001B78DB">
        <w:rPr>
          <w:rFonts w:ascii="Times New Roman" w:hAnsi="Times New Roman" w:cs="Times New Roman"/>
        </w:rPr>
        <w:t>Kuzior, Arefiev and Poberezhna, 2023)</w:t>
      </w:r>
    </w:p>
    <w:p w14:paraId="3250D26B" w14:textId="23C92600" w:rsidR="00BE13FB" w:rsidRPr="00FE1517" w:rsidRDefault="00BE13FB" w:rsidP="00FE1517">
      <w:pPr>
        <w:spacing w:line="360" w:lineRule="auto"/>
        <w:jc w:val="both"/>
        <w:rPr>
          <w:rFonts w:ascii="Times New Roman" w:hAnsi="Times New Roman" w:cs="Times New Roman"/>
          <w:b/>
          <w:bCs/>
          <w:lang w:val="en-IN"/>
        </w:rPr>
      </w:pPr>
      <w:r w:rsidRPr="00FE1517">
        <w:rPr>
          <w:rFonts w:ascii="Times New Roman" w:hAnsi="Times New Roman" w:cs="Times New Roman"/>
          <w:b/>
          <w:bCs/>
          <w:lang w:val="en-IN"/>
        </w:rPr>
        <w:t>Political–Legal Environment</w:t>
      </w:r>
    </w:p>
    <w:p w14:paraId="4F63DD5D" w14:textId="54B20DBD" w:rsidR="007C47DF" w:rsidRPr="007C47DF" w:rsidRDefault="007C47DF" w:rsidP="007C47DF">
      <w:pPr>
        <w:spacing w:line="360" w:lineRule="auto"/>
        <w:jc w:val="both"/>
        <w:rPr>
          <w:rFonts w:ascii="Times New Roman" w:hAnsi="Times New Roman" w:cs="Times New Roman"/>
          <w:lang w:val="en-IN"/>
        </w:rPr>
      </w:pPr>
      <w:r w:rsidRPr="007C47DF">
        <w:rPr>
          <w:rFonts w:ascii="Times New Roman" w:hAnsi="Times New Roman" w:cs="Times New Roman"/>
          <w:lang w:val="en-IN"/>
        </w:rPr>
        <w:t>The automotive industry in the world is greatly impacted by the political legal environment. It includes the government policies, environmental laws, tax breaks and trade agreements among other countries that together determine the market structure and terms of operation. Political and legal aspects have become instrumental in determining success in a world characterised by climate change and sustainability requirements</w:t>
      </w:r>
      <w:r w:rsidR="00661407" w:rsidRPr="00661407">
        <w:t xml:space="preserve"> </w:t>
      </w:r>
      <w:r w:rsidR="00661407" w:rsidRPr="00661407">
        <w:rPr>
          <w:rFonts w:ascii="Times New Roman" w:hAnsi="Times New Roman" w:cs="Times New Roman"/>
        </w:rPr>
        <w:t>(Pimentel, Bassi-Suter and Didonet, 2024)</w:t>
      </w:r>
      <w:r w:rsidRPr="007C47DF">
        <w:rPr>
          <w:rFonts w:ascii="Times New Roman" w:hAnsi="Times New Roman" w:cs="Times New Roman"/>
          <w:lang w:val="en-IN"/>
        </w:rPr>
        <w:t>. Governments all over the world set high-carbon neutrality goals, tighten emission limits, and provide incentives to speed up the process of switching to electric mobility.</w:t>
      </w:r>
    </w:p>
    <w:p w14:paraId="4530225C" w14:textId="02E976D6" w:rsidR="007C47DF" w:rsidRPr="007C47DF" w:rsidRDefault="007C47DF" w:rsidP="007C47DF">
      <w:pPr>
        <w:spacing w:line="360" w:lineRule="auto"/>
        <w:jc w:val="both"/>
        <w:rPr>
          <w:rFonts w:ascii="Times New Roman" w:hAnsi="Times New Roman" w:cs="Times New Roman"/>
          <w:lang w:val="en-IN"/>
        </w:rPr>
      </w:pPr>
      <w:r w:rsidRPr="007C47DF">
        <w:rPr>
          <w:rFonts w:ascii="Times New Roman" w:hAnsi="Times New Roman" w:cs="Times New Roman"/>
          <w:lang w:val="en-IN"/>
        </w:rPr>
        <w:t>In the case of Tesla, which is among the first companies to develop electric cars, this regulatory tide is both an opportunity and a challenge. Early identification with clean energy policy and EV incentives has offered Tesla a chance to find subsidies, tax deductions, and a sustainability champion image. Tesla was able to position itself actively as aligned with future-oriented policy not only through active establishment of legitimacy in the market but also through impacting regulatory discourse, at least in markets like the United States and the European Union</w:t>
      </w:r>
      <w:r w:rsidR="00661407" w:rsidRPr="00661407">
        <w:t xml:space="preserve"> </w:t>
      </w:r>
      <w:r w:rsidR="00661407" w:rsidRPr="00661407">
        <w:rPr>
          <w:rFonts w:ascii="Times New Roman" w:hAnsi="Times New Roman" w:cs="Times New Roman"/>
        </w:rPr>
        <w:t>(Ruiz-Palomino et al., 2025)</w:t>
      </w:r>
      <w:r w:rsidRPr="007C47DF">
        <w:rPr>
          <w:rFonts w:ascii="Times New Roman" w:hAnsi="Times New Roman" w:cs="Times New Roman"/>
          <w:lang w:val="en-IN"/>
        </w:rPr>
        <w:t xml:space="preserve">. </w:t>
      </w:r>
    </w:p>
    <w:p w14:paraId="62A2FAA3" w14:textId="0A4B397F" w:rsidR="007C47DF" w:rsidRDefault="007C47DF" w:rsidP="007C47DF">
      <w:pPr>
        <w:spacing w:line="360" w:lineRule="auto"/>
        <w:jc w:val="both"/>
        <w:rPr>
          <w:rFonts w:ascii="Times New Roman" w:hAnsi="Times New Roman" w:cs="Times New Roman"/>
          <w:lang w:val="en-IN"/>
        </w:rPr>
      </w:pPr>
      <w:r w:rsidRPr="007C47DF">
        <w:rPr>
          <w:rFonts w:ascii="Times New Roman" w:hAnsi="Times New Roman" w:cs="Times New Roman"/>
          <w:lang w:val="en-IN"/>
        </w:rPr>
        <w:t>The situation is different with follower firms such as Ford, General Motors, and Volkswagen. They usually experience pressure on regulators to get out of internal combustion engines as they deal with old-fashioned production systems and labour forces. In their case, political-legal changes are seen as a threat to settled forms of business and as a chance to reposition themselves due to compliance and innovation</w:t>
      </w:r>
      <w:r w:rsidR="00661407" w:rsidRPr="00661407">
        <w:t xml:space="preserve"> </w:t>
      </w:r>
      <w:r w:rsidR="00661407" w:rsidRPr="00661407">
        <w:rPr>
          <w:rFonts w:ascii="Times New Roman" w:hAnsi="Times New Roman" w:cs="Times New Roman"/>
        </w:rPr>
        <w:t>(Stocker and Erdélyi, 2024)</w:t>
      </w:r>
      <w:r w:rsidRPr="007C47DF">
        <w:rPr>
          <w:rFonts w:ascii="Times New Roman" w:hAnsi="Times New Roman" w:cs="Times New Roman"/>
          <w:lang w:val="en-IN"/>
        </w:rPr>
        <w:t xml:space="preserve">. The subsidies and </w:t>
      </w:r>
      <w:r w:rsidRPr="007C47DF">
        <w:rPr>
          <w:rFonts w:ascii="Times New Roman" w:hAnsi="Times New Roman" w:cs="Times New Roman"/>
          <w:lang w:val="en-IN"/>
        </w:rPr>
        <w:lastRenderedPageBreak/>
        <w:t xml:space="preserve">market incentives to consumers in late stages in markets like China, the EU, and North America enable the late-comers to scale EV manufacturing without bearing the total cost of initial technological experimentation. </w:t>
      </w:r>
    </w:p>
    <w:p w14:paraId="18E675DB" w14:textId="41065D91" w:rsidR="00643167" w:rsidRPr="00643167" w:rsidRDefault="00643167" w:rsidP="00643167">
      <w:pPr>
        <w:pStyle w:val="Heading2"/>
      </w:pPr>
      <w:bookmarkStart w:id="6" w:name="_Toc211437173"/>
      <w:bookmarkStart w:id="7" w:name="_Toc213676665"/>
      <w:r w:rsidRPr="00643167">
        <w:t>2.3 Critical Analysis of Each Actor</w:t>
      </w:r>
      <w:bookmarkEnd w:id="6"/>
      <w:bookmarkEnd w:id="7"/>
    </w:p>
    <w:p w14:paraId="49A644D0" w14:textId="7137E3D8" w:rsidR="00D01EB0" w:rsidRPr="007C47DF" w:rsidRDefault="00D01EB0" w:rsidP="007C47DF">
      <w:pPr>
        <w:spacing w:line="360" w:lineRule="auto"/>
        <w:jc w:val="both"/>
        <w:rPr>
          <w:rFonts w:ascii="Times New Roman" w:hAnsi="Times New Roman" w:cs="Times New Roman"/>
          <w:lang w:val="en-IN"/>
        </w:rPr>
      </w:pPr>
      <w:r w:rsidRPr="00D01EB0">
        <w:rPr>
          <w:rFonts w:ascii="Times New Roman" w:hAnsi="Times New Roman" w:cs="Times New Roman"/>
        </w:rPr>
        <w:t>The technological and political–legal environment has name and shame impacts on the pioneers and followers in automotive industry. The change in technology due to the development of electric cars, batteries, and AI gives innovators such as Tesla a chance to be leading in innovations, differentiate their brands, and dominate the market. Nevertheless, there are significant threats of high-costs of R&amp;D and rapid technological obsolescence. Disciples like Ford and Volkswagen have the advantage of seeing proven technologies which they can scale at low cost, but they will lose out on innovation and brand image. Equally, changing political-legal conditions that encourage the adoption of carbon neutrality and clean mobility protect Tesla with its benefits in terms of subsidies and sustainability validity, but exposes the company to oscillating policies and adjustment expenses. Pioneers should be strategic in terms of constant innovation and policy alignment and the followers should stress on adaptive compliance, collaboration, and scalable efficiency to maintain competitiveness in a changing global market.</w:t>
      </w:r>
    </w:p>
    <w:p w14:paraId="6181B9F1" w14:textId="1A15CC14" w:rsidR="00BE13FB" w:rsidRPr="00314039" w:rsidRDefault="007F5555" w:rsidP="00314039">
      <w:pPr>
        <w:pStyle w:val="Heading1"/>
      </w:pPr>
      <w:bookmarkStart w:id="8" w:name="_Toc213676666"/>
      <w:r>
        <w:t xml:space="preserve">3. </w:t>
      </w:r>
      <w:r w:rsidR="00314039" w:rsidRPr="00314039">
        <w:t>Task 2: Strategic Responses of Pioneering and Follower</w:t>
      </w:r>
      <w:r w:rsidR="00314039">
        <w:t xml:space="preserve"> organisation</w:t>
      </w:r>
      <w:bookmarkEnd w:id="8"/>
    </w:p>
    <w:p w14:paraId="48C7348F" w14:textId="44E82831" w:rsidR="00BE13FB" w:rsidRPr="00314039" w:rsidRDefault="00314039" w:rsidP="00314039">
      <w:pPr>
        <w:pStyle w:val="Heading2"/>
        <w:rPr>
          <w:b w:val="0"/>
        </w:rPr>
      </w:pPr>
      <w:bookmarkStart w:id="9" w:name="_Toc211437175"/>
      <w:bookmarkStart w:id="10" w:name="_Toc213676667"/>
      <w:r w:rsidRPr="00314039">
        <w:t>3.1 Pioneering Organisations’ Strategic Responses</w:t>
      </w:r>
      <w:bookmarkEnd w:id="9"/>
      <w:bookmarkEnd w:id="10"/>
    </w:p>
    <w:p w14:paraId="40D10C60" w14:textId="7EAE6A50" w:rsidR="007C47DF" w:rsidRDefault="007C47DF" w:rsidP="007C47DF">
      <w:pPr>
        <w:spacing w:line="360" w:lineRule="auto"/>
        <w:jc w:val="both"/>
        <w:rPr>
          <w:rFonts w:ascii="Times New Roman" w:hAnsi="Times New Roman" w:cs="Times New Roman"/>
          <w:lang w:val="en-IN"/>
        </w:rPr>
      </w:pPr>
      <w:r w:rsidRPr="007C47DF">
        <w:rPr>
          <w:rFonts w:ascii="Times New Roman" w:hAnsi="Times New Roman" w:cs="Times New Roman"/>
          <w:lang w:val="en-IN"/>
        </w:rPr>
        <w:t xml:space="preserve">Technological revolution in the automotive industry is rapidly changing, and requires an ability to be strategically agile and foresight. In the case of visionary companies, technology leadership is the key to their promotional and competitive strategy. Such innovators like Tesla base their strategies on differentiation and create products that contradict current standards and redefine the expectations of consumers. Their strategy is a combination of futuristic research and development together with the entire ecosystem of complementary technologies. As an </w:t>
      </w:r>
      <w:r w:rsidR="007F5555" w:rsidRPr="007C47DF">
        <w:rPr>
          <w:rFonts w:ascii="Times New Roman" w:hAnsi="Times New Roman" w:cs="Times New Roman"/>
          <w:lang w:val="en-IN"/>
        </w:rPr>
        <w:t>example,</w:t>
      </w:r>
      <w:r w:rsidRPr="007C47DF">
        <w:rPr>
          <w:rFonts w:ascii="Times New Roman" w:hAnsi="Times New Roman" w:cs="Times New Roman"/>
          <w:lang w:val="en-IN"/>
        </w:rPr>
        <w:t xml:space="preserve"> Tesla has an ecosystem beyond the vehicles with software-centred performance upgrades, its own battery innovations, and Supercharger network that strengthens the ownership experience</w:t>
      </w:r>
      <w:r w:rsidR="00661407" w:rsidRPr="00661407">
        <w:t xml:space="preserve"> </w:t>
      </w:r>
      <w:r w:rsidR="00661407" w:rsidRPr="00661407">
        <w:rPr>
          <w:rFonts w:ascii="Times New Roman" w:hAnsi="Times New Roman" w:cs="Times New Roman"/>
        </w:rPr>
        <w:t>(Vargo, Wieland and O’Brien, 2023)</w:t>
      </w:r>
      <w:r w:rsidRPr="007C47DF">
        <w:rPr>
          <w:rFonts w:ascii="Times New Roman" w:hAnsi="Times New Roman" w:cs="Times New Roman"/>
          <w:lang w:val="en-IN"/>
        </w:rPr>
        <w:t>. Tesla strengthens brand loyalty through ongoing technological advancements and providing immediate over-the-air updates to improve the brand image of a technology-based disruptor.</w:t>
      </w:r>
    </w:p>
    <w:p w14:paraId="5E8BA13C" w14:textId="097DC52C" w:rsidR="00654702" w:rsidRPr="00654702" w:rsidRDefault="00654702" w:rsidP="00654702">
      <w:pPr>
        <w:spacing w:line="360" w:lineRule="auto"/>
        <w:jc w:val="center"/>
        <w:rPr>
          <w:rFonts w:ascii="Times New Roman" w:hAnsi="Times New Roman" w:cs="Times New Roman"/>
          <w:b/>
          <w:bCs/>
        </w:rPr>
      </w:pPr>
      <w:r w:rsidRPr="00654702">
        <w:rPr>
          <w:rFonts w:ascii="Times New Roman" w:hAnsi="Times New Roman" w:cs="Times New Roman"/>
          <w:noProof/>
        </w:rPr>
        <w:lastRenderedPageBreak/>
        <w:drawing>
          <wp:inline distT="0" distB="0" distL="0" distR="0" wp14:anchorId="0BABF2BB" wp14:editId="382BF5B4">
            <wp:extent cx="5534025" cy="2628900"/>
            <wp:effectExtent l="0" t="0" r="9525" b="0"/>
            <wp:docPr id="11503978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34025" cy="2628900"/>
                    </a:xfrm>
                    <a:prstGeom prst="rect">
                      <a:avLst/>
                    </a:prstGeom>
                    <a:noFill/>
                    <a:ln>
                      <a:noFill/>
                    </a:ln>
                  </pic:spPr>
                </pic:pic>
              </a:graphicData>
            </a:graphic>
          </wp:inline>
        </w:drawing>
      </w:r>
    </w:p>
    <w:p w14:paraId="4E557B95" w14:textId="015BF61B" w:rsidR="00654702" w:rsidRDefault="00654702" w:rsidP="00654702">
      <w:pPr>
        <w:spacing w:line="360" w:lineRule="auto"/>
        <w:jc w:val="center"/>
        <w:rPr>
          <w:rFonts w:ascii="Times New Roman" w:hAnsi="Times New Roman" w:cs="Times New Roman"/>
          <w:b/>
          <w:bCs/>
        </w:rPr>
      </w:pPr>
      <w:r w:rsidRPr="00654702">
        <w:rPr>
          <w:rFonts w:ascii="Times New Roman" w:hAnsi="Times New Roman" w:cs="Times New Roman"/>
          <w:b/>
          <w:bCs/>
          <w:lang w:val="en-IN"/>
        </w:rPr>
        <w:t xml:space="preserve">Figure </w:t>
      </w:r>
      <w:r w:rsidR="004C1DE5">
        <w:rPr>
          <w:rFonts w:ascii="Times New Roman" w:hAnsi="Times New Roman" w:cs="Times New Roman"/>
          <w:b/>
          <w:bCs/>
          <w:lang w:val="en-IN"/>
        </w:rPr>
        <w:t>3</w:t>
      </w:r>
      <w:r w:rsidRPr="00654702">
        <w:rPr>
          <w:rFonts w:ascii="Times New Roman" w:hAnsi="Times New Roman" w:cs="Times New Roman"/>
          <w:b/>
          <w:bCs/>
          <w:lang w:val="en-IN"/>
        </w:rPr>
        <w:t xml:space="preserve">: </w:t>
      </w:r>
      <w:r w:rsidRPr="00654702">
        <w:rPr>
          <w:rFonts w:ascii="Times New Roman" w:hAnsi="Times New Roman" w:cs="Times New Roman"/>
          <w:b/>
          <w:bCs/>
        </w:rPr>
        <w:t>Strategic Positioning Matrix: Pioneers vs. Followers in the Automotive Industry</w:t>
      </w:r>
    </w:p>
    <w:p w14:paraId="3F7D8C4C" w14:textId="783D97F7" w:rsidR="006A2A32" w:rsidRPr="006A2A32" w:rsidRDefault="006A2A32" w:rsidP="00654702">
      <w:pPr>
        <w:spacing w:line="360" w:lineRule="auto"/>
        <w:jc w:val="center"/>
        <w:rPr>
          <w:rFonts w:ascii="Times New Roman" w:hAnsi="Times New Roman" w:cs="Times New Roman"/>
          <w:lang w:val="en-IN"/>
        </w:rPr>
      </w:pPr>
      <w:r>
        <w:rPr>
          <w:rFonts w:ascii="Times New Roman" w:hAnsi="Times New Roman" w:cs="Times New Roman"/>
        </w:rPr>
        <w:t>(Source: self-created)</w:t>
      </w:r>
    </w:p>
    <w:p w14:paraId="2ED48622" w14:textId="5FE806BD" w:rsidR="007C47DF" w:rsidRPr="007C47DF" w:rsidRDefault="007C47DF" w:rsidP="007C47DF">
      <w:pPr>
        <w:spacing w:line="360" w:lineRule="auto"/>
        <w:jc w:val="both"/>
        <w:rPr>
          <w:rFonts w:ascii="Times New Roman" w:hAnsi="Times New Roman" w:cs="Times New Roman"/>
          <w:lang w:val="en-IN"/>
        </w:rPr>
      </w:pPr>
      <w:r w:rsidRPr="007C47DF">
        <w:rPr>
          <w:rFonts w:ascii="Times New Roman" w:hAnsi="Times New Roman" w:cs="Times New Roman"/>
          <w:lang w:val="en-IN"/>
        </w:rPr>
        <w:t>In the case of follower firms, change in technology is a challenge and an opportunity of repositioning. These organisations normally use fast-follower strategy, which enables them to implement and make adjustments to the technologies after they have accepted and adopted them in the market. This makes it less risky as to what outcomes uncertain innovation may bring and it allows more effective resource distribution. Ford is one such firm that has formed partnership with technology conscious companies such as Rivian to get into the world of electric vehicles and ease the process of transitioning to EVs</w:t>
      </w:r>
      <w:r w:rsidR="00661407" w:rsidRPr="00661407">
        <w:t xml:space="preserve"> </w:t>
      </w:r>
      <w:r w:rsidR="00661407" w:rsidRPr="00661407">
        <w:rPr>
          <w:rFonts w:ascii="Times New Roman" w:hAnsi="Times New Roman" w:cs="Times New Roman"/>
        </w:rPr>
        <w:t>(Gini and Agala, 2023)</w:t>
      </w:r>
      <w:r w:rsidRPr="007C47DF">
        <w:rPr>
          <w:rFonts w:ascii="Times New Roman" w:hAnsi="Times New Roman" w:cs="Times New Roman"/>
          <w:lang w:val="en-IN"/>
        </w:rPr>
        <w:t xml:space="preserve">. While Volkswagen has invested enormous resources in coming up with modular electric platforms, Toyota still retains its dominance in the hybrid technology as a transitional innovation. Others tend to engage in innovation that is incremental instead of radical innovation whereby the technology is refined to achieve reliability, affordability, and scalability of the markets. The strategic alliances and acquisitions are important in these efforts, which allow the access to the </w:t>
      </w:r>
      <w:r w:rsidR="00CA79A8" w:rsidRPr="007C47DF">
        <w:rPr>
          <w:rFonts w:ascii="Times New Roman" w:hAnsi="Times New Roman" w:cs="Times New Roman"/>
          <w:lang w:val="en-IN"/>
        </w:rPr>
        <w:t>state-of-the-art</w:t>
      </w:r>
      <w:r w:rsidRPr="007C47DF">
        <w:rPr>
          <w:rFonts w:ascii="Times New Roman" w:hAnsi="Times New Roman" w:cs="Times New Roman"/>
          <w:lang w:val="en-IN"/>
        </w:rPr>
        <w:t xml:space="preserve"> knowledge without the prohibitive cost of in-house research.</w:t>
      </w:r>
    </w:p>
    <w:p w14:paraId="1EC77B90" w14:textId="785DB798" w:rsidR="00BE13FB" w:rsidRPr="00FE1517" w:rsidRDefault="007C47DF" w:rsidP="007C47DF">
      <w:pPr>
        <w:spacing w:line="360" w:lineRule="auto"/>
        <w:jc w:val="both"/>
        <w:rPr>
          <w:rFonts w:ascii="Times New Roman" w:hAnsi="Times New Roman" w:cs="Times New Roman"/>
          <w:lang w:val="en-IN"/>
        </w:rPr>
      </w:pPr>
      <w:r w:rsidRPr="007C47DF">
        <w:rPr>
          <w:rFonts w:ascii="Times New Roman" w:hAnsi="Times New Roman" w:cs="Times New Roman"/>
          <w:lang w:val="en-IN"/>
        </w:rPr>
        <w:t xml:space="preserve">More importantly, the strategic differentiation between pioneers and followers is the proportion of risk and efficiency. Innovation based differentiation, leadership in the market and high degree of uncertainty in a pioneer are the objectives of the pioneers, whereas those of a follower are </w:t>
      </w:r>
      <w:r w:rsidR="00B918C8" w:rsidRPr="007C47DF">
        <w:rPr>
          <w:rFonts w:ascii="Times New Roman" w:hAnsi="Times New Roman" w:cs="Times New Roman"/>
          <w:lang w:val="en-IN"/>
        </w:rPr>
        <w:t>saleability</w:t>
      </w:r>
      <w:r w:rsidRPr="007C47DF">
        <w:rPr>
          <w:rFonts w:ascii="Times New Roman" w:hAnsi="Times New Roman" w:cs="Times New Roman"/>
          <w:lang w:val="en-IN"/>
        </w:rPr>
        <w:t>, cost-effectiveness, and market penetration in large volumes. Pioneers prefer to be diverse and innovate product development in terms of strategy marketing, where they can enter or develop new markets</w:t>
      </w:r>
      <w:r w:rsidR="00661407" w:rsidRPr="00661407">
        <w:t xml:space="preserve"> </w:t>
      </w:r>
      <w:r w:rsidR="00661407" w:rsidRPr="00661407">
        <w:rPr>
          <w:rFonts w:ascii="Times New Roman" w:hAnsi="Times New Roman" w:cs="Times New Roman"/>
        </w:rPr>
        <w:t>(Da Silva and Castañeda-Ayarza, 2021)</w:t>
      </w:r>
      <w:r w:rsidRPr="007C47DF">
        <w:rPr>
          <w:rFonts w:ascii="Times New Roman" w:hAnsi="Times New Roman" w:cs="Times New Roman"/>
          <w:lang w:val="en-IN"/>
        </w:rPr>
        <w:t xml:space="preserve">. The followers, in turn, </w:t>
      </w:r>
      <w:r w:rsidRPr="007C47DF">
        <w:rPr>
          <w:rFonts w:ascii="Times New Roman" w:hAnsi="Times New Roman" w:cs="Times New Roman"/>
          <w:lang w:val="en-IN"/>
        </w:rPr>
        <w:lastRenderedPageBreak/>
        <w:t>are focused on market penetration and product enhancement, which makes them relevant to competition due to adaptation. As the digital marketing and data analytics have emerged, followers have been utilising technology to bridge the differences in their perceptions with pioneers. By engaging in personalised marketing efforts, online interaction, and product refinements that are based on data, the follower firms can come into closer contact with consumers and create the perception of innovation and responsiveness despite not being the first to market the goods or services.</w:t>
      </w:r>
    </w:p>
    <w:p w14:paraId="65DBFA62" w14:textId="21F51057" w:rsidR="00BE13FB" w:rsidRPr="00314039" w:rsidRDefault="00314039" w:rsidP="00314039">
      <w:pPr>
        <w:pStyle w:val="Heading2"/>
        <w:rPr>
          <w:b w:val="0"/>
        </w:rPr>
      </w:pPr>
      <w:bookmarkStart w:id="11" w:name="_Toc211437176"/>
      <w:bookmarkStart w:id="12" w:name="_Toc213676668"/>
      <w:r w:rsidRPr="00314039">
        <w:t>3.</w:t>
      </w:r>
      <w:r>
        <w:t>2</w:t>
      </w:r>
      <w:r w:rsidRPr="00314039">
        <w:t xml:space="preserve"> Follower Organisations’ Strategic Responses</w:t>
      </w:r>
      <w:bookmarkEnd w:id="11"/>
      <w:bookmarkEnd w:id="12"/>
    </w:p>
    <w:p w14:paraId="41AD35C6" w14:textId="21632B30" w:rsidR="007C47DF" w:rsidRPr="007C47DF" w:rsidRDefault="007C47DF" w:rsidP="007C47DF">
      <w:pPr>
        <w:spacing w:line="360" w:lineRule="auto"/>
        <w:jc w:val="both"/>
        <w:rPr>
          <w:rFonts w:ascii="Times New Roman" w:hAnsi="Times New Roman" w:cs="Times New Roman"/>
          <w:lang w:val="en-IN"/>
        </w:rPr>
      </w:pPr>
      <w:r w:rsidRPr="007C47DF">
        <w:rPr>
          <w:rFonts w:ascii="Times New Roman" w:hAnsi="Times New Roman" w:cs="Times New Roman"/>
          <w:lang w:val="en-IN"/>
        </w:rPr>
        <w:t>The politics and law environment that the automotive companies live in is experiencing a radical shift, especially because of the global sustainability goals and environmental laws. The innovator companies have addressed these developments by taking the initiative to engage directly with policy-makers and aligning their strategies with regulation priorities. Instead of just abiding by the established laws, innovators tend to foresee the future direction of the policies and establish themselves as stakeholders in its development</w:t>
      </w:r>
      <w:r w:rsidR="00661407" w:rsidRPr="00661407">
        <w:t xml:space="preserve"> </w:t>
      </w:r>
      <w:r w:rsidR="00661407" w:rsidRPr="00661407">
        <w:rPr>
          <w:rFonts w:ascii="Times New Roman" w:hAnsi="Times New Roman" w:cs="Times New Roman"/>
        </w:rPr>
        <w:t>(Bhattacharyya et al., 2021)</w:t>
      </w:r>
      <w:r w:rsidRPr="007C47DF">
        <w:rPr>
          <w:rFonts w:ascii="Times New Roman" w:hAnsi="Times New Roman" w:cs="Times New Roman"/>
          <w:lang w:val="en-IN"/>
        </w:rPr>
        <w:t xml:space="preserve">. A great example of this strategy is Tesla that actively participates in the policy discussion and tries to affect the change of taxes on electric vehicles and emission standards. Its external communication accentuates the adherence to global sustainability missions which make the company not only a manufacturer of cars but also a movement towards a more sustainable and clean future. By making sustainability a part of its brand, Tesla turns political compliance into an effective marketing tool and the customers trust the company as well as the investors. This is a </w:t>
      </w:r>
      <w:r w:rsidR="00B918C8" w:rsidRPr="007C47DF">
        <w:rPr>
          <w:rFonts w:ascii="Times New Roman" w:hAnsi="Times New Roman" w:cs="Times New Roman"/>
          <w:lang w:val="en-IN"/>
        </w:rPr>
        <w:t>pre-emptive</w:t>
      </w:r>
      <w:r w:rsidRPr="007C47DF">
        <w:rPr>
          <w:rFonts w:ascii="Times New Roman" w:hAnsi="Times New Roman" w:cs="Times New Roman"/>
          <w:lang w:val="en-IN"/>
        </w:rPr>
        <w:t xml:space="preserve"> position that enables the pioneers to retain strategic flexibility as well as supporting their reputation of being the leaders of change in the industry.</w:t>
      </w:r>
    </w:p>
    <w:p w14:paraId="2CF4C0DA" w14:textId="4C0502E6" w:rsidR="007C47DF" w:rsidRPr="007C47DF" w:rsidRDefault="007C47DF" w:rsidP="007C47DF">
      <w:pPr>
        <w:spacing w:line="360" w:lineRule="auto"/>
        <w:jc w:val="both"/>
        <w:rPr>
          <w:rFonts w:ascii="Times New Roman" w:hAnsi="Times New Roman" w:cs="Times New Roman"/>
          <w:lang w:val="en-IN"/>
        </w:rPr>
      </w:pPr>
      <w:r w:rsidRPr="007C47DF">
        <w:rPr>
          <w:rFonts w:ascii="Times New Roman" w:hAnsi="Times New Roman" w:cs="Times New Roman"/>
          <w:lang w:val="en-IN"/>
        </w:rPr>
        <w:t>Follower firms, in their turn, are more likely to be compliance-based and adaptive. With long histories of the industry that are attached to the internal combustion technology, the companies have to cope with the complicated transition of operations, supply chains and product portfolios to suit the new legal requirements</w:t>
      </w:r>
      <w:r w:rsidR="00A70E5A" w:rsidRPr="00A70E5A">
        <w:t xml:space="preserve"> </w:t>
      </w:r>
      <w:r w:rsidR="00A70E5A" w:rsidRPr="00A70E5A">
        <w:rPr>
          <w:rFonts w:ascii="Times New Roman" w:hAnsi="Times New Roman" w:cs="Times New Roman"/>
        </w:rPr>
        <w:t>(Batat, 2024)</w:t>
      </w:r>
      <w:r w:rsidRPr="007C47DF">
        <w:rPr>
          <w:rFonts w:ascii="Times New Roman" w:hAnsi="Times New Roman" w:cs="Times New Roman"/>
          <w:lang w:val="en-IN"/>
        </w:rPr>
        <w:t xml:space="preserve">. The example of Volkswagen is its campaign called Way to Zero, which was introduced as an all-encompassing approach to regaining the credibility of the company that was marred with an emissions scandal and showcasing its interest in being carbon-neutral. Equally, the localisation plans have been essential to meet the regional manufacturing and sourcing standards, especially in the context of new laws like the U.S. Inflation Reduction Act that favours domestic manufacturing. Corporate social responsibility and green marketing are also employed by the followers in order to be accountable, stating the measurable progress of achieving the sustainability aims. Such </w:t>
      </w:r>
      <w:r w:rsidRPr="007C47DF">
        <w:rPr>
          <w:rFonts w:ascii="Times New Roman" w:hAnsi="Times New Roman" w:cs="Times New Roman"/>
          <w:lang w:val="en-IN"/>
        </w:rPr>
        <w:lastRenderedPageBreak/>
        <w:t>initiatives do not only fulfil the legal requirements but also contribute to the re-positioning of old brands as socially conscious and progressive organisations.</w:t>
      </w:r>
    </w:p>
    <w:p w14:paraId="359C7153" w14:textId="5D527182" w:rsidR="00BE13FB" w:rsidRPr="00FE1517" w:rsidRDefault="007C47DF" w:rsidP="007C47DF">
      <w:pPr>
        <w:spacing w:line="360" w:lineRule="auto"/>
        <w:jc w:val="both"/>
        <w:rPr>
          <w:rFonts w:ascii="Times New Roman" w:hAnsi="Times New Roman" w:cs="Times New Roman"/>
          <w:lang w:val="en-IN"/>
        </w:rPr>
      </w:pPr>
      <w:r w:rsidRPr="007C47DF">
        <w:rPr>
          <w:rFonts w:ascii="Times New Roman" w:hAnsi="Times New Roman" w:cs="Times New Roman"/>
          <w:lang w:val="en-IN"/>
        </w:rPr>
        <w:t xml:space="preserve">The difference in reaction of pioneers and followers brings out more strategic orientations. Pioneers make regulatory change a part of their value proposition, and base their innovation and differentiation on it. The followers, with historical dependencies being more limiting, instead tend to take regulation as a transformational driver and take compliance as a chance to restore trust and </w:t>
      </w:r>
      <w:r w:rsidR="00527DA5" w:rsidRPr="007C47DF">
        <w:rPr>
          <w:rFonts w:ascii="Times New Roman" w:hAnsi="Times New Roman" w:cs="Times New Roman"/>
          <w:lang w:val="en-IN"/>
        </w:rPr>
        <w:t>re-establish</w:t>
      </w:r>
      <w:r w:rsidRPr="007C47DF">
        <w:rPr>
          <w:rFonts w:ascii="Times New Roman" w:hAnsi="Times New Roman" w:cs="Times New Roman"/>
          <w:lang w:val="en-IN"/>
        </w:rPr>
        <w:t xml:space="preserve"> themselves in the market</w:t>
      </w:r>
      <w:r w:rsidR="00A70E5A" w:rsidRPr="00A70E5A">
        <w:t xml:space="preserve"> </w:t>
      </w:r>
      <w:r w:rsidR="00A70E5A" w:rsidRPr="00A70E5A">
        <w:rPr>
          <w:rFonts w:ascii="Times New Roman" w:hAnsi="Times New Roman" w:cs="Times New Roman"/>
        </w:rPr>
        <w:t>(Akaka et al., 2023)</w:t>
      </w:r>
      <w:r w:rsidRPr="007C47DF">
        <w:rPr>
          <w:rFonts w:ascii="Times New Roman" w:hAnsi="Times New Roman" w:cs="Times New Roman"/>
          <w:lang w:val="en-IN"/>
        </w:rPr>
        <w:t xml:space="preserve">. The notion of societal marketing emphasises the way both of these </w:t>
      </w:r>
      <w:r w:rsidR="00A70E5A" w:rsidRPr="007C47DF">
        <w:rPr>
          <w:rFonts w:ascii="Times New Roman" w:hAnsi="Times New Roman" w:cs="Times New Roman"/>
          <w:lang w:val="en-IN"/>
        </w:rPr>
        <w:t>group’s</w:t>
      </w:r>
      <w:r w:rsidRPr="007C47DF">
        <w:rPr>
          <w:rFonts w:ascii="Times New Roman" w:hAnsi="Times New Roman" w:cs="Times New Roman"/>
          <w:lang w:val="en-IN"/>
        </w:rPr>
        <w:t xml:space="preserve"> desire to make profitability and social welfare converge - pioneers by reworking the frontiers on the meaning of innovation and followers by </w:t>
      </w:r>
      <w:r w:rsidR="00527DA5" w:rsidRPr="007C47DF">
        <w:rPr>
          <w:rFonts w:ascii="Times New Roman" w:hAnsi="Times New Roman" w:cs="Times New Roman"/>
          <w:lang w:val="en-IN"/>
        </w:rPr>
        <w:t>re-establishing</w:t>
      </w:r>
      <w:r w:rsidRPr="007C47DF">
        <w:rPr>
          <w:rFonts w:ascii="Times New Roman" w:hAnsi="Times New Roman" w:cs="Times New Roman"/>
          <w:lang w:val="en-IN"/>
        </w:rPr>
        <w:t xml:space="preserve"> legality by a process of ethical congruency. The sustainability of these strategies in the long term is based on the ability to keep on adapting. Innovative leaders should preserve the innovative advantage in the face of stricter regulations and increased pressure, whereas followers have to hasten the change process to prevent becoming outdated. Finally, the winning game of political and legal pressure needs to be foreseen, the genuineness of the brand, and transformation of compliance into consumer trust</w:t>
      </w:r>
      <w:r w:rsidR="00BE13FB" w:rsidRPr="00FE1517">
        <w:rPr>
          <w:rFonts w:ascii="Times New Roman" w:hAnsi="Times New Roman" w:cs="Times New Roman"/>
          <w:lang w:val="en-IN"/>
        </w:rPr>
        <w:t>.</w:t>
      </w:r>
    </w:p>
    <w:p w14:paraId="4DB45185" w14:textId="638AD105" w:rsidR="00BE13FB" w:rsidRPr="00FE1517" w:rsidRDefault="00314039" w:rsidP="00314039">
      <w:pPr>
        <w:pStyle w:val="Heading1"/>
        <w:rPr>
          <w:lang w:val="en-IN"/>
        </w:rPr>
      </w:pPr>
      <w:bookmarkStart w:id="13" w:name="_Toc213676669"/>
      <w:r>
        <w:rPr>
          <w:lang w:val="en-IN"/>
        </w:rPr>
        <w:t>4.</w:t>
      </w:r>
      <w:r w:rsidR="00BE13FB" w:rsidRPr="00FE1517">
        <w:rPr>
          <w:lang w:val="en-IN"/>
        </w:rPr>
        <w:t xml:space="preserve"> Conclusion</w:t>
      </w:r>
      <w:bookmarkEnd w:id="13"/>
    </w:p>
    <w:p w14:paraId="66FD90B3" w14:textId="3887CA53" w:rsidR="006C38E9" w:rsidRPr="006C38E9" w:rsidRDefault="006C38E9" w:rsidP="006C38E9">
      <w:pPr>
        <w:spacing w:line="360" w:lineRule="auto"/>
        <w:jc w:val="both"/>
        <w:rPr>
          <w:rFonts w:ascii="Times New Roman" w:hAnsi="Times New Roman" w:cs="Times New Roman"/>
        </w:rPr>
      </w:pPr>
      <w:r w:rsidRPr="006C38E9">
        <w:rPr>
          <w:rFonts w:ascii="Times New Roman" w:hAnsi="Times New Roman" w:cs="Times New Roman"/>
        </w:rPr>
        <w:t xml:space="preserve">The analysis points out that the automotive business is in an intricate macro marketing environment that is influenced mainly by technology and political-legal environment. These are some of the external forces that generate opportunities and threats to the pioneering company like Tesla and follower organisations like Ford and Volkswagen. Technological innovation creates product differentiation, market disruption, and the establishment of the new consumer </w:t>
      </w:r>
      <w:r w:rsidR="00527DA5" w:rsidRPr="006C38E9">
        <w:rPr>
          <w:rFonts w:ascii="Times New Roman" w:hAnsi="Times New Roman" w:cs="Times New Roman"/>
        </w:rPr>
        <w:t>value;</w:t>
      </w:r>
      <w:r w:rsidRPr="006C38E9">
        <w:rPr>
          <w:rFonts w:ascii="Times New Roman" w:hAnsi="Times New Roman" w:cs="Times New Roman"/>
        </w:rPr>
        <w:t xml:space="preserve"> however, it presents pioneers with the high spending on research and development, swift technological change, and danger of imitation. Conversely, the followers will enjoy certain kinds of uncertainty and economics of scale through embracing established technologies, only to deal with the challenge of breaking the cycle of trying to implement old-fashioned systems and the perception of being un-innovative.</w:t>
      </w:r>
    </w:p>
    <w:p w14:paraId="28A50496" w14:textId="77777777" w:rsidR="006C38E9" w:rsidRPr="006C38E9" w:rsidRDefault="006C38E9" w:rsidP="006C38E9">
      <w:pPr>
        <w:spacing w:line="360" w:lineRule="auto"/>
        <w:jc w:val="both"/>
        <w:rPr>
          <w:rFonts w:ascii="Times New Roman" w:hAnsi="Times New Roman" w:cs="Times New Roman"/>
        </w:rPr>
      </w:pPr>
      <w:r w:rsidRPr="006C38E9">
        <w:rPr>
          <w:rFonts w:ascii="Times New Roman" w:hAnsi="Times New Roman" w:cs="Times New Roman"/>
        </w:rPr>
        <w:t>The rules of competition and strategic legitimacy depend on the political-legal forces such as the global sustainability regulations and the regulations of emission standards. Pioneers are ahead of policy goals, turning compliance into a marketing advantage and the followers use adaptive compliance and restructuring to recover the competitive advantage.</w:t>
      </w:r>
    </w:p>
    <w:p w14:paraId="399BA01D" w14:textId="03E87175" w:rsidR="00BE13FB" w:rsidRDefault="00AB144D" w:rsidP="006C38E9">
      <w:pPr>
        <w:spacing w:line="360" w:lineRule="auto"/>
        <w:jc w:val="both"/>
        <w:rPr>
          <w:rFonts w:ascii="Times New Roman" w:hAnsi="Times New Roman" w:cs="Times New Roman"/>
        </w:rPr>
      </w:pPr>
      <w:r>
        <w:rPr>
          <w:rFonts w:ascii="Times New Roman" w:hAnsi="Times New Roman" w:cs="Times New Roman"/>
        </w:rPr>
        <w:lastRenderedPageBreak/>
        <w:t>I</w:t>
      </w:r>
      <w:r w:rsidR="006C38E9" w:rsidRPr="006C38E9">
        <w:rPr>
          <w:rFonts w:ascii="Times New Roman" w:hAnsi="Times New Roman" w:cs="Times New Roman"/>
        </w:rPr>
        <w:t>t is strategic flexibility and proactive environmental scanning that will make the company successful in this changing environment. Companies have to constantly examine technological and regulatory changes to predict shocks and business strategies and are able to adjust their marketing accordingly. The sustainable advantage will not be based on being the first to innovate but on the capacity of the organisations to combine innovation, adaptability, and the responsibility to the society into their strategies.</w:t>
      </w:r>
    </w:p>
    <w:p w14:paraId="4D5D2AFF" w14:textId="0A4751A8" w:rsidR="00257F27" w:rsidRDefault="00257F27">
      <w:pPr>
        <w:rPr>
          <w:rFonts w:ascii="Times New Roman" w:hAnsi="Times New Roman" w:cs="Times New Roman"/>
        </w:rPr>
      </w:pPr>
      <w:r>
        <w:rPr>
          <w:rFonts w:ascii="Times New Roman" w:hAnsi="Times New Roman" w:cs="Times New Roman"/>
        </w:rPr>
        <w:br w:type="page"/>
      </w:r>
    </w:p>
    <w:p w14:paraId="6D14456A" w14:textId="7D160A4A" w:rsidR="00257F27" w:rsidRDefault="00257F27" w:rsidP="00314039">
      <w:pPr>
        <w:pStyle w:val="Heading1"/>
        <w:rPr>
          <w:lang w:val="en-IN"/>
        </w:rPr>
      </w:pPr>
      <w:bookmarkStart w:id="14" w:name="_Toc213676670"/>
      <w:r>
        <w:rPr>
          <w:lang w:val="en-IN"/>
        </w:rPr>
        <w:lastRenderedPageBreak/>
        <w:t>References</w:t>
      </w:r>
      <w:bookmarkEnd w:id="14"/>
    </w:p>
    <w:p w14:paraId="2FAF7922" w14:textId="77777777" w:rsidR="005B6B29" w:rsidRPr="005B6B29" w:rsidRDefault="005B6B29" w:rsidP="005B6B29">
      <w:pPr>
        <w:spacing w:line="360" w:lineRule="auto"/>
        <w:jc w:val="both"/>
        <w:rPr>
          <w:rFonts w:ascii="Times New Roman" w:hAnsi="Times New Roman" w:cs="Times New Roman"/>
        </w:rPr>
      </w:pPr>
      <w:r w:rsidRPr="005B6B29">
        <w:rPr>
          <w:rFonts w:ascii="Times New Roman" w:hAnsi="Times New Roman" w:cs="Times New Roman"/>
        </w:rPr>
        <w:t>Akaka, M.A., Vargo, S.L., Nariswari, A. and O'Brien, M., 2023. Microfoundations for macromarketing: A metatheoretical lens for bridging the micro-macro divide. </w:t>
      </w:r>
      <w:r w:rsidRPr="005B6B29">
        <w:rPr>
          <w:rFonts w:ascii="Times New Roman" w:hAnsi="Times New Roman" w:cs="Times New Roman"/>
          <w:i/>
          <w:iCs/>
        </w:rPr>
        <w:t>Journal of Macromarketing</w:t>
      </w:r>
      <w:r w:rsidRPr="005B6B29">
        <w:rPr>
          <w:rFonts w:ascii="Times New Roman" w:hAnsi="Times New Roman" w:cs="Times New Roman"/>
        </w:rPr>
        <w:t>, </w:t>
      </w:r>
      <w:r w:rsidRPr="005B6B29">
        <w:rPr>
          <w:rFonts w:ascii="Times New Roman" w:hAnsi="Times New Roman" w:cs="Times New Roman"/>
          <w:i/>
          <w:iCs/>
        </w:rPr>
        <w:t>43</w:t>
      </w:r>
      <w:r w:rsidRPr="005B6B29">
        <w:rPr>
          <w:rFonts w:ascii="Times New Roman" w:hAnsi="Times New Roman" w:cs="Times New Roman"/>
        </w:rPr>
        <w:t>(1), pp.61-75.</w:t>
      </w:r>
    </w:p>
    <w:p w14:paraId="79C6DA73" w14:textId="77777777" w:rsidR="005B6B29" w:rsidRPr="005B6B29" w:rsidRDefault="005B6B29" w:rsidP="005B6B29">
      <w:pPr>
        <w:spacing w:line="360" w:lineRule="auto"/>
        <w:jc w:val="both"/>
        <w:rPr>
          <w:rFonts w:ascii="Times New Roman" w:hAnsi="Times New Roman" w:cs="Times New Roman"/>
        </w:rPr>
      </w:pPr>
      <w:r w:rsidRPr="005B6B29">
        <w:rPr>
          <w:rFonts w:ascii="Times New Roman" w:hAnsi="Times New Roman" w:cs="Times New Roman"/>
        </w:rPr>
        <w:t>Batat, W., 2024. Why is the traditional marketing mix dead? Towards the “experiential marketing mix”(7E), a strategic framework for business experience design in the phygital age. </w:t>
      </w:r>
      <w:r w:rsidRPr="005B6B29">
        <w:rPr>
          <w:rFonts w:ascii="Times New Roman" w:hAnsi="Times New Roman" w:cs="Times New Roman"/>
          <w:i/>
          <w:iCs/>
        </w:rPr>
        <w:t>Journal of Strategic Marketing</w:t>
      </w:r>
      <w:r w:rsidRPr="005B6B29">
        <w:rPr>
          <w:rFonts w:ascii="Times New Roman" w:hAnsi="Times New Roman" w:cs="Times New Roman"/>
        </w:rPr>
        <w:t>, </w:t>
      </w:r>
      <w:r w:rsidRPr="005B6B29">
        <w:rPr>
          <w:rFonts w:ascii="Times New Roman" w:hAnsi="Times New Roman" w:cs="Times New Roman"/>
          <w:i/>
          <w:iCs/>
        </w:rPr>
        <w:t>32</w:t>
      </w:r>
      <w:r w:rsidRPr="005B6B29">
        <w:rPr>
          <w:rFonts w:ascii="Times New Roman" w:hAnsi="Times New Roman" w:cs="Times New Roman"/>
        </w:rPr>
        <w:t>(2), pp.101-113.</w:t>
      </w:r>
    </w:p>
    <w:p w14:paraId="5CB76A75" w14:textId="77777777" w:rsidR="005B6B29" w:rsidRPr="005B6B29" w:rsidRDefault="005B6B29" w:rsidP="005B6B29">
      <w:pPr>
        <w:spacing w:line="360" w:lineRule="auto"/>
        <w:jc w:val="both"/>
        <w:rPr>
          <w:rFonts w:ascii="Times New Roman" w:hAnsi="Times New Roman" w:cs="Times New Roman"/>
        </w:rPr>
      </w:pPr>
      <w:r w:rsidRPr="005B6B29">
        <w:rPr>
          <w:rFonts w:ascii="Times New Roman" w:hAnsi="Times New Roman" w:cs="Times New Roman"/>
        </w:rPr>
        <w:t>Bhattacharyya, J., Dash, M.K., Hewege, C., Balaji, M.S. and Lim, W.M., 2021. </w:t>
      </w:r>
      <w:r w:rsidRPr="005B6B29">
        <w:rPr>
          <w:rFonts w:ascii="Times New Roman" w:hAnsi="Times New Roman" w:cs="Times New Roman"/>
          <w:i/>
          <w:iCs/>
        </w:rPr>
        <w:t>Social and sustainability marketing: A casebook for reaching your socially responsible consumers through marketing science</w:t>
      </w:r>
      <w:r w:rsidRPr="005B6B29">
        <w:rPr>
          <w:rFonts w:ascii="Times New Roman" w:hAnsi="Times New Roman" w:cs="Times New Roman"/>
        </w:rPr>
        <w:t>. CRC Press.</w:t>
      </w:r>
    </w:p>
    <w:p w14:paraId="037BEDF0" w14:textId="77777777" w:rsidR="005B6B29" w:rsidRPr="005B6B29" w:rsidRDefault="005B6B29" w:rsidP="005B6B29">
      <w:pPr>
        <w:spacing w:line="360" w:lineRule="auto"/>
        <w:jc w:val="both"/>
        <w:rPr>
          <w:rFonts w:ascii="Times New Roman" w:hAnsi="Times New Roman" w:cs="Times New Roman"/>
        </w:rPr>
      </w:pPr>
      <w:r w:rsidRPr="005B6B29">
        <w:rPr>
          <w:rFonts w:ascii="Times New Roman" w:hAnsi="Times New Roman" w:cs="Times New Roman"/>
        </w:rPr>
        <w:t>Capatina, A., Bleoju, G. and Kalisz, D., 2024. Falling in love with strategic foresight, not only with technology: European deep-tech startups’ roadmap to success. </w:t>
      </w:r>
      <w:r w:rsidRPr="005B6B29">
        <w:rPr>
          <w:rFonts w:ascii="Times New Roman" w:hAnsi="Times New Roman" w:cs="Times New Roman"/>
          <w:i/>
          <w:iCs/>
        </w:rPr>
        <w:t>Journal of Innovation &amp; Knowledge</w:t>
      </w:r>
      <w:r w:rsidRPr="005B6B29">
        <w:rPr>
          <w:rFonts w:ascii="Times New Roman" w:hAnsi="Times New Roman" w:cs="Times New Roman"/>
        </w:rPr>
        <w:t>, </w:t>
      </w:r>
      <w:r w:rsidRPr="005B6B29">
        <w:rPr>
          <w:rFonts w:ascii="Times New Roman" w:hAnsi="Times New Roman" w:cs="Times New Roman"/>
          <w:i/>
          <w:iCs/>
        </w:rPr>
        <w:t>9</w:t>
      </w:r>
      <w:r w:rsidRPr="005B6B29">
        <w:rPr>
          <w:rFonts w:ascii="Times New Roman" w:hAnsi="Times New Roman" w:cs="Times New Roman"/>
        </w:rPr>
        <w:t>(3), p.100515.</w:t>
      </w:r>
    </w:p>
    <w:p w14:paraId="4463C516" w14:textId="77777777" w:rsidR="005B6B29" w:rsidRPr="005B6B29" w:rsidRDefault="005B6B29" w:rsidP="005B6B29">
      <w:pPr>
        <w:spacing w:line="360" w:lineRule="auto"/>
        <w:jc w:val="both"/>
        <w:rPr>
          <w:rFonts w:ascii="Times New Roman" w:hAnsi="Times New Roman" w:cs="Times New Roman"/>
        </w:rPr>
      </w:pPr>
      <w:r w:rsidRPr="005B6B29">
        <w:rPr>
          <w:rFonts w:ascii="Times New Roman" w:hAnsi="Times New Roman" w:cs="Times New Roman"/>
        </w:rPr>
        <w:t>Da Silva, A.L. and Castañeda-Ayarza, J.A., 2021. Macro-environment analysis of the corn ethanol fuel development in Brazil. </w:t>
      </w:r>
      <w:r w:rsidRPr="005B6B29">
        <w:rPr>
          <w:rFonts w:ascii="Times New Roman" w:hAnsi="Times New Roman" w:cs="Times New Roman"/>
          <w:i/>
          <w:iCs/>
        </w:rPr>
        <w:t>Renewable and Sustainable Energy Reviews</w:t>
      </w:r>
      <w:r w:rsidRPr="005B6B29">
        <w:rPr>
          <w:rFonts w:ascii="Times New Roman" w:hAnsi="Times New Roman" w:cs="Times New Roman"/>
        </w:rPr>
        <w:t>, </w:t>
      </w:r>
      <w:r w:rsidRPr="005B6B29">
        <w:rPr>
          <w:rFonts w:ascii="Times New Roman" w:hAnsi="Times New Roman" w:cs="Times New Roman"/>
          <w:i/>
          <w:iCs/>
        </w:rPr>
        <w:t>135</w:t>
      </w:r>
      <w:r w:rsidRPr="005B6B29">
        <w:rPr>
          <w:rFonts w:ascii="Times New Roman" w:hAnsi="Times New Roman" w:cs="Times New Roman"/>
        </w:rPr>
        <w:t>, p.110387.</w:t>
      </w:r>
    </w:p>
    <w:p w14:paraId="428CBFF9" w14:textId="77777777" w:rsidR="005B6B29" w:rsidRPr="005B6B29" w:rsidRDefault="005B6B29" w:rsidP="005B6B29">
      <w:pPr>
        <w:spacing w:line="360" w:lineRule="auto"/>
        <w:jc w:val="both"/>
        <w:rPr>
          <w:rFonts w:ascii="Times New Roman" w:hAnsi="Times New Roman" w:cs="Times New Roman"/>
        </w:rPr>
      </w:pPr>
      <w:r w:rsidRPr="005B6B29">
        <w:rPr>
          <w:rFonts w:ascii="Times New Roman" w:hAnsi="Times New Roman" w:cs="Times New Roman"/>
        </w:rPr>
        <w:t>Dahlquist, S. and Lehnert, K., 2023. Strategic Orientation: Market changer or market defender?. </w:t>
      </w:r>
      <w:r w:rsidRPr="005B6B29">
        <w:rPr>
          <w:rFonts w:ascii="Times New Roman" w:hAnsi="Times New Roman" w:cs="Times New Roman"/>
          <w:i/>
          <w:iCs/>
        </w:rPr>
        <w:t>Journal of Macromarketing</w:t>
      </w:r>
      <w:r w:rsidRPr="005B6B29">
        <w:rPr>
          <w:rFonts w:ascii="Times New Roman" w:hAnsi="Times New Roman" w:cs="Times New Roman"/>
        </w:rPr>
        <w:t>, </w:t>
      </w:r>
      <w:r w:rsidRPr="005B6B29">
        <w:rPr>
          <w:rFonts w:ascii="Times New Roman" w:hAnsi="Times New Roman" w:cs="Times New Roman"/>
          <w:i/>
          <w:iCs/>
        </w:rPr>
        <w:t>43</w:t>
      </w:r>
      <w:r w:rsidRPr="005B6B29">
        <w:rPr>
          <w:rFonts w:ascii="Times New Roman" w:hAnsi="Times New Roman" w:cs="Times New Roman"/>
        </w:rPr>
        <w:t>(1), pp.5-16.</w:t>
      </w:r>
    </w:p>
    <w:p w14:paraId="2CAD8B46" w14:textId="77777777" w:rsidR="005B6B29" w:rsidRPr="005B6B29" w:rsidRDefault="005B6B29" w:rsidP="005B6B29">
      <w:pPr>
        <w:spacing w:line="360" w:lineRule="auto"/>
        <w:jc w:val="both"/>
        <w:rPr>
          <w:rFonts w:ascii="Times New Roman" w:hAnsi="Times New Roman" w:cs="Times New Roman"/>
        </w:rPr>
      </w:pPr>
      <w:r w:rsidRPr="005B6B29">
        <w:rPr>
          <w:rFonts w:ascii="Times New Roman" w:hAnsi="Times New Roman" w:cs="Times New Roman"/>
        </w:rPr>
        <w:t>Gini, K.B. and Agala, H.O., 2023. The Impact of Macro-Environmental Factors on Business Performance. </w:t>
      </w:r>
      <w:r w:rsidRPr="005B6B29">
        <w:rPr>
          <w:rFonts w:ascii="Times New Roman" w:hAnsi="Times New Roman" w:cs="Times New Roman"/>
          <w:i/>
          <w:iCs/>
        </w:rPr>
        <w:t>International Journal of Research and Innovation in Social Science</w:t>
      </w:r>
      <w:r w:rsidRPr="005B6B29">
        <w:rPr>
          <w:rFonts w:ascii="Times New Roman" w:hAnsi="Times New Roman" w:cs="Times New Roman"/>
        </w:rPr>
        <w:t>, </w:t>
      </w:r>
      <w:r w:rsidRPr="005B6B29">
        <w:rPr>
          <w:rFonts w:ascii="Times New Roman" w:hAnsi="Times New Roman" w:cs="Times New Roman"/>
          <w:i/>
          <w:iCs/>
        </w:rPr>
        <w:t>7</w:t>
      </w:r>
      <w:r w:rsidRPr="005B6B29">
        <w:rPr>
          <w:rFonts w:ascii="Times New Roman" w:hAnsi="Times New Roman" w:cs="Times New Roman"/>
        </w:rPr>
        <w:t>(11), pp.1837-1843.</w:t>
      </w:r>
    </w:p>
    <w:p w14:paraId="18C4D1C7" w14:textId="77777777" w:rsidR="005B6B29" w:rsidRPr="005B6B29" w:rsidRDefault="005B6B29" w:rsidP="005B6B29">
      <w:pPr>
        <w:spacing w:line="360" w:lineRule="auto"/>
        <w:jc w:val="both"/>
        <w:rPr>
          <w:rFonts w:ascii="Times New Roman" w:hAnsi="Times New Roman" w:cs="Times New Roman"/>
        </w:rPr>
      </w:pPr>
      <w:r w:rsidRPr="005B6B29">
        <w:rPr>
          <w:rFonts w:ascii="Times New Roman" w:hAnsi="Times New Roman" w:cs="Times New Roman"/>
        </w:rPr>
        <w:t>Gomez, J., Perez-Aradros, B. and Salazar, I., 2022. How to beat early movers: The role of competitive strategy and industry dynamism on followers’ performance in the telecommunications industry. </w:t>
      </w:r>
      <w:r w:rsidRPr="005B6B29">
        <w:rPr>
          <w:rFonts w:ascii="Times New Roman" w:hAnsi="Times New Roman" w:cs="Times New Roman"/>
          <w:i/>
          <w:iCs/>
        </w:rPr>
        <w:t>Long Range Planning</w:t>
      </w:r>
      <w:r w:rsidRPr="005B6B29">
        <w:rPr>
          <w:rFonts w:ascii="Times New Roman" w:hAnsi="Times New Roman" w:cs="Times New Roman"/>
        </w:rPr>
        <w:t>, </w:t>
      </w:r>
      <w:r w:rsidRPr="005B6B29">
        <w:rPr>
          <w:rFonts w:ascii="Times New Roman" w:hAnsi="Times New Roman" w:cs="Times New Roman"/>
          <w:i/>
          <w:iCs/>
        </w:rPr>
        <w:t>55</w:t>
      </w:r>
      <w:r w:rsidRPr="005B6B29">
        <w:rPr>
          <w:rFonts w:ascii="Times New Roman" w:hAnsi="Times New Roman" w:cs="Times New Roman"/>
        </w:rPr>
        <w:t>(5), p.102244.</w:t>
      </w:r>
    </w:p>
    <w:p w14:paraId="51B06E7F" w14:textId="77777777" w:rsidR="005B6B29" w:rsidRPr="005B6B29" w:rsidRDefault="005B6B29" w:rsidP="005B6B29">
      <w:pPr>
        <w:spacing w:line="360" w:lineRule="auto"/>
        <w:jc w:val="both"/>
        <w:rPr>
          <w:rFonts w:ascii="Times New Roman" w:hAnsi="Times New Roman" w:cs="Times New Roman"/>
          <w:lang w:val="en-IN"/>
        </w:rPr>
      </w:pPr>
      <w:r w:rsidRPr="005B6B29">
        <w:rPr>
          <w:rFonts w:ascii="Times New Roman" w:hAnsi="Times New Roman" w:cs="Times New Roman"/>
        </w:rPr>
        <w:t>Kuzior, A., Arefiev, S. and Poberezhna, Z., 2023. Informatization of innovative technologies for ensuring macroeconomic trends in the conditions of a circular economy. </w:t>
      </w:r>
      <w:r w:rsidRPr="005B6B29">
        <w:rPr>
          <w:rFonts w:ascii="Times New Roman" w:hAnsi="Times New Roman" w:cs="Times New Roman"/>
          <w:i/>
          <w:iCs/>
        </w:rPr>
        <w:t>Journal of Open Innovation: Technology, Market, and Complexity</w:t>
      </w:r>
      <w:r w:rsidRPr="005B6B29">
        <w:rPr>
          <w:rFonts w:ascii="Times New Roman" w:hAnsi="Times New Roman" w:cs="Times New Roman"/>
        </w:rPr>
        <w:t>, </w:t>
      </w:r>
      <w:r w:rsidRPr="005B6B29">
        <w:rPr>
          <w:rFonts w:ascii="Times New Roman" w:hAnsi="Times New Roman" w:cs="Times New Roman"/>
          <w:i/>
          <w:iCs/>
        </w:rPr>
        <w:t>9</w:t>
      </w:r>
      <w:r w:rsidRPr="005B6B29">
        <w:rPr>
          <w:rFonts w:ascii="Times New Roman" w:hAnsi="Times New Roman" w:cs="Times New Roman"/>
        </w:rPr>
        <w:t>(1), p.100001.</w:t>
      </w:r>
    </w:p>
    <w:p w14:paraId="788BE89B" w14:textId="77777777" w:rsidR="005B6B29" w:rsidRPr="005B6B29" w:rsidRDefault="005B6B29" w:rsidP="005B6B29">
      <w:pPr>
        <w:spacing w:line="360" w:lineRule="auto"/>
        <w:jc w:val="both"/>
        <w:rPr>
          <w:rFonts w:ascii="Times New Roman" w:hAnsi="Times New Roman" w:cs="Times New Roman"/>
        </w:rPr>
      </w:pPr>
      <w:r w:rsidRPr="005B6B29">
        <w:rPr>
          <w:rFonts w:ascii="Times New Roman" w:hAnsi="Times New Roman" w:cs="Times New Roman"/>
        </w:rPr>
        <w:t>Pimentel, P.C., Bassi-Suter, M. and Didonet, S.R., 2024. Brand activism as a marketing strategy: an integrative framework and research agenda. </w:t>
      </w:r>
      <w:r w:rsidRPr="005B6B29">
        <w:rPr>
          <w:rFonts w:ascii="Times New Roman" w:hAnsi="Times New Roman" w:cs="Times New Roman"/>
          <w:i/>
          <w:iCs/>
        </w:rPr>
        <w:t>Journal of Brand Management</w:t>
      </w:r>
      <w:r w:rsidRPr="005B6B29">
        <w:rPr>
          <w:rFonts w:ascii="Times New Roman" w:hAnsi="Times New Roman" w:cs="Times New Roman"/>
        </w:rPr>
        <w:t>, </w:t>
      </w:r>
      <w:r w:rsidRPr="005B6B29">
        <w:rPr>
          <w:rFonts w:ascii="Times New Roman" w:hAnsi="Times New Roman" w:cs="Times New Roman"/>
          <w:i/>
          <w:iCs/>
        </w:rPr>
        <w:t>31</w:t>
      </w:r>
      <w:r w:rsidRPr="005B6B29">
        <w:rPr>
          <w:rFonts w:ascii="Times New Roman" w:hAnsi="Times New Roman" w:cs="Times New Roman"/>
        </w:rPr>
        <w:t>(2), pp.212-234.</w:t>
      </w:r>
    </w:p>
    <w:p w14:paraId="2A6786C9" w14:textId="77777777" w:rsidR="005B6B29" w:rsidRPr="005B6B29" w:rsidRDefault="005B6B29" w:rsidP="005B6B29">
      <w:pPr>
        <w:spacing w:line="360" w:lineRule="auto"/>
        <w:jc w:val="both"/>
        <w:rPr>
          <w:rFonts w:ascii="Times New Roman" w:hAnsi="Times New Roman" w:cs="Times New Roman"/>
        </w:rPr>
      </w:pPr>
      <w:r w:rsidRPr="005B6B29">
        <w:rPr>
          <w:rFonts w:ascii="Times New Roman" w:hAnsi="Times New Roman" w:cs="Times New Roman"/>
        </w:rPr>
        <w:lastRenderedPageBreak/>
        <w:t>Ruiz-Palomino, P., Yanez-Araque, B., Gutiérrez-Broncano, S. and Jiménez Estévez, P., 2025. Unlocking organizational change: servant leadership, change resistance and the mediating role of emotional intelligence. </w:t>
      </w:r>
      <w:r w:rsidRPr="005B6B29">
        <w:rPr>
          <w:rFonts w:ascii="Times New Roman" w:hAnsi="Times New Roman" w:cs="Times New Roman"/>
          <w:i/>
          <w:iCs/>
        </w:rPr>
        <w:t>Management Decision</w:t>
      </w:r>
      <w:r w:rsidRPr="005B6B29">
        <w:rPr>
          <w:rFonts w:ascii="Times New Roman" w:hAnsi="Times New Roman" w:cs="Times New Roman"/>
        </w:rPr>
        <w:t>.</w:t>
      </w:r>
    </w:p>
    <w:p w14:paraId="60AA85E3" w14:textId="77777777" w:rsidR="005B6B29" w:rsidRPr="005B6B29" w:rsidRDefault="005B6B29" w:rsidP="005B6B29">
      <w:pPr>
        <w:spacing w:line="360" w:lineRule="auto"/>
        <w:jc w:val="both"/>
        <w:rPr>
          <w:rFonts w:ascii="Times New Roman" w:hAnsi="Times New Roman" w:cs="Times New Roman"/>
        </w:rPr>
      </w:pPr>
      <w:r w:rsidRPr="005B6B29">
        <w:rPr>
          <w:rFonts w:ascii="Times New Roman" w:hAnsi="Times New Roman" w:cs="Times New Roman"/>
        </w:rPr>
        <w:t>Stocker, M. and Erdélyi, Á., 2024. The influence of perceived macro environment on the competitiveness of internationalized medium-sized and large enterprises. </w:t>
      </w:r>
      <w:r w:rsidRPr="005B6B29">
        <w:rPr>
          <w:rFonts w:ascii="Times New Roman" w:hAnsi="Times New Roman" w:cs="Times New Roman"/>
          <w:i/>
          <w:iCs/>
        </w:rPr>
        <w:t>Administrative Sciences</w:t>
      </w:r>
      <w:r w:rsidRPr="005B6B29">
        <w:rPr>
          <w:rFonts w:ascii="Times New Roman" w:hAnsi="Times New Roman" w:cs="Times New Roman"/>
        </w:rPr>
        <w:t>, </w:t>
      </w:r>
      <w:r w:rsidRPr="005B6B29">
        <w:rPr>
          <w:rFonts w:ascii="Times New Roman" w:hAnsi="Times New Roman" w:cs="Times New Roman"/>
          <w:i/>
          <w:iCs/>
        </w:rPr>
        <w:t>14</w:t>
      </w:r>
      <w:r w:rsidRPr="005B6B29">
        <w:rPr>
          <w:rFonts w:ascii="Times New Roman" w:hAnsi="Times New Roman" w:cs="Times New Roman"/>
        </w:rPr>
        <w:t>(6), p.116.</w:t>
      </w:r>
    </w:p>
    <w:p w14:paraId="08DF5080" w14:textId="77777777" w:rsidR="005B6B29" w:rsidRPr="005B6B29" w:rsidRDefault="005B6B29" w:rsidP="005B6B29">
      <w:pPr>
        <w:spacing w:line="360" w:lineRule="auto"/>
        <w:jc w:val="both"/>
        <w:rPr>
          <w:rFonts w:ascii="Times New Roman" w:hAnsi="Times New Roman" w:cs="Times New Roman"/>
        </w:rPr>
      </w:pPr>
      <w:r w:rsidRPr="005B6B29">
        <w:rPr>
          <w:rFonts w:ascii="Times New Roman" w:hAnsi="Times New Roman" w:cs="Times New Roman"/>
        </w:rPr>
        <w:t>Sun, J., Leung, X.Y. and Bai, B., 2021. How social media influencer’s event endorsement changes attitudes of followers: the moderating effect of followers’ gender. </w:t>
      </w:r>
      <w:r w:rsidRPr="005B6B29">
        <w:rPr>
          <w:rFonts w:ascii="Times New Roman" w:hAnsi="Times New Roman" w:cs="Times New Roman"/>
          <w:i/>
          <w:iCs/>
        </w:rPr>
        <w:t>International Journal of Contemporary Hospitality Management</w:t>
      </w:r>
      <w:r w:rsidRPr="005B6B29">
        <w:rPr>
          <w:rFonts w:ascii="Times New Roman" w:hAnsi="Times New Roman" w:cs="Times New Roman"/>
        </w:rPr>
        <w:t>, </w:t>
      </w:r>
      <w:r w:rsidRPr="005B6B29">
        <w:rPr>
          <w:rFonts w:ascii="Times New Roman" w:hAnsi="Times New Roman" w:cs="Times New Roman"/>
          <w:i/>
          <w:iCs/>
        </w:rPr>
        <w:t>33</w:t>
      </w:r>
      <w:r w:rsidRPr="005B6B29">
        <w:rPr>
          <w:rFonts w:ascii="Times New Roman" w:hAnsi="Times New Roman" w:cs="Times New Roman"/>
        </w:rPr>
        <w:t>(7), pp.2337-2351.</w:t>
      </w:r>
    </w:p>
    <w:p w14:paraId="7A1FFBB7" w14:textId="77777777" w:rsidR="005B6B29" w:rsidRPr="005B6B29" w:rsidRDefault="005B6B29" w:rsidP="005B6B29">
      <w:pPr>
        <w:spacing w:line="360" w:lineRule="auto"/>
        <w:jc w:val="both"/>
        <w:rPr>
          <w:rFonts w:ascii="Times New Roman" w:hAnsi="Times New Roman" w:cs="Times New Roman"/>
        </w:rPr>
      </w:pPr>
      <w:r w:rsidRPr="005B6B29">
        <w:rPr>
          <w:rFonts w:ascii="Times New Roman" w:hAnsi="Times New Roman" w:cs="Times New Roman"/>
        </w:rPr>
        <w:t>Vargo, S.L., Wieland, H. and O'Brien, M., 2023. Service-dominant logic as a unifying theoretical framework for the re-institutionalization of the marketing discipline. </w:t>
      </w:r>
      <w:r w:rsidRPr="005B6B29">
        <w:rPr>
          <w:rFonts w:ascii="Times New Roman" w:hAnsi="Times New Roman" w:cs="Times New Roman"/>
          <w:i/>
          <w:iCs/>
        </w:rPr>
        <w:t>Journal of Business Research</w:t>
      </w:r>
      <w:r w:rsidRPr="005B6B29">
        <w:rPr>
          <w:rFonts w:ascii="Times New Roman" w:hAnsi="Times New Roman" w:cs="Times New Roman"/>
        </w:rPr>
        <w:t>, </w:t>
      </w:r>
      <w:r w:rsidRPr="005B6B29">
        <w:rPr>
          <w:rFonts w:ascii="Times New Roman" w:hAnsi="Times New Roman" w:cs="Times New Roman"/>
          <w:i/>
          <w:iCs/>
        </w:rPr>
        <w:t>164</w:t>
      </w:r>
      <w:r w:rsidRPr="005B6B29">
        <w:rPr>
          <w:rFonts w:ascii="Times New Roman" w:hAnsi="Times New Roman" w:cs="Times New Roman"/>
        </w:rPr>
        <w:t>, p.113965.</w:t>
      </w:r>
    </w:p>
    <w:sectPr w:rsidR="005B6B29" w:rsidRPr="005B6B29" w:rsidSect="00257F27">
      <w:footerReference w:type="default" r:id="rId12"/>
      <w:footerReference w:type="firs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6D5E6B" w14:textId="77777777" w:rsidR="00A07F29" w:rsidRDefault="00A07F29" w:rsidP="00257F27">
      <w:pPr>
        <w:spacing w:after="0" w:line="240" w:lineRule="auto"/>
      </w:pPr>
      <w:r>
        <w:separator/>
      </w:r>
    </w:p>
  </w:endnote>
  <w:endnote w:type="continuationSeparator" w:id="0">
    <w:p w14:paraId="55DB443E" w14:textId="77777777" w:rsidR="00A07F29" w:rsidRDefault="00A07F29" w:rsidP="00257F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1380979"/>
      <w:docPartObj>
        <w:docPartGallery w:val="Page Numbers (Bottom of Page)"/>
        <w:docPartUnique/>
      </w:docPartObj>
    </w:sdtPr>
    <w:sdtEndPr>
      <w:rPr>
        <w:rFonts w:ascii="Times New Roman" w:hAnsi="Times New Roman" w:cs="Times New Roman"/>
        <w:noProof/>
        <w:sz w:val="20"/>
        <w:szCs w:val="20"/>
      </w:rPr>
    </w:sdtEndPr>
    <w:sdtContent>
      <w:p w14:paraId="05164C41" w14:textId="6FD19A91" w:rsidR="00257F27" w:rsidRPr="00257F27" w:rsidRDefault="00257F27">
        <w:pPr>
          <w:pStyle w:val="Footer"/>
          <w:jc w:val="right"/>
          <w:rPr>
            <w:rFonts w:ascii="Times New Roman" w:hAnsi="Times New Roman" w:cs="Times New Roman"/>
            <w:sz w:val="20"/>
            <w:szCs w:val="20"/>
          </w:rPr>
        </w:pPr>
        <w:r w:rsidRPr="00257F27">
          <w:rPr>
            <w:rFonts w:ascii="Times New Roman" w:hAnsi="Times New Roman" w:cs="Times New Roman"/>
            <w:sz w:val="20"/>
            <w:szCs w:val="20"/>
          </w:rPr>
          <w:fldChar w:fldCharType="begin"/>
        </w:r>
        <w:r w:rsidRPr="00257F27">
          <w:rPr>
            <w:rFonts w:ascii="Times New Roman" w:hAnsi="Times New Roman" w:cs="Times New Roman"/>
            <w:sz w:val="20"/>
            <w:szCs w:val="20"/>
          </w:rPr>
          <w:instrText xml:space="preserve"> PAGE   \* MERGEFORMAT </w:instrText>
        </w:r>
        <w:r w:rsidRPr="00257F27">
          <w:rPr>
            <w:rFonts w:ascii="Times New Roman" w:hAnsi="Times New Roman" w:cs="Times New Roman"/>
            <w:sz w:val="20"/>
            <w:szCs w:val="20"/>
          </w:rPr>
          <w:fldChar w:fldCharType="separate"/>
        </w:r>
        <w:r w:rsidRPr="00257F27">
          <w:rPr>
            <w:rFonts w:ascii="Times New Roman" w:hAnsi="Times New Roman" w:cs="Times New Roman"/>
            <w:noProof/>
            <w:sz w:val="20"/>
            <w:szCs w:val="20"/>
          </w:rPr>
          <w:t>2</w:t>
        </w:r>
        <w:r w:rsidRPr="00257F27">
          <w:rPr>
            <w:rFonts w:ascii="Times New Roman" w:hAnsi="Times New Roman" w:cs="Times New Roman"/>
            <w:noProof/>
            <w:sz w:val="20"/>
            <w:szCs w:val="20"/>
          </w:rPr>
          <w:fldChar w:fldCharType="end"/>
        </w:r>
      </w:p>
    </w:sdtContent>
  </w:sdt>
  <w:p w14:paraId="73FA85D9" w14:textId="77777777" w:rsidR="00257F27" w:rsidRDefault="00257F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1534969"/>
      <w:docPartObj>
        <w:docPartGallery w:val="Page Numbers (Bottom of Page)"/>
        <w:docPartUnique/>
      </w:docPartObj>
    </w:sdtPr>
    <w:sdtEndPr>
      <w:rPr>
        <w:noProof/>
      </w:rPr>
    </w:sdtEndPr>
    <w:sdtContent>
      <w:p w14:paraId="39B36FF0" w14:textId="4F894F0F" w:rsidR="00924ADA" w:rsidRDefault="00924A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352AAF" w14:textId="77777777" w:rsidR="00924ADA" w:rsidRDefault="00924A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C8AD73" w14:textId="77777777" w:rsidR="00A07F29" w:rsidRDefault="00A07F29" w:rsidP="00257F27">
      <w:pPr>
        <w:spacing w:after="0" w:line="240" w:lineRule="auto"/>
      </w:pPr>
      <w:r>
        <w:separator/>
      </w:r>
    </w:p>
  </w:footnote>
  <w:footnote w:type="continuationSeparator" w:id="0">
    <w:p w14:paraId="737697BA" w14:textId="77777777" w:rsidR="00A07F29" w:rsidRDefault="00A07F29" w:rsidP="00257F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A07CC9"/>
    <w:multiLevelType w:val="multilevel"/>
    <w:tmpl w:val="F55EB3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552F55"/>
    <w:multiLevelType w:val="multilevel"/>
    <w:tmpl w:val="141CE0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F63DDB"/>
    <w:multiLevelType w:val="multilevel"/>
    <w:tmpl w:val="68748A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C07DC7"/>
    <w:multiLevelType w:val="multilevel"/>
    <w:tmpl w:val="1046BF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EE6B52"/>
    <w:multiLevelType w:val="multilevel"/>
    <w:tmpl w:val="D5B29C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810ACD"/>
    <w:multiLevelType w:val="multilevel"/>
    <w:tmpl w:val="FAB479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6044CE"/>
    <w:multiLevelType w:val="multilevel"/>
    <w:tmpl w:val="B622C6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123CB0"/>
    <w:multiLevelType w:val="multilevel"/>
    <w:tmpl w:val="D292CE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358921428">
    <w:abstractNumId w:val="2"/>
  </w:num>
  <w:num w:numId="2" w16cid:durableId="316616814">
    <w:abstractNumId w:val="7"/>
  </w:num>
  <w:num w:numId="3" w16cid:durableId="66415207">
    <w:abstractNumId w:val="5"/>
  </w:num>
  <w:num w:numId="4" w16cid:durableId="2022589158">
    <w:abstractNumId w:val="4"/>
  </w:num>
  <w:num w:numId="5" w16cid:durableId="755328668">
    <w:abstractNumId w:val="3"/>
  </w:num>
  <w:num w:numId="6" w16cid:durableId="11877460">
    <w:abstractNumId w:val="0"/>
  </w:num>
  <w:num w:numId="7" w16cid:durableId="251084535">
    <w:abstractNumId w:val="1"/>
  </w:num>
  <w:num w:numId="8" w16cid:durableId="16711781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3FB"/>
    <w:rsid w:val="00034C4B"/>
    <w:rsid w:val="00043440"/>
    <w:rsid w:val="000A4F53"/>
    <w:rsid w:val="000D54B9"/>
    <w:rsid w:val="001B78DB"/>
    <w:rsid w:val="00257EB4"/>
    <w:rsid w:val="00257F27"/>
    <w:rsid w:val="00273080"/>
    <w:rsid w:val="002C2162"/>
    <w:rsid w:val="002E2ECC"/>
    <w:rsid w:val="00314039"/>
    <w:rsid w:val="00406305"/>
    <w:rsid w:val="00453167"/>
    <w:rsid w:val="004A23F6"/>
    <w:rsid w:val="004C1DE5"/>
    <w:rsid w:val="004C44CE"/>
    <w:rsid w:val="004D3EC7"/>
    <w:rsid w:val="004D61D7"/>
    <w:rsid w:val="00520B0F"/>
    <w:rsid w:val="00527DA5"/>
    <w:rsid w:val="005B6B29"/>
    <w:rsid w:val="00601336"/>
    <w:rsid w:val="00643167"/>
    <w:rsid w:val="00654702"/>
    <w:rsid w:val="00661407"/>
    <w:rsid w:val="006A2A32"/>
    <w:rsid w:val="006B3474"/>
    <w:rsid w:val="006C38E9"/>
    <w:rsid w:val="006C67C7"/>
    <w:rsid w:val="00744AE4"/>
    <w:rsid w:val="00754FE4"/>
    <w:rsid w:val="007C3792"/>
    <w:rsid w:val="007C47DF"/>
    <w:rsid w:val="007D15B8"/>
    <w:rsid w:val="007D657F"/>
    <w:rsid w:val="007E2FCE"/>
    <w:rsid w:val="007F5555"/>
    <w:rsid w:val="008D3C9A"/>
    <w:rsid w:val="00924ADA"/>
    <w:rsid w:val="009464B3"/>
    <w:rsid w:val="00966EC9"/>
    <w:rsid w:val="0099425B"/>
    <w:rsid w:val="009D1DF5"/>
    <w:rsid w:val="00A07F29"/>
    <w:rsid w:val="00A50AE7"/>
    <w:rsid w:val="00A70E5A"/>
    <w:rsid w:val="00AB144D"/>
    <w:rsid w:val="00AE3A47"/>
    <w:rsid w:val="00B26998"/>
    <w:rsid w:val="00B603CE"/>
    <w:rsid w:val="00B7242A"/>
    <w:rsid w:val="00B918C8"/>
    <w:rsid w:val="00BE13FB"/>
    <w:rsid w:val="00C14017"/>
    <w:rsid w:val="00C233A5"/>
    <w:rsid w:val="00CA6BC0"/>
    <w:rsid w:val="00CA79A8"/>
    <w:rsid w:val="00CE6E76"/>
    <w:rsid w:val="00D01EB0"/>
    <w:rsid w:val="00D2792D"/>
    <w:rsid w:val="00DB2D5F"/>
    <w:rsid w:val="00DF50A9"/>
    <w:rsid w:val="00E37558"/>
    <w:rsid w:val="00E52917"/>
    <w:rsid w:val="00EF5A45"/>
    <w:rsid w:val="00F63377"/>
    <w:rsid w:val="00FE151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235BC"/>
  <w15:chartTrackingRefBased/>
  <w15:docId w15:val="{06B82805-3F70-4397-84C5-FD4663FDFB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314039"/>
    <w:pPr>
      <w:keepNext/>
      <w:keepLines/>
      <w:spacing w:before="360" w:after="80" w:line="360" w:lineRule="auto"/>
      <w:jc w:val="both"/>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Normal"/>
    <w:link w:val="Heading2Char"/>
    <w:autoRedefine/>
    <w:uiPriority w:val="9"/>
    <w:unhideWhenUsed/>
    <w:qFormat/>
    <w:rsid w:val="007F5555"/>
    <w:pPr>
      <w:keepNext/>
      <w:keepLines/>
      <w:spacing w:before="160" w:after="80" w:line="360" w:lineRule="auto"/>
      <w:jc w:val="both"/>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uiPriority w:val="9"/>
    <w:semiHidden/>
    <w:unhideWhenUsed/>
    <w:qFormat/>
    <w:rsid w:val="00BE13F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E13F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E13F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E13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13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13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13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4039"/>
    <w:rPr>
      <w:rFonts w:ascii="Times New Roman" w:eastAsiaTheme="majorEastAsia" w:hAnsi="Times New Roman" w:cstheme="majorBidi"/>
      <w:b/>
      <w:color w:val="000000" w:themeColor="text1"/>
      <w:sz w:val="28"/>
      <w:szCs w:val="40"/>
      <w:lang w:val="en-GB"/>
    </w:rPr>
  </w:style>
  <w:style w:type="character" w:customStyle="1" w:styleId="Heading2Char">
    <w:name w:val="Heading 2 Char"/>
    <w:basedOn w:val="DefaultParagraphFont"/>
    <w:link w:val="Heading2"/>
    <w:uiPriority w:val="9"/>
    <w:rsid w:val="007F5555"/>
    <w:rPr>
      <w:rFonts w:ascii="Times New Roman" w:eastAsiaTheme="majorEastAsia" w:hAnsi="Times New Roman" w:cstheme="majorBidi"/>
      <w:b/>
      <w:color w:val="000000" w:themeColor="text1"/>
      <w:szCs w:val="32"/>
      <w:lang w:val="en-GB"/>
    </w:rPr>
  </w:style>
  <w:style w:type="character" w:customStyle="1" w:styleId="Heading3Char">
    <w:name w:val="Heading 3 Char"/>
    <w:basedOn w:val="DefaultParagraphFont"/>
    <w:link w:val="Heading3"/>
    <w:uiPriority w:val="9"/>
    <w:semiHidden/>
    <w:rsid w:val="00BE13FB"/>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BE13FB"/>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BE13FB"/>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BE13FB"/>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BE13FB"/>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BE13FB"/>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BE13FB"/>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BE13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13F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BE13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13F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BE13FB"/>
    <w:pPr>
      <w:spacing w:before="160"/>
      <w:jc w:val="center"/>
    </w:pPr>
    <w:rPr>
      <w:i/>
      <w:iCs/>
      <w:color w:val="404040" w:themeColor="text1" w:themeTint="BF"/>
    </w:rPr>
  </w:style>
  <w:style w:type="character" w:customStyle="1" w:styleId="QuoteChar">
    <w:name w:val="Quote Char"/>
    <w:basedOn w:val="DefaultParagraphFont"/>
    <w:link w:val="Quote"/>
    <w:uiPriority w:val="29"/>
    <w:rsid w:val="00BE13FB"/>
    <w:rPr>
      <w:i/>
      <w:iCs/>
      <w:color w:val="404040" w:themeColor="text1" w:themeTint="BF"/>
      <w:lang w:val="en-GB"/>
    </w:rPr>
  </w:style>
  <w:style w:type="paragraph" w:styleId="ListParagraph">
    <w:name w:val="List Paragraph"/>
    <w:basedOn w:val="Normal"/>
    <w:uiPriority w:val="34"/>
    <w:qFormat/>
    <w:rsid w:val="00BE13FB"/>
    <w:pPr>
      <w:ind w:left="720"/>
      <w:contextualSpacing/>
    </w:pPr>
  </w:style>
  <w:style w:type="character" w:styleId="IntenseEmphasis">
    <w:name w:val="Intense Emphasis"/>
    <w:basedOn w:val="DefaultParagraphFont"/>
    <w:uiPriority w:val="21"/>
    <w:qFormat/>
    <w:rsid w:val="00BE13FB"/>
    <w:rPr>
      <w:i/>
      <w:iCs/>
      <w:color w:val="2F5496" w:themeColor="accent1" w:themeShade="BF"/>
    </w:rPr>
  </w:style>
  <w:style w:type="paragraph" w:styleId="IntenseQuote">
    <w:name w:val="Intense Quote"/>
    <w:basedOn w:val="Normal"/>
    <w:next w:val="Normal"/>
    <w:link w:val="IntenseQuoteChar"/>
    <w:uiPriority w:val="30"/>
    <w:qFormat/>
    <w:rsid w:val="00BE13F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E13FB"/>
    <w:rPr>
      <w:i/>
      <w:iCs/>
      <w:color w:val="2F5496" w:themeColor="accent1" w:themeShade="BF"/>
      <w:lang w:val="en-GB"/>
    </w:rPr>
  </w:style>
  <w:style w:type="character" w:styleId="IntenseReference">
    <w:name w:val="Intense Reference"/>
    <w:basedOn w:val="DefaultParagraphFont"/>
    <w:uiPriority w:val="32"/>
    <w:qFormat/>
    <w:rsid w:val="00BE13FB"/>
    <w:rPr>
      <w:b/>
      <w:bCs/>
      <w:smallCaps/>
      <w:color w:val="2F5496" w:themeColor="accent1" w:themeShade="BF"/>
      <w:spacing w:val="5"/>
    </w:rPr>
  </w:style>
  <w:style w:type="paragraph" w:styleId="Header">
    <w:name w:val="header"/>
    <w:basedOn w:val="Normal"/>
    <w:link w:val="HeaderChar"/>
    <w:uiPriority w:val="99"/>
    <w:unhideWhenUsed/>
    <w:rsid w:val="00257F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7F27"/>
    <w:rPr>
      <w:lang w:val="en-GB"/>
    </w:rPr>
  </w:style>
  <w:style w:type="paragraph" w:styleId="Footer">
    <w:name w:val="footer"/>
    <w:basedOn w:val="Normal"/>
    <w:link w:val="FooterChar"/>
    <w:uiPriority w:val="99"/>
    <w:unhideWhenUsed/>
    <w:rsid w:val="00257F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7F27"/>
    <w:rPr>
      <w:lang w:val="en-GB"/>
    </w:rPr>
  </w:style>
  <w:style w:type="paragraph" w:styleId="TOCHeading">
    <w:name w:val="TOC Heading"/>
    <w:basedOn w:val="Heading1"/>
    <w:next w:val="Normal"/>
    <w:uiPriority w:val="39"/>
    <w:unhideWhenUsed/>
    <w:qFormat/>
    <w:rsid w:val="009D1DF5"/>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9D1DF5"/>
    <w:pPr>
      <w:spacing w:after="100"/>
    </w:pPr>
  </w:style>
  <w:style w:type="character" w:styleId="Hyperlink">
    <w:name w:val="Hyperlink"/>
    <w:basedOn w:val="DefaultParagraphFont"/>
    <w:uiPriority w:val="99"/>
    <w:unhideWhenUsed/>
    <w:rsid w:val="009D1DF5"/>
    <w:rPr>
      <w:color w:val="0563C1" w:themeColor="hyperlink"/>
      <w:u w:val="single"/>
    </w:rPr>
  </w:style>
  <w:style w:type="paragraph" w:styleId="TOC2">
    <w:name w:val="toc 2"/>
    <w:basedOn w:val="Normal"/>
    <w:next w:val="Normal"/>
    <w:autoRedefine/>
    <w:uiPriority w:val="39"/>
    <w:unhideWhenUsed/>
    <w:rsid w:val="007F555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DCC39D-F420-44BE-B6F5-20A42B5B46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3376</Words>
  <Characters>19247</Characters>
  <Application>Microsoft Office Word</Application>
  <DocSecurity>0</DocSecurity>
  <Lines>160</Lines>
  <Paragraphs>45</Paragraphs>
  <ScaleCrop>false</ScaleCrop>
  <Company/>
  <LinksUpToDate>false</LinksUpToDate>
  <CharactersWithSpaces>22578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Dinko Radev</cp:lastModifiedBy>
  <cp:revision>81</cp:revision>
  <dcterms:created xsi:type="dcterms:W3CDTF">2025-11-06T05:50:00Z</dcterms:created>
  <dcterms:modified xsi:type="dcterms:W3CDTF">2026-04-08T23:06:00Z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228a4a99-2b61-49fa-9498-8be2836785c3</vt:lpwstr>
  </property>
</Properties>
</file>