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DFA2E" w14:textId="77777777" w:rsidR="00D1708E" w:rsidRPr="00A33FDE" w:rsidRDefault="00D1708E" w:rsidP="00D1708E">
      <w:pPr>
        <w:jc w:val="center"/>
        <w:rPr>
          <w:b/>
          <w:bCs/>
          <w:sz w:val="36"/>
          <w:szCs w:val="36"/>
        </w:rPr>
      </w:pPr>
      <w:r w:rsidRPr="00A33FDE">
        <w:rPr>
          <w:b/>
          <w:bCs/>
          <w:noProof/>
          <w:sz w:val="36"/>
          <w:szCs w:val="36"/>
          <w:lang w:val="en-IN"/>
        </w:rPr>
        <w:drawing>
          <wp:inline distT="0" distB="0" distL="0" distR="0" wp14:anchorId="312CD012" wp14:editId="1F371D48">
            <wp:extent cx="3139712" cy="1234547"/>
            <wp:effectExtent l="0" t="0" r="3810" b="3810"/>
            <wp:docPr id="1317236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236064" name=""/>
                    <pic:cNvPicPr/>
                  </pic:nvPicPr>
                  <pic:blipFill>
                    <a:blip r:embed="rId4"/>
                    <a:stretch>
                      <a:fillRect/>
                    </a:stretch>
                  </pic:blipFill>
                  <pic:spPr>
                    <a:xfrm>
                      <a:off x="0" y="0"/>
                      <a:ext cx="3139712" cy="1234547"/>
                    </a:xfrm>
                    <a:prstGeom prst="rect">
                      <a:avLst/>
                    </a:prstGeom>
                  </pic:spPr>
                </pic:pic>
              </a:graphicData>
            </a:graphic>
          </wp:inline>
        </w:drawing>
      </w:r>
    </w:p>
    <w:p w14:paraId="2683682A" w14:textId="77777777" w:rsidR="00D1708E" w:rsidRDefault="00D1708E" w:rsidP="00D1708E">
      <w:pPr>
        <w:jc w:val="center"/>
        <w:rPr>
          <w:b/>
          <w:bCs/>
          <w:sz w:val="36"/>
          <w:szCs w:val="36"/>
        </w:rPr>
      </w:pPr>
    </w:p>
    <w:p w14:paraId="1A3FE89B" w14:textId="4698F468" w:rsidR="00D1708E" w:rsidRPr="00A33FDE" w:rsidRDefault="00D1708E" w:rsidP="00D1708E">
      <w:pPr>
        <w:jc w:val="center"/>
        <w:rPr>
          <w:b/>
          <w:bCs/>
          <w:sz w:val="36"/>
          <w:szCs w:val="36"/>
        </w:rPr>
      </w:pPr>
      <w:r w:rsidRPr="00A33FDE">
        <w:rPr>
          <w:b/>
          <w:bCs/>
          <w:sz w:val="36"/>
          <w:szCs w:val="36"/>
        </w:rPr>
        <w:t>Student Name:</w:t>
      </w:r>
      <w:r>
        <w:rPr>
          <w:b/>
          <w:bCs/>
          <w:sz w:val="36"/>
          <w:szCs w:val="36"/>
        </w:rPr>
        <w:t xml:space="preserve"> Akul Shailesh Panchal</w:t>
      </w:r>
    </w:p>
    <w:p w14:paraId="20CB3184" w14:textId="247231D4" w:rsidR="00D1708E" w:rsidRPr="00A33FDE" w:rsidRDefault="00D1708E" w:rsidP="00D1708E">
      <w:pPr>
        <w:jc w:val="center"/>
        <w:rPr>
          <w:b/>
          <w:bCs/>
          <w:sz w:val="36"/>
          <w:szCs w:val="36"/>
        </w:rPr>
      </w:pPr>
      <w:r w:rsidRPr="00A33FDE">
        <w:rPr>
          <w:b/>
          <w:bCs/>
          <w:sz w:val="36"/>
          <w:szCs w:val="36"/>
        </w:rPr>
        <w:t>Student ID:</w:t>
      </w:r>
      <w:r>
        <w:rPr>
          <w:b/>
          <w:bCs/>
          <w:sz w:val="36"/>
          <w:szCs w:val="36"/>
        </w:rPr>
        <w:t xml:space="preserve"> 2428878</w:t>
      </w:r>
    </w:p>
    <w:p w14:paraId="2E375910" w14:textId="77777777" w:rsidR="00D1708E" w:rsidRPr="00A33FDE" w:rsidRDefault="00D1708E" w:rsidP="00D1708E">
      <w:pPr>
        <w:jc w:val="center"/>
        <w:rPr>
          <w:b/>
          <w:bCs/>
          <w:sz w:val="36"/>
          <w:szCs w:val="36"/>
        </w:rPr>
      </w:pPr>
    </w:p>
    <w:p w14:paraId="1C6098ED" w14:textId="736E5F57" w:rsidR="00D1708E" w:rsidRPr="00A33FDE" w:rsidRDefault="00D1708E" w:rsidP="00D1708E">
      <w:pPr>
        <w:jc w:val="center"/>
        <w:rPr>
          <w:b/>
          <w:bCs/>
          <w:sz w:val="36"/>
          <w:szCs w:val="36"/>
        </w:rPr>
      </w:pPr>
      <w:r w:rsidRPr="00A33FDE">
        <w:rPr>
          <w:b/>
          <w:bCs/>
          <w:sz w:val="36"/>
          <w:szCs w:val="36"/>
        </w:rPr>
        <w:t xml:space="preserve">Module Name: </w:t>
      </w:r>
      <w:r w:rsidR="00435236">
        <w:rPr>
          <w:b/>
          <w:bCs/>
          <w:sz w:val="36"/>
          <w:szCs w:val="36"/>
        </w:rPr>
        <w:t>Finance</w:t>
      </w:r>
      <w:r w:rsidRPr="00A33FDE">
        <w:rPr>
          <w:b/>
          <w:bCs/>
          <w:sz w:val="36"/>
          <w:szCs w:val="36"/>
        </w:rPr>
        <w:t xml:space="preserve"> Management</w:t>
      </w:r>
    </w:p>
    <w:p w14:paraId="40D774F8" w14:textId="3485D6BE" w:rsidR="00D1708E" w:rsidRPr="00A33FDE" w:rsidRDefault="00D1708E" w:rsidP="00D1708E">
      <w:pPr>
        <w:jc w:val="center"/>
        <w:rPr>
          <w:b/>
          <w:bCs/>
          <w:sz w:val="36"/>
          <w:szCs w:val="36"/>
        </w:rPr>
      </w:pPr>
      <w:r w:rsidRPr="00A33FDE">
        <w:rPr>
          <w:b/>
          <w:bCs/>
          <w:sz w:val="36"/>
          <w:szCs w:val="36"/>
        </w:rPr>
        <w:t>Module Code: LCMB70</w:t>
      </w:r>
      <w:r w:rsidR="00435236">
        <w:rPr>
          <w:b/>
          <w:bCs/>
          <w:sz w:val="36"/>
          <w:szCs w:val="36"/>
        </w:rPr>
        <w:t>02</w:t>
      </w:r>
    </w:p>
    <w:p w14:paraId="24AF22C4" w14:textId="77777777" w:rsidR="00D1708E" w:rsidRPr="00A33FDE" w:rsidRDefault="00D1708E" w:rsidP="00D1708E">
      <w:pPr>
        <w:jc w:val="center"/>
        <w:rPr>
          <w:b/>
          <w:bCs/>
          <w:sz w:val="36"/>
          <w:szCs w:val="36"/>
        </w:rPr>
      </w:pPr>
    </w:p>
    <w:p w14:paraId="6DD5766B" w14:textId="1C41C6F1" w:rsidR="00D1708E" w:rsidRDefault="00D1708E" w:rsidP="00D1708E">
      <w:pPr>
        <w:jc w:val="center"/>
        <w:rPr>
          <w:b/>
          <w:bCs/>
          <w:sz w:val="36"/>
          <w:szCs w:val="36"/>
        </w:rPr>
      </w:pPr>
      <w:r w:rsidRPr="00A33FDE">
        <w:rPr>
          <w:b/>
          <w:bCs/>
          <w:sz w:val="36"/>
          <w:szCs w:val="36"/>
        </w:rPr>
        <w:t>Lecturer’s Name:</w:t>
      </w:r>
      <w:r>
        <w:rPr>
          <w:b/>
          <w:bCs/>
          <w:sz w:val="36"/>
          <w:szCs w:val="36"/>
        </w:rPr>
        <w:t xml:space="preserve"> </w:t>
      </w:r>
      <w:proofErr w:type="spellStart"/>
      <w:r w:rsidRPr="00D1708E">
        <w:rPr>
          <w:b/>
          <w:bCs/>
          <w:sz w:val="36"/>
          <w:szCs w:val="36"/>
        </w:rPr>
        <w:t>Shengfeng</w:t>
      </w:r>
      <w:proofErr w:type="spellEnd"/>
      <w:r w:rsidRPr="00D1708E">
        <w:rPr>
          <w:b/>
          <w:bCs/>
          <w:sz w:val="36"/>
          <w:szCs w:val="36"/>
        </w:rPr>
        <w:t xml:space="preserve"> Mei</w:t>
      </w:r>
    </w:p>
    <w:p w14:paraId="684BCC6B" w14:textId="3382A3CD" w:rsidR="00D1708E" w:rsidRPr="00A33FDE" w:rsidRDefault="00D1708E" w:rsidP="00D1708E">
      <w:pPr>
        <w:jc w:val="center"/>
        <w:rPr>
          <w:b/>
          <w:bCs/>
          <w:sz w:val="36"/>
          <w:szCs w:val="36"/>
        </w:rPr>
      </w:pPr>
    </w:p>
    <w:p w14:paraId="48A284ED" w14:textId="77777777" w:rsidR="00DE0959" w:rsidRDefault="00DE0959" w:rsidP="00D1708E">
      <w:pPr>
        <w:rPr>
          <w:b/>
          <w:bCs/>
          <w:sz w:val="32"/>
          <w:szCs w:val="32"/>
        </w:rPr>
      </w:pPr>
    </w:p>
    <w:p w14:paraId="1DD264AC" w14:textId="77777777" w:rsidR="00DE0959" w:rsidRDefault="00DE0959" w:rsidP="00C870A2">
      <w:pPr>
        <w:jc w:val="center"/>
        <w:rPr>
          <w:b/>
          <w:bCs/>
          <w:sz w:val="32"/>
          <w:szCs w:val="32"/>
        </w:rPr>
      </w:pPr>
    </w:p>
    <w:p w14:paraId="2B6CD588" w14:textId="77777777" w:rsidR="00DE0959" w:rsidRDefault="00DE0959" w:rsidP="00C870A2">
      <w:pPr>
        <w:jc w:val="center"/>
        <w:rPr>
          <w:b/>
          <w:bCs/>
          <w:sz w:val="32"/>
          <w:szCs w:val="32"/>
        </w:rPr>
      </w:pPr>
    </w:p>
    <w:p w14:paraId="471315E2" w14:textId="26C0746D" w:rsidR="00DE0959" w:rsidRDefault="00000000" w:rsidP="00C870A2">
      <w:pPr>
        <w:jc w:val="center"/>
        <w:rPr>
          <w:b/>
          <w:bCs/>
          <w:sz w:val="32"/>
          <w:szCs w:val="32"/>
        </w:rPr>
      </w:pPr>
      <w:r>
        <w:br w:type="page"/>
      </w:r>
    </w:p>
    <w:p w14:paraId="423B66CD" w14:textId="77777777" w:rsidR="00DE0959" w:rsidRDefault="00000000" w:rsidP="00C870A2">
      <w:pPr>
        <w:jc w:val="center"/>
        <w:rPr>
          <w:b/>
          <w:bCs/>
          <w:sz w:val="28"/>
          <w:szCs w:val="28"/>
        </w:rPr>
      </w:pPr>
      <w:r>
        <w:rPr>
          <w:b/>
          <w:bCs/>
          <w:sz w:val="28"/>
          <w:szCs w:val="28"/>
        </w:rPr>
        <w:lastRenderedPageBreak/>
        <w:t>Table of Contents</w:t>
      </w:r>
    </w:p>
    <w:sdt>
      <w:sdtPr>
        <w:id w:val="-574636624"/>
        <w:docPartObj>
          <w:docPartGallery w:val="Table of Contents"/>
          <w:docPartUnique/>
        </w:docPartObj>
      </w:sdtPr>
      <w:sdtContent>
        <w:p w14:paraId="7BE3AF4B" w14:textId="77777777" w:rsidR="00DE0959" w:rsidRDefault="00DE0959" w:rsidP="00C870A2">
          <w:pPr>
            <w:widowControl w:val="0"/>
            <w:tabs>
              <w:tab w:val="right" w:leader="dot" w:pos="9360"/>
            </w:tabs>
            <w:spacing w:before="60" w:after="0"/>
            <w:jc w:val="left"/>
            <w:rPr>
              <w:b/>
              <w:bCs/>
              <w:color w:val="000000"/>
            </w:rPr>
          </w:pPr>
          <w:r>
            <w:fldChar w:fldCharType="begin"/>
          </w:r>
          <w:r w:rsidR="00000000">
            <w:instrText xml:space="preserve"> TOC \h \u \z \t "Heading 1,1,Heading 2,2,Heading 3,3,Heading 4,4,Heading 5,5,Heading 6,6,"</w:instrText>
          </w:r>
          <w:r>
            <w:fldChar w:fldCharType="separate"/>
          </w:r>
          <w:hyperlink w:anchor="_o7945bf0e3fy">
            <w:r>
              <w:rPr>
                <w:b/>
                <w:bCs/>
                <w:color w:val="000000"/>
              </w:rPr>
              <w:t>1. Introduction</w:t>
            </w:r>
            <w:r>
              <w:rPr>
                <w:b/>
                <w:bCs/>
                <w:color w:val="000000"/>
              </w:rPr>
              <w:tab/>
            </w:r>
          </w:hyperlink>
          <w:r w:rsidR="00000000">
            <w:fldChar w:fldCharType="begin"/>
          </w:r>
          <w:r w:rsidR="00000000">
            <w:instrText xml:space="preserve"> PAGEREF _o7945bf0e3fy \h </w:instrText>
          </w:r>
          <w:r w:rsidR="00000000">
            <w:fldChar w:fldCharType="separate"/>
          </w:r>
          <w:r w:rsidR="00000000">
            <w:rPr>
              <w:b/>
              <w:bCs/>
            </w:rPr>
            <w:t>4</w:t>
          </w:r>
          <w:r w:rsidR="00000000">
            <w:fldChar w:fldCharType="end"/>
          </w:r>
        </w:p>
        <w:p w14:paraId="68C8D4DE" w14:textId="77777777" w:rsidR="00DE0959" w:rsidRDefault="00DE0959" w:rsidP="00C870A2">
          <w:pPr>
            <w:widowControl w:val="0"/>
            <w:tabs>
              <w:tab w:val="right" w:leader="dot" w:pos="9360"/>
            </w:tabs>
            <w:spacing w:before="60" w:after="0"/>
            <w:jc w:val="left"/>
            <w:rPr>
              <w:b/>
              <w:bCs/>
              <w:color w:val="000000"/>
            </w:rPr>
          </w:pPr>
          <w:hyperlink w:anchor="_eme4ssfvxcdu">
            <w:r>
              <w:rPr>
                <w:b/>
                <w:bCs/>
                <w:color w:val="000000"/>
              </w:rPr>
              <w:t>2. Financial Health Check</w:t>
            </w:r>
            <w:r>
              <w:rPr>
                <w:b/>
                <w:bCs/>
                <w:color w:val="000000"/>
              </w:rPr>
              <w:tab/>
            </w:r>
          </w:hyperlink>
          <w:r>
            <w:fldChar w:fldCharType="begin"/>
          </w:r>
          <w:r>
            <w:instrText xml:space="preserve"> PAGEREF _eme4ssfvxcdu \h </w:instrText>
          </w:r>
          <w:r>
            <w:fldChar w:fldCharType="separate"/>
          </w:r>
          <w:r>
            <w:rPr>
              <w:b/>
              <w:bCs/>
            </w:rPr>
            <w:t>4</w:t>
          </w:r>
          <w:r>
            <w:fldChar w:fldCharType="end"/>
          </w:r>
        </w:p>
        <w:p w14:paraId="7B9B35F7" w14:textId="77777777" w:rsidR="00DE0959" w:rsidRDefault="00DE0959" w:rsidP="00C870A2">
          <w:pPr>
            <w:widowControl w:val="0"/>
            <w:tabs>
              <w:tab w:val="right" w:leader="dot" w:pos="9360"/>
            </w:tabs>
            <w:spacing w:before="60" w:after="0"/>
            <w:ind w:left="360"/>
            <w:jc w:val="left"/>
            <w:rPr>
              <w:color w:val="000000"/>
            </w:rPr>
          </w:pPr>
          <w:hyperlink w:anchor="_kcu2nzxkvxyo">
            <w:r>
              <w:rPr>
                <w:color w:val="000000"/>
              </w:rPr>
              <w:t>2.1 Overview of Financial Statements (Five-Year Review)</w:t>
            </w:r>
            <w:r>
              <w:rPr>
                <w:color w:val="000000"/>
              </w:rPr>
              <w:tab/>
            </w:r>
          </w:hyperlink>
          <w:r>
            <w:fldChar w:fldCharType="begin"/>
          </w:r>
          <w:r>
            <w:instrText xml:space="preserve"> PAGEREF _kcu2nzxkvxyo \h </w:instrText>
          </w:r>
          <w:r>
            <w:fldChar w:fldCharType="separate"/>
          </w:r>
          <w:r>
            <w:t>4</w:t>
          </w:r>
          <w:r>
            <w:fldChar w:fldCharType="end"/>
          </w:r>
        </w:p>
        <w:p w14:paraId="0C724576" w14:textId="77777777" w:rsidR="00DE0959" w:rsidRDefault="00DE0959" w:rsidP="00C870A2">
          <w:pPr>
            <w:widowControl w:val="0"/>
            <w:tabs>
              <w:tab w:val="right" w:leader="dot" w:pos="9360"/>
            </w:tabs>
            <w:spacing w:before="60" w:after="0"/>
            <w:ind w:left="360"/>
            <w:jc w:val="left"/>
            <w:rPr>
              <w:color w:val="000000"/>
            </w:rPr>
          </w:pPr>
          <w:hyperlink w:anchor="_ny7b3r64v02u">
            <w:r>
              <w:rPr>
                <w:color w:val="000000"/>
              </w:rPr>
              <w:t>2.2 Profitability Analysis</w:t>
            </w:r>
            <w:r>
              <w:rPr>
                <w:color w:val="000000"/>
              </w:rPr>
              <w:tab/>
            </w:r>
          </w:hyperlink>
          <w:r>
            <w:fldChar w:fldCharType="begin"/>
          </w:r>
          <w:r>
            <w:instrText xml:space="preserve"> PAGEREF _ny7b3r64v02u \h </w:instrText>
          </w:r>
          <w:r>
            <w:fldChar w:fldCharType="separate"/>
          </w:r>
          <w:r>
            <w:t>5</w:t>
          </w:r>
          <w:r>
            <w:fldChar w:fldCharType="end"/>
          </w:r>
        </w:p>
        <w:p w14:paraId="16DF75BE" w14:textId="77777777" w:rsidR="00DE0959" w:rsidRDefault="00DE0959" w:rsidP="00C870A2">
          <w:pPr>
            <w:widowControl w:val="0"/>
            <w:tabs>
              <w:tab w:val="right" w:leader="dot" w:pos="9360"/>
            </w:tabs>
            <w:spacing w:before="60" w:after="0"/>
            <w:ind w:left="360"/>
            <w:jc w:val="left"/>
            <w:rPr>
              <w:color w:val="000000"/>
            </w:rPr>
          </w:pPr>
          <w:hyperlink w:anchor="_31l0r6uub3hn">
            <w:r>
              <w:rPr>
                <w:color w:val="000000"/>
              </w:rPr>
              <w:t>2.3 Liquidity Analysis</w:t>
            </w:r>
            <w:r>
              <w:rPr>
                <w:color w:val="000000"/>
              </w:rPr>
              <w:tab/>
            </w:r>
          </w:hyperlink>
          <w:r>
            <w:fldChar w:fldCharType="begin"/>
          </w:r>
          <w:r>
            <w:instrText xml:space="preserve"> PAGEREF _31l0r6uub3hn \h </w:instrText>
          </w:r>
          <w:r>
            <w:fldChar w:fldCharType="separate"/>
          </w:r>
          <w:r>
            <w:t>5</w:t>
          </w:r>
          <w:r>
            <w:fldChar w:fldCharType="end"/>
          </w:r>
        </w:p>
        <w:p w14:paraId="15B4C481" w14:textId="77777777" w:rsidR="00DE0959" w:rsidRDefault="00DE0959" w:rsidP="00C870A2">
          <w:pPr>
            <w:widowControl w:val="0"/>
            <w:tabs>
              <w:tab w:val="right" w:leader="dot" w:pos="9360"/>
            </w:tabs>
            <w:spacing w:before="60" w:after="0"/>
            <w:ind w:left="360"/>
            <w:jc w:val="left"/>
            <w:rPr>
              <w:color w:val="000000"/>
            </w:rPr>
          </w:pPr>
          <w:hyperlink w:anchor="_dyo0j01zchpc">
            <w:r>
              <w:rPr>
                <w:color w:val="000000"/>
              </w:rPr>
              <w:t>2.4 Efficiency (Activity) Analysis</w:t>
            </w:r>
            <w:r>
              <w:rPr>
                <w:color w:val="000000"/>
              </w:rPr>
              <w:tab/>
            </w:r>
          </w:hyperlink>
          <w:r>
            <w:fldChar w:fldCharType="begin"/>
          </w:r>
          <w:r>
            <w:instrText xml:space="preserve"> PAGEREF _dyo0j01zchpc \h </w:instrText>
          </w:r>
          <w:r>
            <w:fldChar w:fldCharType="separate"/>
          </w:r>
          <w:r>
            <w:t>6</w:t>
          </w:r>
          <w:r>
            <w:fldChar w:fldCharType="end"/>
          </w:r>
        </w:p>
        <w:p w14:paraId="52E35178" w14:textId="77777777" w:rsidR="00DE0959" w:rsidRDefault="00DE0959" w:rsidP="00C870A2">
          <w:pPr>
            <w:widowControl w:val="0"/>
            <w:tabs>
              <w:tab w:val="right" w:leader="dot" w:pos="9360"/>
            </w:tabs>
            <w:spacing w:before="60" w:after="0"/>
            <w:ind w:left="360"/>
            <w:jc w:val="left"/>
            <w:rPr>
              <w:color w:val="000000"/>
            </w:rPr>
          </w:pPr>
          <w:hyperlink w:anchor="_n6hpl8gm0wpq">
            <w:r>
              <w:rPr>
                <w:color w:val="000000"/>
              </w:rPr>
              <w:t>2.5 Gearing and Solvency Analysis</w:t>
            </w:r>
            <w:r>
              <w:rPr>
                <w:color w:val="000000"/>
              </w:rPr>
              <w:tab/>
            </w:r>
          </w:hyperlink>
          <w:r>
            <w:fldChar w:fldCharType="begin"/>
          </w:r>
          <w:r>
            <w:instrText xml:space="preserve"> PAGEREF _n6hpl8gm0wpq \h </w:instrText>
          </w:r>
          <w:r>
            <w:fldChar w:fldCharType="separate"/>
          </w:r>
          <w:r>
            <w:t>6</w:t>
          </w:r>
          <w:r>
            <w:fldChar w:fldCharType="end"/>
          </w:r>
        </w:p>
        <w:p w14:paraId="75B942CE" w14:textId="77777777" w:rsidR="00DE0959" w:rsidRDefault="00DE0959" w:rsidP="00C870A2">
          <w:pPr>
            <w:widowControl w:val="0"/>
            <w:tabs>
              <w:tab w:val="right" w:leader="dot" w:pos="9360"/>
            </w:tabs>
            <w:spacing w:before="60" w:after="0"/>
            <w:ind w:left="360"/>
            <w:jc w:val="left"/>
            <w:rPr>
              <w:color w:val="000000"/>
            </w:rPr>
          </w:pPr>
          <w:hyperlink w:anchor="_lobpsrqrjpik">
            <w:r>
              <w:rPr>
                <w:color w:val="000000"/>
              </w:rPr>
              <w:t>2.6 Investment (Market-Based) Ratios</w:t>
            </w:r>
            <w:r>
              <w:rPr>
                <w:color w:val="000000"/>
              </w:rPr>
              <w:tab/>
            </w:r>
          </w:hyperlink>
          <w:r>
            <w:fldChar w:fldCharType="begin"/>
          </w:r>
          <w:r>
            <w:instrText xml:space="preserve"> PAGEREF _lobpsrqrjpik \h </w:instrText>
          </w:r>
          <w:r>
            <w:fldChar w:fldCharType="separate"/>
          </w:r>
          <w:r>
            <w:t>7</w:t>
          </w:r>
          <w:r>
            <w:fldChar w:fldCharType="end"/>
          </w:r>
        </w:p>
        <w:p w14:paraId="5F44CD59" w14:textId="77777777" w:rsidR="00DE0959" w:rsidRDefault="00DE0959" w:rsidP="00C870A2">
          <w:pPr>
            <w:widowControl w:val="0"/>
            <w:tabs>
              <w:tab w:val="right" w:leader="dot" w:pos="9360"/>
            </w:tabs>
            <w:spacing w:before="60" w:after="0"/>
            <w:ind w:left="360"/>
            <w:jc w:val="left"/>
            <w:rPr>
              <w:color w:val="000000"/>
            </w:rPr>
          </w:pPr>
          <w:hyperlink w:anchor="_rpudyyoehcmp">
            <w:r>
              <w:rPr>
                <w:color w:val="000000"/>
              </w:rPr>
              <w:t>2.7 Cash Flow Analysis</w:t>
            </w:r>
            <w:r>
              <w:rPr>
                <w:color w:val="000000"/>
              </w:rPr>
              <w:tab/>
            </w:r>
          </w:hyperlink>
          <w:r>
            <w:fldChar w:fldCharType="begin"/>
          </w:r>
          <w:r>
            <w:instrText xml:space="preserve"> PAGEREF _rpudyyoehcmp \h </w:instrText>
          </w:r>
          <w:r>
            <w:fldChar w:fldCharType="separate"/>
          </w:r>
          <w:r>
            <w:t>7</w:t>
          </w:r>
          <w:r>
            <w:fldChar w:fldCharType="end"/>
          </w:r>
        </w:p>
        <w:p w14:paraId="6D86BA8D" w14:textId="77777777" w:rsidR="00DE0959" w:rsidRDefault="00DE0959" w:rsidP="00C870A2">
          <w:pPr>
            <w:widowControl w:val="0"/>
            <w:tabs>
              <w:tab w:val="right" w:leader="dot" w:pos="9360"/>
            </w:tabs>
            <w:spacing w:before="60" w:after="0"/>
            <w:ind w:left="360"/>
            <w:jc w:val="left"/>
            <w:rPr>
              <w:color w:val="000000"/>
            </w:rPr>
          </w:pPr>
          <w:hyperlink w:anchor="_g7i7f7ha21hx">
            <w:r>
              <w:rPr>
                <w:color w:val="000000"/>
              </w:rPr>
              <w:t>2.8 Corporate Failure Risk Assessment</w:t>
            </w:r>
            <w:r>
              <w:rPr>
                <w:color w:val="000000"/>
              </w:rPr>
              <w:tab/>
            </w:r>
          </w:hyperlink>
          <w:r>
            <w:fldChar w:fldCharType="begin"/>
          </w:r>
          <w:r>
            <w:instrText xml:space="preserve"> PAGEREF _g7i7f7ha21hx \h </w:instrText>
          </w:r>
          <w:r>
            <w:fldChar w:fldCharType="separate"/>
          </w:r>
          <w:r>
            <w:t>8</w:t>
          </w:r>
          <w:r>
            <w:fldChar w:fldCharType="end"/>
          </w:r>
        </w:p>
        <w:p w14:paraId="64AFB0A7" w14:textId="77777777" w:rsidR="00DE0959" w:rsidRDefault="00DE0959" w:rsidP="00C870A2">
          <w:pPr>
            <w:widowControl w:val="0"/>
            <w:tabs>
              <w:tab w:val="right" w:leader="dot" w:pos="9360"/>
            </w:tabs>
            <w:spacing w:before="60" w:after="0"/>
            <w:ind w:left="360"/>
            <w:jc w:val="left"/>
            <w:rPr>
              <w:color w:val="000000"/>
            </w:rPr>
          </w:pPr>
          <w:hyperlink w:anchor="_5fmf2b9atko2">
            <w:r>
              <w:rPr>
                <w:color w:val="000000"/>
              </w:rPr>
              <w:t>2.9 Summary of Financial Strengths and Weaknesses</w:t>
            </w:r>
            <w:r>
              <w:rPr>
                <w:color w:val="000000"/>
              </w:rPr>
              <w:tab/>
            </w:r>
          </w:hyperlink>
          <w:r>
            <w:fldChar w:fldCharType="begin"/>
          </w:r>
          <w:r>
            <w:instrText xml:space="preserve"> PAGEREF _5fmf2b9atko2 \h </w:instrText>
          </w:r>
          <w:r>
            <w:fldChar w:fldCharType="separate"/>
          </w:r>
          <w:r>
            <w:t>8</w:t>
          </w:r>
          <w:r>
            <w:fldChar w:fldCharType="end"/>
          </w:r>
        </w:p>
        <w:p w14:paraId="4318D334" w14:textId="77777777" w:rsidR="00DE0959" w:rsidRDefault="00DE0959" w:rsidP="00C870A2">
          <w:pPr>
            <w:widowControl w:val="0"/>
            <w:tabs>
              <w:tab w:val="right" w:leader="dot" w:pos="9360"/>
            </w:tabs>
            <w:spacing w:before="60" w:after="0"/>
            <w:jc w:val="left"/>
            <w:rPr>
              <w:b/>
              <w:bCs/>
              <w:color w:val="000000"/>
            </w:rPr>
          </w:pPr>
          <w:hyperlink w:anchor="_z9jnz9ppu5x9">
            <w:r>
              <w:rPr>
                <w:b/>
                <w:bCs/>
                <w:color w:val="000000"/>
              </w:rPr>
              <w:t>3. Working Capital Management Analysis</w:t>
            </w:r>
            <w:r>
              <w:rPr>
                <w:b/>
                <w:bCs/>
                <w:color w:val="000000"/>
              </w:rPr>
              <w:tab/>
            </w:r>
          </w:hyperlink>
          <w:r>
            <w:fldChar w:fldCharType="begin"/>
          </w:r>
          <w:r>
            <w:instrText xml:space="preserve"> PAGEREF _z9jnz9ppu5x9 \h </w:instrText>
          </w:r>
          <w:r>
            <w:fldChar w:fldCharType="separate"/>
          </w:r>
          <w:r>
            <w:rPr>
              <w:b/>
              <w:bCs/>
            </w:rPr>
            <w:t>9</w:t>
          </w:r>
          <w:r>
            <w:fldChar w:fldCharType="end"/>
          </w:r>
        </w:p>
        <w:p w14:paraId="2A6B583F" w14:textId="77777777" w:rsidR="00DE0959" w:rsidRDefault="00DE0959" w:rsidP="00C870A2">
          <w:pPr>
            <w:widowControl w:val="0"/>
            <w:tabs>
              <w:tab w:val="right" w:leader="dot" w:pos="9360"/>
            </w:tabs>
            <w:spacing w:before="60" w:after="0"/>
            <w:ind w:left="360"/>
            <w:jc w:val="left"/>
            <w:rPr>
              <w:color w:val="000000"/>
            </w:rPr>
          </w:pPr>
          <w:hyperlink w:anchor="_cvebu5eo0zl0">
            <w:r>
              <w:rPr>
                <w:color w:val="000000"/>
              </w:rPr>
              <w:t>3.1 Cash Operating Cycle Analysis</w:t>
            </w:r>
            <w:r>
              <w:rPr>
                <w:color w:val="000000"/>
              </w:rPr>
              <w:tab/>
            </w:r>
          </w:hyperlink>
          <w:r>
            <w:fldChar w:fldCharType="begin"/>
          </w:r>
          <w:r>
            <w:instrText xml:space="preserve"> PAGEREF _cvebu5eo0zl0 \h </w:instrText>
          </w:r>
          <w:r>
            <w:fldChar w:fldCharType="separate"/>
          </w:r>
          <w:r>
            <w:t>9</w:t>
          </w:r>
          <w:r>
            <w:fldChar w:fldCharType="end"/>
          </w:r>
        </w:p>
        <w:p w14:paraId="73252101" w14:textId="77777777" w:rsidR="00DE0959" w:rsidRDefault="00DE0959" w:rsidP="00C870A2">
          <w:pPr>
            <w:widowControl w:val="0"/>
            <w:tabs>
              <w:tab w:val="right" w:leader="dot" w:pos="9360"/>
            </w:tabs>
            <w:spacing w:before="60" w:after="0"/>
            <w:ind w:left="360"/>
            <w:jc w:val="left"/>
            <w:rPr>
              <w:color w:val="000000"/>
            </w:rPr>
          </w:pPr>
          <w:hyperlink w:anchor="_ou7hkw271u26">
            <w:r>
              <w:rPr>
                <w:color w:val="000000"/>
              </w:rPr>
              <w:t>3.2 Identified Working Capital Problems</w:t>
            </w:r>
            <w:r>
              <w:rPr>
                <w:color w:val="000000"/>
              </w:rPr>
              <w:tab/>
            </w:r>
          </w:hyperlink>
          <w:r>
            <w:fldChar w:fldCharType="begin"/>
          </w:r>
          <w:r>
            <w:instrText xml:space="preserve"> PAGEREF _ou7hkw271u26 \h </w:instrText>
          </w:r>
          <w:r>
            <w:fldChar w:fldCharType="separate"/>
          </w:r>
          <w:r>
            <w:t>10</w:t>
          </w:r>
          <w:r>
            <w:fldChar w:fldCharType="end"/>
          </w:r>
        </w:p>
        <w:p w14:paraId="72702570" w14:textId="77777777" w:rsidR="00DE0959" w:rsidRDefault="00DE0959" w:rsidP="00C870A2">
          <w:pPr>
            <w:widowControl w:val="0"/>
            <w:tabs>
              <w:tab w:val="right" w:leader="dot" w:pos="9360"/>
            </w:tabs>
            <w:spacing w:before="60" w:after="0"/>
            <w:ind w:left="360"/>
            <w:jc w:val="left"/>
            <w:rPr>
              <w:color w:val="000000"/>
            </w:rPr>
          </w:pPr>
          <w:hyperlink w:anchor="_6nwfg5yymrhc">
            <w:r>
              <w:rPr>
                <w:color w:val="000000"/>
              </w:rPr>
              <w:t>3.3 Strategies to Improve Liquidity</w:t>
            </w:r>
            <w:r>
              <w:rPr>
                <w:color w:val="000000"/>
              </w:rPr>
              <w:tab/>
            </w:r>
          </w:hyperlink>
          <w:r>
            <w:fldChar w:fldCharType="begin"/>
          </w:r>
          <w:r>
            <w:instrText xml:space="preserve"> PAGEREF _6nwfg5yymrhc \h </w:instrText>
          </w:r>
          <w:r>
            <w:fldChar w:fldCharType="separate"/>
          </w:r>
          <w:r>
            <w:t>10</w:t>
          </w:r>
          <w:r>
            <w:fldChar w:fldCharType="end"/>
          </w:r>
        </w:p>
        <w:p w14:paraId="5359201D" w14:textId="77777777" w:rsidR="00DE0959" w:rsidRDefault="00DE0959" w:rsidP="00C870A2">
          <w:pPr>
            <w:widowControl w:val="0"/>
            <w:tabs>
              <w:tab w:val="right" w:leader="dot" w:pos="9360"/>
            </w:tabs>
            <w:spacing w:before="60" w:after="0"/>
            <w:ind w:left="360"/>
            <w:jc w:val="left"/>
            <w:rPr>
              <w:color w:val="000000"/>
            </w:rPr>
          </w:pPr>
          <w:hyperlink w:anchor="_vafqbxojnhp7">
            <w:r>
              <w:rPr>
                <w:color w:val="000000"/>
              </w:rPr>
              <w:t>3.4 Short-Term vs Long-Term Financing Options</w:t>
            </w:r>
            <w:r>
              <w:rPr>
                <w:color w:val="000000"/>
              </w:rPr>
              <w:tab/>
            </w:r>
          </w:hyperlink>
          <w:r>
            <w:fldChar w:fldCharType="begin"/>
          </w:r>
          <w:r>
            <w:instrText xml:space="preserve"> PAGEREF _vafqbxojnhp7 \h </w:instrText>
          </w:r>
          <w:r>
            <w:fldChar w:fldCharType="separate"/>
          </w:r>
          <w:r>
            <w:t>11</w:t>
          </w:r>
          <w:r>
            <w:fldChar w:fldCharType="end"/>
          </w:r>
        </w:p>
        <w:p w14:paraId="1D31DE11" w14:textId="77777777" w:rsidR="00DE0959" w:rsidRDefault="00DE0959" w:rsidP="00C870A2">
          <w:pPr>
            <w:widowControl w:val="0"/>
            <w:tabs>
              <w:tab w:val="right" w:leader="dot" w:pos="9360"/>
            </w:tabs>
            <w:spacing w:before="60" w:after="0"/>
            <w:ind w:left="360"/>
            <w:jc w:val="left"/>
            <w:rPr>
              <w:color w:val="000000"/>
            </w:rPr>
          </w:pPr>
          <w:hyperlink w:anchor="_5r7fx0rxwm3x">
            <w:r>
              <w:rPr>
                <w:color w:val="000000"/>
              </w:rPr>
              <w:t>3.5 Impact on Financial Stability</w:t>
            </w:r>
            <w:r>
              <w:rPr>
                <w:color w:val="000000"/>
              </w:rPr>
              <w:tab/>
            </w:r>
          </w:hyperlink>
          <w:r>
            <w:fldChar w:fldCharType="begin"/>
          </w:r>
          <w:r>
            <w:instrText xml:space="preserve"> PAGEREF _5r7fx0rxwm3x \h </w:instrText>
          </w:r>
          <w:r>
            <w:fldChar w:fldCharType="separate"/>
          </w:r>
          <w:r>
            <w:t>12</w:t>
          </w:r>
          <w:r>
            <w:fldChar w:fldCharType="end"/>
          </w:r>
        </w:p>
        <w:p w14:paraId="1D20EA60" w14:textId="77777777" w:rsidR="00DE0959" w:rsidRDefault="00DE0959" w:rsidP="00C870A2">
          <w:pPr>
            <w:widowControl w:val="0"/>
            <w:tabs>
              <w:tab w:val="right" w:leader="dot" w:pos="9360"/>
            </w:tabs>
            <w:spacing w:before="60" w:after="0"/>
            <w:jc w:val="left"/>
            <w:rPr>
              <w:b/>
              <w:bCs/>
              <w:color w:val="000000"/>
            </w:rPr>
          </w:pPr>
          <w:hyperlink w:anchor="_w28uep33q7xy">
            <w:r>
              <w:rPr>
                <w:b/>
                <w:bCs/>
                <w:color w:val="000000"/>
              </w:rPr>
              <w:t>4. Strategic Financial Restructuring Plan</w:t>
            </w:r>
            <w:r>
              <w:rPr>
                <w:b/>
                <w:bCs/>
                <w:color w:val="000000"/>
              </w:rPr>
              <w:tab/>
            </w:r>
          </w:hyperlink>
          <w:r>
            <w:fldChar w:fldCharType="begin"/>
          </w:r>
          <w:r>
            <w:instrText xml:space="preserve"> PAGEREF _w28uep33q7xy \h </w:instrText>
          </w:r>
          <w:r>
            <w:fldChar w:fldCharType="separate"/>
          </w:r>
          <w:r>
            <w:rPr>
              <w:b/>
              <w:bCs/>
            </w:rPr>
            <w:t>12</w:t>
          </w:r>
          <w:r>
            <w:fldChar w:fldCharType="end"/>
          </w:r>
        </w:p>
        <w:p w14:paraId="12CC2132" w14:textId="77777777" w:rsidR="00DE0959" w:rsidRDefault="00DE0959" w:rsidP="00C870A2">
          <w:pPr>
            <w:widowControl w:val="0"/>
            <w:tabs>
              <w:tab w:val="right" w:leader="dot" w:pos="9360"/>
            </w:tabs>
            <w:spacing w:before="60" w:after="0"/>
            <w:ind w:left="360"/>
            <w:jc w:val="left"/>
            <w:rPr>
              <w:color w:val="000000"/>
            </w:rPr>
          </w:pPr>
          <w:hyperlink w:anchor="_losbur77pmm6">
            <w:r>
              <w:rPr>
                <w:color w:val="000000"/>
              </w:rPr>
              <w:t>4.1 Need for Financial Restructuring</w:t>
            </w:r>
            <w:r>
              <w:rPr>
                <w:color w:val="000000"/>
              </w:rPr>
              <w:tab/>
            </w:r>
          </w:hyperlink>
          <w:r>
            <w:fldChar w:fldCharType="begin"/>
          </w:r>
          <w:r>
            <w:instrText xml:space="preserve"> PAGEREF _losbur77pmm6 \h </w:instrText>
          </w:r>
          <w:r>
            <w:fldChar w:fldCharType="separate"/>
          </w:r>
          <w:r>
            <w:t>12</w:t>
          </w:r>
          <w:r>
            <w:fldChar w:fldCharType="end"/>
          </w:r>
        </w:p>
        <w:p w14:paraId="3C22371B" w14:textId="77777777" w:rsidR="00DE0959" w:rsidRDefault="00DE0959" w:rsidP="00C870A2">
          <w:pPr>
            <w:widowControl w:val="0"/>
            <w:tabs>
              <w:tab w:val="right" w:leader="dot" w:pos="9360"/>
            </w:tabs>
            <w:spacing w:before="60" w:after="0"/>
            <w:ind w:left="360"/>
            <w:jc w:val="left"/>
            <w:rPr>
              <w:color w:val="000000"/>
            </w:rPr>
          </w:pPr>
          <w:hyperlink w:anchor="_4seqkcszl9n1">
            <w:r>
              <w:rPr>
                <w:color w:val="000000"/>
              </w:rPr>
              <w:t>4.2 Restructuring Options Evaluation</w:t>
            </w:r>
            <w:r>
              <w:rPr>
                <w:color w:val="000000"/>
              </w:rPr>
              <w:tab/>
            </w:r>
          </w:hyperlink>
          <w:r>
            <w:fldChar w:fldCharType="begin"/>
          </w:r>
          <w:r>
            <w:instrText xml:space="preserve"> PAGEREF _4seqkcszl9n1 \h </w:instrText>
          </w:r>
          <w:r>
            <w:fldChar w:fldCharType="separate"/>
          </w:r>
          <w:r>
            <w:t>12</w:t>
          </w:r>
          <w:r>
            <w:fldChar w:fldCharType="end"/>
          </w:r>
        </w:p>
        <w:p w14:paraId="07A8ECA4" w14:textId="77777777" w:rsidR="00DE0959" w:rsidRDefault="00DE0959" w:rsidP="00C870A2">
          <w:pPr>
            <w:widowControl w:val="0"/>
            <w:tabs>
              <w:tab w:val="right" w:leader="dot" w:pos="9360"/>
            </w:tabs>
            <w:spacing w:before="60" w:after="0"/>
            <w:ind w:left="720"/>
            <w:jc w:val="left"/>
            <w:rPr>
              <w:color w:val="000000"/>
            </w:rPr>
          </w:pPr>
          <w:hyperlink w:anchor="_3gjsf0lcp1ui">
            <w:r>
              <w:rPr>
                <w:color w:val="000000"/>
              </w:rPr>
              <w:t>4.2.1 Asset Divestiture</w:t>
            </w:r>
            <w:r>
              <w:rPr>
                <w:color w:val="000000"/>
              </w:rPr>
              <w:tab/>
            </w:r>
          </w:hyperlink>
          <w:r>
            <w:fldChar w:fldCharType="begin"/>
          </w:r>
          <w:r>
            <w:instrText xml:space="preserve"> PAGEREF _3gjsf0lcp1ui \h </w:instrText>
          </w:r>
          <w:r>
            <w:fldChar w:fldCharType="separate"/>
          </w:r>
          <w:r>
            <w:t>13</w:t>
          </w:r>
          <w:r>
            <w:fldChar w:fldCharType="end"/>
          </w:r>
        </w:p>
        <w:p w14:paraId="768AFD48" w14:textId="77777777" w:rsidR="00DE0959" w:rsidRDefault="00DE0959" w:rsidP="00C870A2">
          <w:pPr>
            <w:widowControl w:val="0"/>
            <w:tabs>
              <w:tab w:val="right" w:leader="dot" w:pos="9360"/>
            </w:tabs>
            <w:spacing w:before="60" w:after="0"/>
            <w:ind w:left="720"/>
            <w:jc w:val="left"/>
            <w:rPr>
              <w:color w:val="000000"/>
            </w:rPr>
          </w:pPr>
          <w:hyperlink w:anchor="_fmg7evys2nrz">
            <w:r>
              <w:rPr>
                <w:color w:val="000000"/>
              </w:rPr>
              <w:t>4.2.2 Equity Injection</w:t>
            </w:r>
            <w:r>
              <w:rPr>
                <w:color w:val="000000"/>
              </w:rPr>
              <w:tab/>
            </w:r>
          </w:hyperlink>
          <w:r>
            <w:fldChar w:fldCharType="begin"/>
          </w:r>
          <w:r>
            <w:instrText xml:space="preserve"> PAGEREF _fmg7evys2nrz \h </w:instrText>
          </w:r>
          <w:r>
            <w:fldChar w:fldCharType="separate"/>
          </w:r>
          <w:r>
            <w:t>13</w:t>
          </w:r>
          <w:r>
            <w:fldChar w:fldCharType="end"/>
          </w:r>
        </w:p>
        <w:p w14:paraId="4D23ABB7" w14:textId="77777777" w:rsidR="00DE0959" w:rsidRDefault="00DE0959" w:rsidP="00C870A2">
          <w:pPr>
            <w:widowControl w:val="0"/>
            <w:tabs>
              <w:tab w:val="right" w:leader="dot" w:pos="9360"/>
            </w:tabs>
            <w:spacing w:before="60" w:after="0"/>
            <w:ind w:left="720"/>
            <w:jc w:val="left"/>
            <w:rPr>
              <w:color w:val="000000"/>
            </w:rPr>
          </w:pPr>
          <w:hyperlink w:anchor="_tjkqi0runy96">
            <w:r>
              <w:rPr>
                <w:color w:val="000000"/>
              </w:rPr>
              <w:t>4.2.3 Debt Restructuring</w:t>
            </w:r>
            <w:r>
              <w:rPr>
                <w:color w:val="000000"/>
              </w:rPr>
              <w:tab/>
            </w:r>
          </w:hyperlink>
          <w:r>
            <w:fldChar w:fldCharType="begin"/>
          </w:r>
          <w:r>
            <w:instrText xml:space="preserve"> PAGEREF _tjkqi0runy96 \h </w:instrText>
          </w:r>
          <w:r>
            <w:fldChar w:fldCharType="separate"/>
          </w:r>
          <w:r>
            <w:t>13</w:t>
          </w:r>
          <w:r>
            <w:fldChar w:fldCharType="end"/>
          </w:r>
        </w:p>
        <w:p w14:paraId="6C7F6F5C" w14:textId="77777777" w:rsidR="00DE0959" w:rsidRDefault="00DE0959" w:rsidP="00C870A2">
          <w:pPr>
            <w:widowControl w:val="0"/>
            <w:tabs>
              <w:tab w:val="right" w:leader="dot" w:pos="9360"/>
            </w:tabs>
            <w:spacing w:before="60" w:after="0"/>
            <w:ind w:left="720"/>
            <w:jc w:val="left"/>
            <w:rPr>
              <w:color w:val="000000"/>
            </w:rPr>
          </w:pPr>
          <w:hyperlink w:anchor="_3dm5bmux4uki">
            <w:r>
              <w:rPr>
                <w:color w:val="000000"/>
              </w:rPr>
              <w:t>4.2.4 Merger or Strategic Alliance</w:t>
            </w:r>
            <w:r>
              <w:rPr>
                <w:color w:val="000000"/>
              </w:rPr>
              <w:tab/>
            </w:r>
          </w:hyperlink>
          <w:r>
            <w:fldChar w:fldCharType="begin"/>
          </w:r>
          <w:r>
            <w:instrText xml:space="preserve"> PAGEREF _3dm5bmux4uki \h </w:instrText>
          </w:r>
          <w:r>
            <w:fldChar w:fldCharType="separate"/>
          </w:r>
          <w:r>
            <w:t>14</w:t>
          </w:r>
          <w:r>
            <w:fldChar w:fldCharType="end"/>
          </w:r>
        </w:p>
        <w:p w14:paraId="6FDFFB21" w14:textId="77777777" w:rsidR="00DE0959" w:rsidRDefault="00DE0959" w:rsidP="00C870A2">
          <w:pPr>
            <w:widowControl w:val="0"/>
            <w:tabs>
              <w:tab w:val="right" w:leader="dot" w:pos="9360"/>
            </w:tabs>
            <w:spacing w:before="60" w:after="0"/>
            <w:ind w:left="360"/>
            <w:jc w:val="left"/>
            <w:rPr>
              <w:color w:val="000000"/>
            </w:rPr>
          </w:pPr>
          <w:hyperlink w:anchor="_3j2rvttqvu8t">
            <w:r>
              <w:rPr>
                <w:color w:val="000000"/>
              </w:rPr>
              <w:t>4.3 Impact on Shareholder Value</w:t>
            </w:r>
            <w:r>
              <w:rPr>
                <w:color w:val="000000"/>
              </w:rPr>
              <w:tab/>
            </w:r>
          </w:hyperlink>
          <w:r>
            <w:fldChar w:fldCharType="begin"/>
          </w:r>
          <w:r>
            <w:instrText xml:space="preserve"> PAGEREF _3j2rvttqvu8t \h </w:instrText>
          </w:r>
          <w:r>
            <w:fldChar w:fldCharType="separate"/>
          </w:r>
          <w:r>
            <w:t>14</w:t>
          </w:r>
          <w:r>
            <w:fldChar w:fldCharType="end"/>
          </w:r>
        </w:p>
        <w:p w14:paraId="7EB2119A" w14:textId="77777777" w:rsidR="00DE0959" w:rsidRDefault="00DE0959" w:rsidP="00C870A2">
          <w:pPr>
            <w:widowControl w:val="0"/>
            <w:tabs>
              <w:tab w:val="right" w:leader="dot" w:pos="9360"/>
            </w:tabs>
            <w:spacing w:before="60" w:after="0"/>
            <w:ind w:left="360"/>
            <w:jc w:val="left"/>
            <w:rPr>
              <w:color w:val="000000"/>
            </w:rPr>
          </w:pPr>
          <w:hyperlink w:anchor="_eyz1zm1izxt">
            <w:r>
              <w:rPr>
                <w:color w:val="000000"/>
              </w:rPr>
              <w:t>4.4 Impact on Debt Structure and Flexibility</w:t>
            </w:r>
            <w:r>
              <w:rPr>
                <w:color w:val="000000"/>
              </w:rPr>
              <w:tab/>
            </w:r>
          </w:hyperlink>
          <w:r>
            <w:fldChar w:fldCharType="begin"/>
          </w:r>
          <w:r>
            <w:instrText xml:space="preserve"> PAGEREF _eyz1zm1izxt \h </w:instrText>
          </w:r>
          <w:r>
            <w:fldChar w:fldCharType="separate"/>
          </w:r>
          <w:r>
            <w:t>14</w:t>
          </w:r>
          <w:r>
            <w:fldChar w:fldCharType="end"/>
          </w:r>
        </w:p>
        <w:p w14:paraId="105A4173" w14:textId="77777777" w:rsidR="00DE0959" w:rsidRDefault="00DE0959" w:rsidP="00C870A2">
          <w:pPr>
            <w:widowControl w:val="0"/>
            <w:tabs>
              <w:tab w:val="right" w:leader="dot" w:pos="9360"/>
            </w:tabs>
            <w:spacing w:before="60" w:after="0"/>
            <w:ind w:left="360"/>
            <w:jc w:val="left"/>
            <w:rPr>
              <w:color w:val="000000"/>
            </w:rPr>
          </w:pPr>
          <w:hyperlink w:anchor="_uxa9j7690bb2">
            <w:r>
              <w:rPr>
                <w:color w:val="000000"/>
              </w:rPr>
              <w:t>4.5 International and Ethical Considerations</w:t>
            </w:r>
            <w:r>
              <w:rPr>
                <w:color w:val="000000"/>
              </w:rPr>
              <w:tab/>
            </w:r>
          </w:hyperlink>
          <w:r>
            <w:fldChar w:fldCharType="begin"/>
          </w:r>
          <w:r>
            <w:instrText xml:space="preserve"> PAGEREF _uxa9j7690bb2 \h </w:instrText>
          </w:r>
          <w:r>
            <w:fldChar w:fldCharType="separate"/>
          </w:r>
          <w:r>
            <w:t>15</w:t>
          </w:r>
          <w:r>
            <w:fldChar w:fldCharType="end"/>
          </w:r>
        </w:p>
        <w:p w14:paraId="718DA008" w14:textId="77777777" w:rsidR="00DE0959" w:rsidRDefault="00DE0959" w:rsidP="00C870A2">
          <w:pPr>
            <w:widowControl w:val="0"/>
            <w:tabs>
              <w:tab w:val="right" w:leader="dot" w:pos="9360"/>
            </w:tabs>
            <w:spacing w:before="60" w:after="0"/>
            <w:ind w:left="360"/>
            <w:jc w:val="left"/>
            <w:rPr>
              <w:color w:val="000000"/>
            </w:rPr>
          </w:pPr>
          <w:hyperlink w:anchor="_xcsynps1nmxm">
            <w:r>
              <w:rPr>
                <w:color w:val="000000"/>
              </w:rPr>
              <w:t>4.6 Recommended Restructuring Strategy</w:t>
            </w:r>
            <w:r>
              <w:rPr>
                <w:color w:val="000000"/>
              </w:rPr>
              <w:tab/>
            </w:r>
          </w:hyperlink>
          <w:r>
            <w:fldChar w:fldCharType="begin"/>
          </w:r>
          <w:r>
            <w:instrText xml:space="preserve"> PAGEREF _xcsynps1nmxm \h </w:instrText>
          </w:r>
          <w:r>
            <w:fldChar w:fldCharType="separate"/>
          </w:r>
          <w:r>
            <w:t>15</w:t>
          </w:r>
          <w:r>
            <w:fldChar w:fldCharType="end"/>
          </w:r>
        </w:p>
        <w:p w14:paraId="61414924" w14:textId="77777777" w:rsidR="00DE0959" w:rsidRDefault="00DE0959" w:rsidP="00C870A2">
          <w:pPr>
            <w:widowControl w:val="0"/>
            <w:tabs>
              <w:tab w:val="right" w:leader="dot" w:pos="9360"/>
            </w:tabs>
            <w:spacing w:before="60" w:after="0"/>
            <w:jc w:val="left"/>
            <w:rPr>
              <w:b/>
              <w:bCs/>
              <w:color w:val="000000"/>
            </w:rPr>
          </w:pPr>
          <w:hyperlink w:anchor="_d30afhhpgetn">
            <w:r>
              <w:rPr>
                <w:b/>
                <w:bCs/>
                <w:color w:val="000000"/>
              </w:rPr>
              <w:t>5. Investment Appraisal and Capital Budgeting</w:t>
            </w:r>
            <w:r>
              <w:rPr>
                <w:b/>
                <w:bCs/>
                <w:color w:val="000000"/>
              </w:rPr>
              <w:tab/>
            </w:r>
          </w:hyperlink>
          <w:r>
            <w:fldChar w:fldCharType="begin"/>
          </w:r>
          <w:r>
            <w:instrText xml:space="preserve"> PAGEREF _d30afhhpgetn \h </w:instrText>
          </w:r>
          <w:r>
            <w:fldChar w:fldCharType="separate"/>
          </w:r>
          <w:r>
            <w:rPr>
              <w:b/>
              <w:bCs/>
            </w:rPr>
            <w:t>16</w:t>
          </w:r>
          <w:r>
            <w:fldChar w:fldCharType="end"/>
          </w:r>
        </w:p>
        <w:p w14:paraId="209FDC32" w14:textId="77777777" w:rsidR="00DE0959" w:rsidRDefault="00DE0959" w:rsidP="00C870A2">
          <w:pPr>
            <w:widowControl w:val="0"/>
            <w:tabs>
              <w:tab w:val="right" w:leader="dot" w:pos="9360"/>
            </w:tabs>
            <w:spacing w:before="60" w:after="0"/>
            <w:ind w:left="360"/>
            <w:jc w:val="left"/>
            <w:rPr>
              <w:color w:val="000000"/>
            </w:rPr>
          </w:pPr>
          <w:hyperlink w:anchor="_9yre346tc5nq">
            <w:r>
              <w:rPr>
                <w:color w:val="000000"/>
              </w:rPr>
              <w:t>5.1 Overview of Capital Investment Decision Context</w:t>
            </w:r>
            <w:r>
              <w:rPr>
                <w:color w:val="000000"/>
              </w:rPr>
              <w:tab/>
            </w:r>
          </w:hyperlink>
          <w:r>
            <w:fldChar w:fldCharType="begin"/>
          </w:r>
          <w:r>
            <w:instrText xml:space="preserve"> PAGEREF _9yre346tc5nq \h </w:instrText>
          </w:r>
          <w:r>
            <w:fldChar w:fldCharType="separate"/>
          </w:r>
          <w:r>
            <w:t>16</w:t>
          </w:r>
          <w:r>
            <w:fldChar w:fldCharType="end"/>
          </w:r>
        </w:p>
        <w:p w14:paraId="2FCF3625" w14:textId="77777777" w:rsidR="00DE0959" w:rsidRDefault="00DE0959" w:rsidP="00C870A2">
          <w:pPr>
            <w:widowControl w:val="0"/>
            <w:tabs>
              <w:tab w:val="right" w:leader="dot" w:pos="9360"/>
            </w:tabs>
            <w:spacing w:before="60" w:after="0"/>
            <w:ind w:left="360"/>
            <w:jc w:val="left"/>
            <w:rPr>
              <w:color w:val="000000"/>
            </w:rPr>
          </w:pPr>
          <w:hyperlink w:anchor="_whc2nh8ommd3">
            <w:r>
              <w:rPr>
                <w:color w:val="000000"/>
              </w:rPr>
              <w:t>5.2 Investment Appraisal Techniques Explained</w:t>
            </w:r>
            <w:r>
              <w:rPr>
                <w:color w:val="000000"/>
              </w:rPr>
              <w:tab/>
            </w:r>
          </w:hyperlink>
          <w:r>
            <w:fldChar w:fldCharType="begin"/>
          </w:r>
          <w:r>
            <w:instrText xml:space="preserve"> PAGEREF _whc2nh8ommd3 \h </w:instrText>
          </w:r>
          <w:r>
            <w:fldChar w:fldCharType="separate"/>
          </w:r>
          <w:r>
            <w:t>16</w:t>
          </w:r>
          <w:r>
            <w:fldChar w:fldCharType="end"/>
          </w:r>
        </w:p>
        <w:p w14:paraId="3B5CE3F6" w14:textId="77777777" w:rsidR="00DE0959" w:rsidRDefault="00DE0959" w:rsidP="00C870A2">
          <w:pPr>
            <w:widowControl w:val="0"/>
            <w:tabs>
              <w:tab w:val="right" w:leader="dot" w:pos="9360"/>
            </w:tabs>
            <w:spacing w:before="60" w:after="0"/>
            <w:ind w:left="360"/>
            <w:jc w:val="left"/>
            <w:rPr>
              <w:color w:val="000000"/>
            </w:rPr>
          </w:pPr>
          <w:hyperlink w:anchor="_hj1h8bwgi9xr">
            <w:r>
              <w:rPr>
                <w:color w:val="000000"/>
              </w:rPr>
              <w:t>5.3 Project A Appraisal</w:t>
            </w:r>
            <w:r>
              <w:rPr>
                <w:color w:val="000000"/>
              </w:rPr>
              <w:tab/>
            </w:r>
          </w:hyperlink>
          <w:r>
            <w:fldChar w:fldCharType="begin"/>
          </w:r>
          <w:r>
            <w:instrText xml:space="preserve"> PAGEREF _hj1h8bwgi9xr \h </w:instrText>
          </w:r>
          <w:r>
            <w:fldChar w:fldCharType="separate"/>
          </w:r>
          <w:r>
            <w:t>17</w:t>
          </w:r>
          <w:r>
            <w:fldChar w:fldCharType="end"/>
          </w:r>
        </w:p>
        <w:p w14:paraId="75A228E2" w14:textId="77777777" w:rsidR="00DE0959" w:rsidRDefault="00DE0959" w:rsidP="00C870A2">
          <w:pPr>
            <w:widowControl w:val="0"/>
            <w:tabs>
              <w:tab w:val="right" w:leader="dot" w:pos="9360"/>
            </w:tabs>
            <w:spacing w:before="60" w:after="0"/>
            <w:ind w:left="360"/>
            <w:jc w:val="left"/>
            <w:rPr>
              <w:color w:val="000000"/>
            </w:rPr>
          </w:pPr>
          <w:hyperlink w:anchor="_vnc3wnjqkj29">
            <w:r>
              <w:rPr>
                <w:color w:val="000000"/>
              </w:rPr>
              <w:t>5.4 Project B Appraisal</w:t>
            </w:r>
            <w:r>
              <w:rPr>
                <w:color w:val="000000"/>
              </w:rPr>
              <w:tab/>
            </w:r>
          </w:hyperlink>
          <w:r>
            <w:fldChar w:fldCharType="begin"/>
          </w:r>
          <w:r>
            <w:instrText xml:space="preserve"> PAGEREF _vnc3wnjqkj29 \h </w:instrText>
          </w:r>
          <w:r>
            <w:fldChar w:fldCharType="separate"/>
          </w:r>
          <w:r>
            <w:t>18</w:t>
          </w:r>
          <w:r>
            <w:fldChar w:fldCharType="end"/>
          </w:r>
        </w:p>
        <w:p w14:paraId="6907621B" w14:textId="77777777" w:rsidR="00DE0959" w:rsidRDefault="00DE0959" w:rsidP="00C870A2">
          <w:pPr>
            <w:widowControl w:val="0"/>
            <w:tabs>
              <w:tab w:val="right" w:leader="dot" w:pos="9360"/>
            </w:tabs>
            <w:spacing w:before="60" w:after="0"/>
            <w:ind w:left="360"/>
            <w:jc w:val="left"/>
            <w:rPr>
              <w:color w:val="000000"/>
            </w:rPr>
          </w:pPr>
          <w:hyperlink w:anchor="_n006ztpj9zvl">
            <w:r>
              <w:rPr>
                <w:color w:val="000000"/>
              </w:rPr>
              <w:t>5.5 Project C Appraisal</w:t>
            </w:r>
            <w:r>
              <w:rPr>
                <w:color w:val="000000"/>
              </w:rPr>
              <w:tab/>
            </w:r>
          </w:hyperlink>
          <w:r>
            <w:fldChar w:fldCharType="begin"/>
          </w:r>
          <w:r>
            <w:instrText xml:space="preserve"> PAGEREF _n006ztpj9zvl \h </w:instrText>
          </w:r>
          <w:r>
            <w:fldChar w:fldCharType="separate"/>
          </w:r>
          <w:r>
            <w:t>19</w:t>
          </w:r>
          <w:r>
            <w:fldChar w:fldCharType="end"/>
          </w:r>
        </w:p>
        <w:p w14:paraId="5B4B9753" w14:textId="77777777" w:rsidR="00DE0959" w:rsidRDefault="00DE0959" w:rsidP="00C870A2">
          <w:pPr>
            <w:widowControl w:val="0"/>
            <w:tabs>
              <w:tab w:val="right" w:leader="dot" w:pos="9360"/>
            </w:tabs>
            <w:spacing w:before="60" w:after="0"/>
            <w:ind w:left="360"/>
            <w:jc w:val="left"/>
            <w:rPr>
              <w:color w:val="000000"/>
            </w:rPr>
          </w:pPr>
          <w:hyperlink w:anchor="_1qti29atcwg0">
            <w:r>
              <w:rPr>
                <w:color w:val="000000"/>
              </w:rPr>
              <w:t>5.6 Comparative Evaluation of Projects</w:t>
            </w:r>
            <w:r>
              <w:rPr>
                <w:color w:val="000000"/>
              </w:rPr>
              <w:tab/>
            </w:r>
          </w:hyperlink>
          <w:r>
            <w:fldChar w:fldCharType="begin"/>
          </w:r>
          <w:r>
            <w:instrText xml:space="preserve"> PAGEREF _1qti29atcwg0 \h </w:instrText>
          </w:r>
          <w:r>
            <w:fldChar w:fldCharType="separate"/>
          </w:r>
          <w:r>
            <w:t>20</w:t>
          </w:r>
          <w:r>
            <w:fldChar w:fldCharType="end"/>
          </w:r>
        </w:p>
        <w:p w14:paraId="7DF92C1B" w14:textId="77777777" w:rsidR="00DE0959" w:rsidRDefault="00DE0959" w:rsidP="00C870A2">
          <w:pPr>
            <w:widowControl w:val="0"/>
            <w:tabs>
              <w:tab w:val="right" w:leader="dot" w:pos="9360"/>
            </w:tabs>
            <w:spacing w:before="60" w:after="0"/>
            <w:ind w:left="360"/>
            <w:jc w:val="left"/>
            <w:rPr>
              <w:color w:val="000000"/>
            </w:rPr>
          </w:pPr>
          <w:hyperlink w:anchor="_thw94kshd40">
            <w:r>
              <w:rPr>
                <w:color w:val="000000"/>
              </w:rPr>
              <w:t>5.7 Capital Rationing Decision (£60m Limit)</w:t>
            </w:r>
            <w:r>
              <w:rPr>
                <w:color w:val="000000"/>
              </w:rPr>
              <w:tab/>
            </w:r>
          </w:hyperlink>
          <w:r>
            <w:fldChar w:fldCharType="begin"/>
          </w:r>
          <w:r>
            <w:instrText xml:space="preserve"> PAGEREF _thw94kshd40 \h </w:instrText>
          </w:r>
          <w:r>
            <w:fldChar w:fldCharType="separate"/>
          </w:r>
          <w:r>
            <w:t>20</w:t>
          </w:r>
          <w:r>
            <w:fldChar w:fldCharType="end"/>
          </w:r>
        </w:p>
        <w:p w14:paraId="5B1E09A8" w14:textId="77777777" w:rsidR="00DE0959" w:rsidRDefault="00DE0959" w:rsidP="00C870A2">
          <w:pPr>
            <w:widowControl w:val="0"/>
            <w:tabs>
              <w:tab w:val="right" w:leader="dot" w:pos="9360"/>
            </w:tabs>
            <w:spacing w:before="60" w:after="0"/>
            <w:ind w:left="360"/>
            <w:jc w:val="left"/>
            <w:rPr>
              <w:color w:val="000000"/>
            </w:rPr>
          </w:pPr>
          <w:hyperlink w:anchor="_eyb3ai6j2uob">
            <w:r>
              <w:rPr>
                <w:color w:val="000000"/>
              </w:rPr>
              <w:t>5.8 Final Investment Recommendation</w:t>
            </w:r>
            <w:r>
              <w:rPr>
                <w:color w:val="000000"/>
              </w:rPr>
              <w:tab/>
            </w:r>
          </w:hyperlink>
          <w:r>
            <w:fldChar w:fldCharType="begin"/>
          </w:r>
          <w:r>
            <w:instrText xml:space="preserve"> PAGEREF _eyb3ai6j2uob \h </w:instrText>
          </w:r>
          <w:r>
            <w:fldChar w:fldCharType="separate"/>
          </w:r>
          <w:r>
            <w:t>20</w:t>
          </w:r>
          <w:r>
            <w:fldChar w:fldCharType="end"/>
          </w:r>
        </w:p>
        <w:p w14:paraId="2A6569FE" w14:textId="77777777" w:rsidR="00DE0959" w:rsidRDefault="00DE0959" w:rsidP="00C870A2">
          <w:pPr>
            <w:widowControl w:val="0"/>
            <w:tabs>
              <w:tab w:val="right" w:leader="dot" w:pos="9360"/>
            </w:tabs>
            <w:spacing w:before="60" w:after="0"/>
            <w:jc w:val="left"/>
            <w:rPr>
              <w:b/>
              <w:bCs/>
              <w:color w:val="000000"/>
            </w:rPr>
          </w:pPr>
          <w:hyperlink w:anchor="_2ea8jqdkulvc">
            <w:r>
              <w:rPr>
                <w:b/>
                <w:bCs/>
                <w:color w:val="000000"/>
              </w:rPr>
              <w:t>6. Conclusion</w:t>
            </w:r>
            <w:r>
              <w:rPr>
                <w:b/>
                <w:bCs/>
                <w:color w:val="000000"/>
              </w:rPr>
              <w:tab/>
            </w:r>
          </w:hyperlink>
          <w:r>
            <w:fldChar w:fldCharType="begin"/>
          </w:r>
          <w:r>
            <w:instrText xml:space="preserve"> PAGEREF _2ea8jqdkulvc \h </w:instrText>
          </w:r>
          <w:r>
            <w:fldChar w:fldCharType="separate"/>
          </w:r>
          <w:r>
            <w:rPr>
              <w:b/>
              <w:bCs/>
            </w:rPr>
            <w:t>20</w:t>
          </w:r>
          <w:r>
            <w:fldChar w:fldCharType="end"/>
          </w:r>
        </w:p>
        <w:p w14:paraId="0FA007B3" w14:textId="77777777" w:rsidR="00DE0959" w:rsidRDefault="00DE0959" w:rsidP="00C870A2">
          <w:pPr>
            <w:widowControl w:val="0"/>
            <w:tabs>
              <w:tab w:val="right" w:leader="dot" w:pos="9360"/>
            </w:tabs>
            <w:spacing w:before="60" w:after="0"/>
            <w:jc w:val="left"/>
            <w:rPr>
              <w:b/>
              <w:bCs/>
              <w:color w:val="000000"/>
            </w:rPr>
          </w:pPr>
          <w:hyperlink w:anchor="_2426uk1cq0iv">
            <w:r>
              <w:rPr>
                <w:b/>
                <w:bCs/>
                <w:color w:val="000000"/>
              </w:rPr>
              <w:t>7. Reference list</w:t>
            </w:r>
            <w:r>
              <w:rPr>
                <w:b/>
                <w:bCs/>
                <w:color w:val="000000"/>
              </w:rPr>
              <w:tab/>
            </w:r>
          </w:hyperlink>
          <w:r>
            <w:fldChar w:fldCharType="begin"/>
          </w:r>
          <w:r>
            <w:instrText xml:space="preserve"> PAGEREF _2426uk1cq0iv \h </w:instrText>
          </w:r>
          <w:r>
            <w:fldChar w:fldCharType="separate"/>
          </w:r>
          <w:r>
            <w:rPr>
              <w:b/>
              <w:bCs/>
            </w:rPr>
            <w:t>22</w:t>
          </w:r>
          <w:r>
            <w:fldChar w:fldCharType="end"/>
          </w:r>
          <w:r>
            <w:fldChar w:fldCharType="end"/>
          </w:r>
        </w:p>
      </w:sdtContent>
    </w:sdt>
    <w:p w14:paraId="09540A04" w14:textId="77777777" w:rsidR="00DE0959" w:rsidRDefault="00000000" w:rsidP="00C870A2">
      <w:pPr>
        <w:jc w:val="center"/>
        <w:rPr>
          <w:b/>
          <w:bCs/>
          <w:sz w:val="32"/>
          <w:szCs w:val="32"/>
        </w:rPr>
      </w:pPr>
      <w:r>
        <w:br w:type="page"/>
      </w:r>
    </w:p>
    <w:p w14:paraId="7810E077" w14:textId="77777777" w:rsidR="00DE0959" w:rsidRDefault="00000000" w:rsidP="00C870A2">
      <w:pPr>
        <w:pStyle w:val="Heading1"/>
      </w:pPr>
      <w:bookmarkStart w:id="0" w:name="_o7945bf0e3fy" w:colFirst="0" w:colLast="0"/>
      <w:bookmarkEnd w:id="0"/>
      <w:r>
        <w:lastRenderedPageBreak/>
        <w:t xml:space="preserve">1. Introduction </w:t>
      </w:r>
    </w:p>
    <w:p w14:paraId="3A802B18" w14:textId="77777777" w:rsidR="00DE0959" w:rsidRDefault="00000000" w:rsidP="00C870A2">
      <w:r>
        <w:t xml:space="preserve">General Electronics is in </w:t>
      </w:r>
      <w:proofErr w:type="gramStart"/>
      <w:r>
        <w:t>the business</w:t>
      </w:r>
      <w:proofErr w:type="gramEnd"/>
      <w:r>
        <w:t xml:space="preserve"> in several foreign markets where it has a diversified consumer electronics portfolio, comprising home appliances, personal devices and digital accessories. The global consumer electronics industry is capital intensive and highly competitive and the industry is </w:t>
      </w:r>
      <w:proofErr w:type="spellStart"/>
      <w:r>
        <w:t>characterised</w:t>
      </w:r>
      <w:proofErr w:type="spellEnd"/>
      <w:r>
        <w:t xml:space="preserve"> by technological change, short product life cycle and the pressure of rising prices. In the developed economies, growth has been limited by market saturation whereas expansion </w:t>
      </w:r>
      <w:proofErr w:type="gramStart"/>
      <w:r>
        <w:t>to</w:t>
      </w:r>
      <w:proofErr w:type="gramEnd"/>
      <w:r>
        <w:t xml:space="preserve"> emerging markets </w:t>
      </w:r>
      <w:proofErr w:type="gramStart"/>
      <w:r>
        <w:t>subjects</w:t>
      </w:r>
      <w:proofErr w:type="gramEnd"/>
      <w:r>
        <w:t xml:space="preserve"> firms to operational and currency risks. The macroeconomic issues like inflation, exchange rate volatility, increased interest rates, and supply chain disruptions have also tightened margins. The major goal of this report as a Chief Financial Officer is to determine the financial performance of this firm, diagnose structural weaknesses, and make evidence-based turnaround recommendations. The report is </w:t>
      </w:r>
      <w:proofErr w:type="gramStart"/>
      <w:r>
        <w:t>built</w:t>
      </w:r>
      <w:proofErr w:type="gramEnd"/>
      <w:r>
        <w:t xml:space="preserve"> on financial, working capital management, restructuring, investment appraisal, and recommendations.</w:t>
      </w:r>
    </w:p>
    <w:p w14:paraId="620206EB" w14:textId="77777777" w:rsidR="00DE0959" w:rsidRDefault="00000000" w:rsidP="00C870A2">
      <w:pPr>
        <w:pStyle w:val="Heading1"/>
      </w:pPr>
      <w:bookmarkStart w:id="1" w:name="_eme4ssfvxcdu" w:colFirst="0" w:colLast="0"/>
      <w:bookmarkEnd w:id="1"/>
      <w:r>
        <w:t xml:space="preserve">2. Financial Health Check </w:t>
      </w:r>
    </w:p>
    <w:p w14:paraId="02D03EFD" w14:textId="77777777" w:rsidR="00DE0959" w:rsidRDefault="00000000" w:rsidP="00C870A2">
      <w:pPr>
        <w:pStyle w:val="Heading2"/>
      </w:pPr>
      <w:bookmarkStart w:id="2" w:name="_kcu2nzxkvxyo" w:colFirst="0" w:colLast="0"/>
      <w:bookmarkEnd w:id="2"/>
      <w:r>
        <w:t>2.1 Overview of Financial Statements (Five-Year Review)</w:t>
      </w:r>
    </w:p>
    <w:p w14:paraId="0A0D2CAE" w14:textId="7D3ED6E5" w:rsidR="00DE0959" w:rsidRDefault="00B463B7" w:rsidP="00C870A2">
      <w:pPr>
        <w:jc w:val="center"/>
      </w:pPr>
      <w:r>
        <w:rPr>
          <w:noProof/>
        </w:rPr>
        <w:drawing>
          <wp:inline distT="0" distB="0" distL="0" distR="0" wp14:anchorId="6EC707E6" wp14:editId="2EE01285">
            <wp:extent cx="5943600" cy="3346450"/>
            <wp:effectExtent l="0" t="0" r="0" b="6350"/>
            <wp:docPr id="296719536" name="Chart 1">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3677CE9B" w14:textId="77777777" w:rsidR="00DE0959" w:rsidRDefault="00000000" w:rsidP="00C870A2">
      <w:pPr>
        <w:jc w:val="center"/>
        <w:rPr>
          <w:b/>
          <w:bCs/>
        </w:rPr>
      </w:pPr>
      <w:r>
        <w:rPr>
          <w:b/>
          <w:bCs/>
        </w:rPr>
        <w:t>Figure 1: Trend Analysis</w:t>
      </w:r>
    </w:p>
    <w:p w14:paraId="2D3DCE0B" w14:textId="77777777" w:rsidR="00DE0959" w:rsidRDefault="00000000" w:rsidP="00C870A2">
      <w:r>
        <w:lastRenderedPageBreak/>
        <w:t xml:space="preserve">The financial statements that General Electronics released within the years 2020-2024 show that the level of operating performance and asset strength continued to decline. There was a continuous decrease in net sales of 2020 (£614,680) to 2024 (£394,879), which is, in fact, the decline of demand and increased competition. The operating income also showed a declining trend, where 2020 recorded a positive figure of £37,267 before operating loss of £85,301 in 2023 and 2024 respectively. Net income is more pessimistic, changing a profitable figure of 2020 to massive losses in 2023 and 2024, indicating weakening of </w:t>
      </w:r>
      <w:proofErr w:type="gramStart"/>
      <w:r>
        <w:t>the general</w:t>
      </w:r>
      <w:proofErr w:type="gramEnd"/>
      <w:r>
        <w:t xml:space="preserve"> financial sustainability. Total assets contracted significantly between the amount of £510,290 and £323,354 signifying asset disposal, impairment or underinvestment. Together, these forces point to the falling scale, stress on profitability, and shrinking of the balance sheet (Cameron, 2024).</w:t>
      </w:r>
    </w:p>
    <w:p w14:paraId="371639F6" w14:textId="77777777" w:rsidR="00DE0959" w:rsidRDefault="00000000" w:rsidP="00C870A2">
      <w:pPr>
        <w:pStyle w:val="Heading2"/>
      </w:pPr>
      <w:bookmarkStart w:id="3" w:name="_ny7b3r64v02u" w:colFirst="0" w:colLast="0"/>
      <w:bookmarkEnd w:id="3"/>
      <w:r>
        <w:t>2.2 Profitability Analysis</w:t>
      </w:r>
    </w:p>
    <w:p w14:paraId="6ABA7485" w14:textId="77777777" w:rsidR="00DE0959" w:rsidRDefault="00000000" w:rsidP="00C870A2">
      <w:pPr>
        <w:spacing w:before="240" w:after="240"/>
      </w:pPr>
      <w:r>
        <w:t xml:space="preserve">Profitability ratios indicate how a firm </w:t>
      </w:r>
      <w:proofErr w:type="gramStart"/>
      <w:r>
        <w:t>is able to</w:t>
      </w:r>
      <w:proofErr w:type="gramEnd"/>
      <w:r>
        <w:t xml:space="preserve"> generate earnings as compared to sales, assets, or capital used. The main ratios like the net profit margin and the Return on Capital Employed (ROCE) are essential in determining the efficiency of operations, the power of the prices and the efficiency of </w:t>
      </w:r>
      <w:proofErr w:type="gramStart"/>
      <w:r>
        <w:t>the capital</w:t>
      </w:r>
      <w:proofErr w:type="gramEnd"/>
      <w:r>
        <w:t xml:space="preserve"> </w:t>
      </w:r>
      <w:proofErr w:type="spellStart"/>
      <w:r>
        <w:t>utilisation</w:t>
      </w:r>
      <w:proofErr w:type="spellEnd"/>
      <w:r>
        <w:t xml:space="preserve"> (Vipond, 2024).</w:t>
      </w:r>
    </w:p>
    <w:p w14:paraId="5817C559" w14:textId="1C1FC0CE" w:rsidR="00B463B7" w:rsidRDefault="00B463B7" w:rsidP="00C870A2">
      <w:pPr>
        <w:spacing w:before="240" w:after="240"/>
        <w:jc w:val="center"/>
      </w:pPr>
      <w:r>
        <w:rPr>
          <w:noProof/>
        </w:rPr>
        <w:drawing>
          <wp:inline distT="0" distB="0" distL="0" distR="0" wp14:anchorId="09345623" wp14:editId="37D93224">
            <wp:extent cx="4968240" cy="3143250"/>
            <wp:effectExtent l="0" t="0" r="3810" b="0"/>
            <wp:docPr id="2083682341" name="Chart 1">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E151093" w14:textId="77777777" w:rsidR="00DE0959" w:rsidRDefault="00000000" w:rsidP="00C870A2">
      <w:pPr>
        <w:jc w:val="center"/>
      </w:pPr>
      <w:r>
        <w:rPr>
          <w:b/>
          <w:bCs/>
        </w:rPr>
        <w:t>Figure 2: Profitability Ratio</w:t>
      </w:r>
    </w:p>
    <w:p w14:paraId="59298D59" w14:textId="77777777" w:rsidR="00DE0959" w:rsidRDefault="00000000" w:rsidP="00C870A2">
      <w:pPr>
        <w:spacing w:before="240" w:after="240"/>
      </w:pPr>
      <w:r>
        <w:lastRenderedPageBreak/>
        <w:t xml:space="preserve">General electronics show a sharp and a continued decline in profitability in the </w:t>
      </w:r>
      <w:proofErr w:type="gramStart"/>
      <w:r>
        <w:t>five year</w:t>
      </w:r>
      <w:proofErr w:type="gramEnd"/>
      <w:r>
        <w:t xml:space="preserve"> duration. The net profit margin dropped significantly as we saw it fall to marginal levels in 20212022, but in 2023 it moved to deeply negative levels (-23.36%), but it is negative in 2024, (-6.09%). This trend depicts deteriorating revenues, escalating costs pressures and structural inefficiencies. Equally, ROCE declined to negative values in 2023 and 2024, and it was 11.27 percent in 2020, showing that capital is employed in a non-creative fashion. Compression of the margin has been increased by macroeconomic factors like inflation, increased costs of energy and inputs, compounded by increasing interest rates, and harsh price competition has deterred the firm from being able to transfer costs to the consumer in the global consumer electronics market (KPMG, 2024).</w:t>
      </w:r>
    </w:p>
    <w:p w14:paraId="2A208725" w14:textId="77777777" w:rsidR="00DE0959" w:rsidRDefault="00000000" w:rsidP="00C870A2">
      <w:pPr>
        <w:pStyle w:val="Heading2"/>
      </w:pPr>
      <w:bookmarkStart w:id="4" w:name="_31l0r6uub3hn" w:colFirst="0" w:colLast="0"/>
      <w:bookmarkEnd w:id="4"/>
      <w:r>
        <w:t>2.3 Liquidity Analysis</w:t>
      </w:r>
    </w:p>
    <w:p w14:paraId="3CED5AED" w14:textId="77777777" w:rsidR="00DE0959" w:rsidRDefault="00000000" w:rsidP="00C870A2">
      <w:pPr>
        <w:spacing w:before="240" w:after="240"/>
      </w:pPr>
      <w:r>
        <w:t xml:space="preserve">Liquidity ratios determine how the firm meets the </w:t>
      </w:r>
      <w:proofErr w:type="gramStart"/>
      <w:r>
        <w:t>short term</w:t>
      </w:r>
      <w:proofErr w:type="gramEnd"/>
      <w:r>
        <w:t xml:space="preserve"> liabilities as they become due. The quick ratio and current ratio are of great value in assessments of short-term financial strength and the trust of creditors (CFI, 2025).</w:t>
      </w:r>
    </w:p>
    <w:p w14:paraId="2CC3F0FE" w14:textId="015A3047" w:rsidR="00B463B7" w:rsidRDefault="00B463B7" w:rsidP="00C870A2">
      <w:pPr>
        <w:spacing w:before="240" w:after="240"/>
        <w:jc w:val="center"/>
      </w:pPr>
      <w:r>
        <w:rPr>
          <w:noProof/>
        </w:rPr>
        <w:drawing>
          <wp:inline distT="0" distB="0" distL="0" distR="0" wp14:anchorId="7BFAD68D" wp14:editId="6105D95B">
            <wp:extent cx="4945380" cy="2979420"/>
            <wp:effectExtent l="0" t="0" r="7620" b="11430"/>
            <wp:docPr id="963015067" name="Chart 1">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8C610AF" w14:textId="77777777" w:rsidR="00DE0959" w:rsidRDefault="00000000" w:rsidP="00C870A2">
      <w:pPr>
        <w:spacing w:before="240" w:after="240"/>
        <w:jc w:val="center"/>
        <w:rPr>
          <w:b/>
          <w:bCs/>
        </w:rPr>
      </w:pPr>
      <w:r>
        <w:rPr>
          <w:b/>
          <w:bCs/>
        </w:rPr>
        <w:t>Figure 3: Liquidity Ratio</w:t>
      </w:r>
    </w:p>
    <w:p w14:paraId="617AFA90" w14:textId="77777777" w:rsidR="00DE0959" w:rsidRDefault="00000000" w:rsidP="00C870A2">
      <w:pPr>
        <w:spacing w:before="240" w:after="240"/>
      </w:pPr>
      <w:r>
        <w:t xml:space="preserve">General Electronics has had current ratios that have persistently exceeded 1.5 over the period, indicating that the headline liquidity position is satisfactory. The fact that the short-term financial </w:t>
      </w:r>
      <w:r>
        <w:lastRenderedPageBreak/>
        <w:t xml:space="preserve">flexibility is on the decline with the decrease to the level of 1.53 in 2024, though, is an indicator of the loss of financial flexibility in the short run. The quick ratio dropped to less than 1 in 2021 and 2022, which is a sign of increased dependence on inventory to cover liabilities, but it marginally improved in 2023-2024. Such reliance increases the liquidity risk in a macro economic environment where credit conditions are </w:t>
      </w:r>
      <w:proofErr w:type="gramStart"/>
      <w:r>
        <w:t>tight</w:t>
      </w:r>
      <w:proofErr w:type="gramEnd"/>
      <w:r>
        <w:t xml:space="preserve"> and interest rates are high. Liquidity is not yet at critical levels but worsening operating cash flows are soured by the perceived steady state indicated by balance sheet ratios (Zehri and Iben Ammar, 2023).</w:t>
      </w:r>
    </w:p>
    <w:p w14:paraId="45EB6338" w14:textId="77777777" w:rsidR="00DE0959" w:rsidRDefault="00000000" w:rsidP="00C870A2">
      <w:pPr>
        <w:pStyle w:val="Heading2"/>
      </w:pPr>
      <w:bookmarkStart w:id="5" w:name="_dyo0j01zchpc" w:colFirst="0" w:colLast="0"/>
      <w:bookmarkEnd w:id="5"/>
      <w:r>
        <w:t>2.4 Efficiency (Activity) Analysis</w:t>
      </w:r>
    </w:p>
    <w:p w14:paraId="724A2D50" w14:textId="77777777" w:rsidR="00DE0959" w:rsidRDefault="00000000" w:rsidP="00C870A2">
      <w:pPr>
        <w:spacing w:before="240" w:after="240"/>
      </w:pPr>
      <w:r>
        <w:t>The efficiency ratios assess the efficiency of a firm in terms of utilizing its assets and working capital. Inventory, receivables and payables turnover days have a direct impact on cash operating cycle and liquidity (CFI, 2022).</w:t>
      </w:r>
    </w:p>
    <w:p w14:paraId="7682DD0B" w14:textId="5763D8D0" w:rsidR="00B463B7" w:rsidRDefault="00B463B7" w:rsidP="00C870A2">
      <w:pPr>
        <w:spacing w:before="240" w:after="240"/>
        <w:jc w:val="center"/>
      </w:pPr>
      <w:r>
        <w:rPr>
          <w:noProof/>
        </w:rPr>
        <w:drawing>
          <wp:inline distT="0" distB="0" distL="0" distR="0" wp14:anchorId="2C8194C8" wp14:editId="02358D35">
            <wp:extent cx="4960620" cy="2807970"/>
            <wp:effectExtent l="0" t="0" r="11430" b="11430"/>
            <wp:docPr id="1711346442" name="Chart 1">
              <a:extLst xmlns:a="http://schemas.openxmlformats.org/drawingml/2006/main">
                <a:ext uri="{FF2B5EF4-FFF2-40B4-BE49-F238E27FC236}">
                  <a16:creationId xmlns:a16="http://schemas.microsoft.com/office/drawing/2014/main" id="{00000000-0008-0000-02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2B94B54" w14:textId="77777777" w:rsidR="00DE0959" w:rsidRDefault="00000000" w:rsidP="00C870A2">
      <w:pPr>
        <w:spacing w:before="240" w:after="240"/>
        <w:jc w:val="center"/>
        <w:rPr>
          <w:b/>
          <w:bCs/>
        </w:rPr>
      </w:pPr>
      <w:r>
        <w:rPr>
          <w:b/>
          <w:bCs/>
        </w:rPr>
        <w:t>Figure 4: Efficiency Ratio</w:t>
      </w:r>
    </w:p>
    <w:p w14:paraId="398B9355" w14:textId="77777777" w:rsidR="00DE0959" w:rsidRDefault="00000000" w:rsidP="00C870A2">
      <w:pPr>
        <w:spacing w:before="240" w:after="240"/>
      </w:pPr>
      <w:r>
        <w:t xml:space="preserve">The inventory turnover </w:t>
      </w:r>
      <w:proofErr w:type="gramStart"/>
      <w:r>
        <w:t>days have been rising</w:t>
      </w:r>
      <w:proofErr w:type="gramEnd"/>
      <w:r>
        <w:t xml:space="preserve"> with a high of 66 days in 2022, compared to 50 days in 2020 representing reduced inventory movement and a predisposition to obsolescence in a rapidly changing technology market. The inventory days have improved in </w:t>
      </w:r>
      <w:proofErr w:type="gramStart"/>
      <w:r>
        <w:t>2023</w:t>
      </w:r>
      <w:proofErr w:type="gramEnd"/>
      <w:r>
        <w:t xml:space="preserve"> but this seems to be more based on scale reduction rather than operational excellence. The turnover of receivables deteriorated significantly in 2023 and </w:t>
      </w:r>
      <w:proofErr w:type="gramStart"/>
      <w:r>
        <w:t>2024</w:t>
      </w:r>
      <w:proofErr w:type="gramEnd"/>
      <w:r>
        <w:t xml:space="preserve"> increasing to 49 and 53 days, respectively, which is a </w:t>
      </w:r>
      <w:r>
        <w:lastRenderedPageBreak/>
        <w:t>sign of poor credit control or customer distress during global recession. The accounts payable days had gone up drastically to 47 days in 2024 indicating that the company is straining supplier credit to maintain cash (AccountingCoach.com, 2025). All these trends reflect the presence of stress in the working capital cycle enhanced by macroeconomic uncertainty, supply chain shocks, and declining consumer spending.</w:t>
      </w:r>
    </w:p>
    <w:p w14:paraId="3A9FF819" w14:textId="77777777" w:rsidR="00DE0959" w:rsidRDefault="00000000" w:rsidP="00C870A2">
      <w:pPr>
        <w:pStyle w:val="Heading2"/>
      </w:pPr>
      <w:bookmarkStart w:id="6" w:name="_n6hpl8gm0wpq" w:colFirst="0" w:colLast="0"/>
      <w:bookmarkEnd w:id="6"/>
      <w:r>
        <w:t>2.5 Gearing and Solvency Analysis</w:t>
      </w:r>
    </w:p>
    <w:p w14:paraId="25FDB738" w14:textId="77777777" w:rsidR="00DE0959" w:rsidRDefault="00000000" w:rsidP="00C870A2">
      <w:pPr>
        <w:spacing w:before="240" w:after="240"/>
      </w:pPr>
      <w:r>
        <w:t>Solvency ratios and gearing ratios determine the long-term financial risk and the sustainability of capital structure. The assessment of the financial leverage and the risk of default focus on debt-to-equity and interest coverage ratios (</w:t>
      </w:r>
      <w:proofErr w:type="spellStart"/>
      <w:r>
        <w:t>Baltova</w:t>
      </w:r>
      <w:proofErr w:type="spellEnd"/>
      <w:r>
        <w:t>, 2023).</w:t>
      </w:r>
    </w:p>
    <w:p w14:paraId="160E6FA3" w14:textId="6375857A" w:rsidR="00B463B7" w:rsidRDefault="00B463B7" w:rsidP="00C870A2">
      <w:pPr>
        <w:spacing w:before="240" w:after="240"/>
        <w:jc w:val="center"/>
      </w:pPr>
      <w:r>
        <w:rPr>
          <w:noProof/>
        </w:rPr>
        <w:drawing>
          <wp:inline distT="0" distB="0" distL="0" distR="0" wp14:anchorId="2E8E8957" wp14:editId="2D37974A">
            <wp:extent cx="4960620" cy="2876550"/>
            <wp:effectExtent l="0" t="0" r="11430" b="0"/>
            <wp:docPr id="90412214" name="Chart 1">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16A948C" w14:textId="77777777" w:rsidR="00DE0959" w:rsidRDefault="00000000" w:rsidP="00C870A2">
      <w:pPr>
        <w:spacing w:before="240" w:after="240"/>
        <w:jc w:val="center"/>
        <w:rPr>
          <w:b/>
          <w:bCs/>
        </w:rPr>
      </w:pPr>
      <w:r>
        <w:rPr>
          <w:b/>
          <w:bCs/>
        </w:rPr>
        <w:t>Figure 5: Gearing Ratio</w:t>
      </w:r>
    </w:p>
    <w:p w14:paraId="40D170FD" w14:textId="77777777" w:rsidR="00DE0959" w:rsidRDefault="00000000" w:rsidP="00C870A2">
      <w:pPr>
        <w:spacing w:before="240" w:after="240"/>
      </w:pPr>
      <w:r>
        <w:t xml:space="preserve">The debt-to-equity ratio has steadily increased </w:t>
      </w:r>
      <w:proofErr w:type="gramStart"/>
      <w:r>
        <w:t>since</w:t>
      </w:r>
      <w:proofErr w:type="gramEnd"/>
      <w:r>
        <w:t xml:space="preserve"> 0.63 in 2020 to 1.11 in 2024, which means that the company is increasingly becoming more financially leveraged and depends on debt to finance its further operations. This is especially worrying as </w:t>
      </w:r>
      <w:proofErr w:type="gramStart"/>
      <w:r>
        <w:t>the profitability</w:t>
      </w:r>
      <w:proofErr w:type="gramEnd"/>
      <w:r>
        <w:t xml:space="preserve"> is falling at the same time. The coverage of interests dropped considerably to negative levels in 2023 and 2024, proving the failure to finance costs of operations with operating profits. High gearing is a major financial distress risk in a macroeconomic environment with a high interest rate. The solvency status of the </w:t>
      </w:r>
      <w:r>
        <w:lastRenderedPageBreak/>
        <w:t>firm is thus weak and there is little buffer room to cushion additional economic shocks or revenue fluctuations (Wall Street Prep, 2025).</w:t>
      </w:r>
    </w:p>
    <w:p w14:paraId="3DE8613E" w14:textId="77777777" w:rsidR="00DE0959" w:rsidRDefault="00000000" w:rsidP="00C870A2">
      <w:pPr>
        <w:pStyle w:val="Heading2"/>
      </w:pPr>
      <w:bookmarkStart w:id="7" w:name="_lobpsrqrjpik" w:colFirst="0" w:colLast="0"/>
      <w:bookmarkEnd w:id="7"/>
      <w:r>
        <w:t>2.6 Investment (Market-Based) Ratios</w:t>
      </w:r>
    </w:p>
    <w:p w14:paraId="16E75E5E" w14:textId="77777777" w:rsidR="00DE0959" w:rsidRDefault="00000000" w:rsidP="00C870A2">
      <w:pPr>
        <w:spacing w:before="240" w:after="240"/>
      </w:pPr>
      <w:r>
        <w:t>Market-based ratios indicate investor perception of the performance of a firm, growth opportunities of a firm and risk profile of a firm. Market confidence is measured by earnings per share (EPS) and price-earnings (P/E) ratio.</w:t>
      </w:r>
    </w:p>
    <w:p w14:paraId="10CEF7D4" w14:textId="7C4C977D" w:rsidR="00B463B7" w:rsidRDefault="00B463B7" w:rsidP="00C870A2">
      <w:pPr>
        <w:spacing w:before="240" w:after="240"/>
        <w:jc w:val="center"/>
      </w:pPr>
      <w:r>
        <w:rPr>
          <w:noProof/>
        </w:rPr>
        <w:drawing>
          <wp:inline distT="0" distB="0" distL="0" distR="0" wp14:anchorId="215C9A70" wp14:editId="789D7042">
            <wp:extent cx="5029200" cy="2743200"/>
            <wp:effectExtent l="0" t="0" r="0" b="0"/>
            <wp:docPr id="1183215653" name="Chart 1">
              <a:extLst xmlns:a="http://schemas.openxmlformats.org/drawingml/2006/main">
                <a:ext uri="{FF2B5EF4-FFF2-40B4-BE49-F238E27FC236}">
                  <a16:creationId xmlns:a16="http://schemas.microsoft.com/office/drawing/2014/main" id="{00000000-0008-0000-02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40D9D6A" w14:textId="2D3C3A09" w:rsidR="00B463B7" w:rsidRDefault="00B463B7" w:rsidP="00C870A2">
      <w:pPr>
        <w:spacing w:before="240" w:after="240"/>
        <w:jc w:val="center"/>
      </w:pPr>
      <w:r>
        <w:rPr>
          <w:noProof/>
        </w:rPr>
        <w:drawing>
          <wp:inline distT="0" distB="0" distL="0" distR="0" wp14:anchorId="7A8B3B11" wp14:editId="4A65E62C">
            <wp:extent cx="5013960" cy="2632710"/>
            <wp:effectExtent l="0" t="0" r="15240" b="15240"/>
            <wp:docPr id="1620794952" name="Chart 1">
              <a:extLst xmlns:a="http://schemas.openxmlformats.org/drawingml/2006/main">
                <a:ext uri="{FF2B5EF4-FFF2-40B4-BE49-F238E27FC236}">
                  <a16:creationId xmlns:a16="http://schemas.microsoft.com/office/drawing/2014/main" id="{00000000-0008-0000-02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51C03A1" w14:textId="77777777" w:rsidR="00DE0959" w:rsidRDefault="00000000" w:rsidP="00C870A2">
      <w:pPr>
        <w:spacing w:before="240" w:after="240"/>
        <w:jc w:val="center"/>
        <w:rPr>
          <w:b/>
          <w:bCs/>
        </w:rPr>
      </w:pPr>
      <w:r>
        <w:rPr>
          <w:b/>
          <w:bCs/>
        </w:rPr>
        <w:t>Figure 6: Investment and Market Ratios</w:t>
      </w:r>
    </w:p>
    <w:p w14:paraId="5EC41C44" w14:textId="77777777" w:rsidR="00DE0959" w:rsidRDefault="00000000" w:rsidP="00C870A2">
      <w:pPr>
        <w:spacing w:before="240" w:after="240"/>
      </w:pPr>
      <w:r>
        <w:lastRenderedPageBreak/>
        <w:t xml:space="preserve">The EPS went down to the negligible level in 2022 compared to 2.78 in 2020 and then negative sharply in 2023 and 2024. In line with this, the P/E ratio was extremely distorted and reached unsustainable levels between 2021 and 2022 and became negative afterwards. The shrinking share price in the market is an indication of lack of investor confidence and pessimism </w:t>
      </w:r>
      <w:proofErr w:type="gramStart"/>
      <w:r>
        <w:t>on</w:t>
      </w:r>
      <w:proofErr w:type="gramEnd"/>
      <w:r>
        <w:t xml:space="preserve"> their future earnings. Equity market risk perceptions have been intensified by macroeconomic volatility, coupled with company-specific losses and equity financing has become costlier and dilutive (Bashir and Kumar, 2025).</w:t>
      </w:r>
    </w:p>
    <w:p w14:paraId="247D424F" w14:textId="77777777" w:rsidR="00DE0959" w:rsidRDefault="00000000" w:rsidP="00C870A2">
      <w:pPr>
        <w:pStyle w:val="Heading2"/>
      </w:pPr>
      <w:bookmarkStart w:id="8" w:name="_rpudyyoehcmp" w:colFirst="0" w:colLast="0"/>
      <w:bookmarkEnd w:id="8"/>
      <w:r>
        <w:t>2.7 Cash Flow Analysis</w:t>
      </w:r>
    </w:p>
    <w:p w14:paraId="74658FDC" w14:textId="77777777" w:rsidR="00DE0959" w:rsidRDefault="00000000" w:rsidP="00C870A2">
      <w:pPr>
        <w:spacing w:before="240" w:after="240"/>
      </w:pPr>
      <w:r>
        <w:t xml:space="preserve">Cash flow ratios test the ability of the firm to produce cash through operations to offset the liquidity, used in debt service, and investment. There is a special importance </w:t>
      </w:r>
      <w:proofErr w:type="gramStart"/>
      <w:r>
        <w:t>of</w:t>
      </w:r>
      <w:proofErr w:type="gramEnd"/>
      <w:r>
        <w:t xml:space="preserve"> operating cash flow ratios in times of financial distress.</w:t>
      </w:r>
    </w:p>
    <w:p w14:paraId="217BF902" w14:textId="33C72D78" w:rsidR="00B463B7" w:rsidRDefault="00B463B7" w:rsidP="00C870A2">
      <w:pPr>
        <w:spacing w:before="240" w:after="240"/>
        <w:jc w:val="center"/>
      </w:pPr>
      <w:r>
        <w:rPr>
          <w:noProof/>
        </w:rPr>
        <w:drawing>
          <wp:inline distT="0" distB="0" distL="0" distR="0" wp14:anchorId="7B282045" wp14:editId="4D6AE270">
            <wp:extent cx="5013960" cy="2743200"/>
            <wp:effectExtent l="0" t="0" r="15240" b="0"/>
            <wp:docPr id="894821075" name="Chart 1">
              <a:extLst xmlns:a="http://schemas.openxmlformats.org/drawingml/2006/main">
                <a:ext uri="{FF2B5EF4-FFF2-40B4-BE49-F238E27FC236}">
                  <a16:creationId xmlns:a16="http://schemas.microsoft.com/office/drawing/2014/main" id="{00000000-0008-0000-02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74CEFD7" w14:textId="77777777" w:rsidR="00DE0959" w:rsidRDefault="00000000" w:rsidP="00C870A2">
      <w:pPr>
        <w:spacing w:before="240" w:after="240"/>
        <w:jc w:val="center"/>
        <w:rPr>
          <w:b/>
          <w:bCs/>
        </w:rPr>
      </w:pPr>
      <w:r>
        <w:rPr>
          <w:b/>
          <w:bCs/>
        </w:rPr>
        <w:t>Figure 8: Cashflow Ratio</w:t>
      </w:r>
    </w:p>
    <w:p w14:paraId="5D9A144C" w14:textId="77777777" w:rsidR="00DE0959" w:rsidRDefault="00000000" w:rsidP="00C870A2">
      <w:pPr>
        <w:spacing w:before="240" w:after="240"/>
      </w:pPr>
      <w:r>
        <w:t xml:space="preserve">Cash flow operations went down tremendously in 2023 to negative figures, when compared to 2020 at £78,553 before a slight improvement in the year 2024. The operating cash flow ratio has decreased by a margin of 0.44 to a point where it was close to zero, this shows that the current liabilities are no longer sufficiently financed by the internally generated cash. Equally, the cash flow to sales ratio deteriorated </w:t>
      </w:r>
      <w:proofErr w:type="gramStart"/>
      <w:r>
        <w:t>significantly</w:t>
      </w:r>
      <w:proofErr w:type="gramEnd"/>
      <w:r>
        <w:t xml:space="preserve"> indicating a negative change in the cash conversion </w:t>
      </w:r>
      <w:r>
        <w:lastRenderedPageBreak/>
        <w:t>efficiency. The weak operating cash flows in a macroeconomic environment of tight liquidity and limited external funding is an urgent risk to the business survival and highlights the urgency of restructuring and working capital changes (Mansour, 2024).</w:t>
      </w:r>
    </w:p>
    <w:p w14:paraId="7B0997EC" w14:textId="77777777" w:rsidR="00DE0959" w:rsidRDefault="00000000" w:rsidP="00C870A2">
      <w:pPr>
        <w:pStyle w:val="Heading2"/>
      </w:pPr>
      <w:bookmarkStart w:id="9" w:name="_g7i7f7ha21hx" w:colFirst="0" w:colLast="0"/>
      <w:bookmarkEnd w:id="9"/>
      <w:r>
        <w:t>2.8 Corporate Failure Risk Assessment</w:t>
      </w:r>
    </w:p>
    <w:tbl>
      <w:tblPr>
        <w:tblStyle w:val="GridTable4-Accent2"/>
        <w:tblW w:w="5000" w:type="pct"/>
        <w:tblLook w:val="04A0" w:firstRow="1" w:lastRow="0" w:firstColumn="1" w:lastColumn="0" w:noHBand="0" w:noVBand="1"/>
      </w:tblPr>
      <w:tblGrid>
        <w:gridCol w:w="305"/>
        <w:gridCol w:w="1544"/>
        <w:gridCol w:w="2998"/>
        <w:gridCol w:w="241"/>
        <w:gridCol w:w="1225"/>
        <w:gridCol w:w="3037"/>
      </w:tblGrid>
      <w:tr w:rsidR="00B463B7" w:rsidRPr="00B463B7" w14:paraId="4F240965" w14:textId="77777777" w:rsidTr="00B463B7">
        <w:trPr>
          <w:cnfStyle w:val="100000000000" w:firstRow="1" w:lastRow="0" w:firstColumn="0" w:lastColumn="0" w:oddVBand="0" w:evenVBand="0" w:oddHBand="0" w:evenHBand="0" w:firstRowFirstColumn="0" w:firstRowLastColumn="0" w:lastRowFirstColumn="0" w:lastRowLastColumn="0"/>
          <w:trHeight w:val="876"/>
        </w:trPr>
        <w:tc>
          <w:tcPr>
            <w:cnfStyle w:val="001000000000" w:firstRow="0" w:lastRow="0" w:firstColumn="1" w:lastColumn="0" w:oddVBand="0" w:evenVBand="0" w:oddHBand="0" w:evenHBand="0" w:firstRowFirstColumn="0" w:firstRowLastColumn="0" w:lastRowFirstColumn="0" w:lastRowLastColumn="0"/>
            <w:tcW w:w="5000" w:type="pct"/>
            <w:gridSpan w:val="6"/>
            <w:noWrap/>
            <w:hideMark/>
          </w:tcPr>
          <w:p w14:paraId="6D4B0EA7" w14:textId="2ED71C8B" w:rsidR="00B463B7" w:rsidRPr="00B463B7" w:rsidRDefault="00B463B7" w:rsidP="00C870A2">
            <w:pPr>
              <w:spacing w:line="360" w:lineRule="auto"/>
              <w:jc w:val="left"/>
              <w:rPr>
                <w:rFonts w:ascii="Calibri" w:hAnsi="Calibri" w:cs="Calibri"/>
                <w:color w:val="000000"/>
                <w:lang w:val="en-IN"/>
              </w:rPr>
            </w:pPr>
            <w:r w:rsidRPr="00B463B7">
              <w:rPr>
                <w:rFonts w:ascii="Calibri" w:hAnsi="Calibri" w:cs="Calibri"/>
                <w:noProof/>
                <w:color w:val="000000"/>
                <w:lang w:val="en-IN"/>
              </w:rPr>
              <w:drawing>
                <wp:anchor distT="0" distB="0" distL="114300" distR="114300" simplePos="0" relativeHeight="251659264" behindDoc="0" locked="0" layoutInCell="1" allowOverlap="1" wp14:anchorId="194453AF" wp14:editId="030696E2">
                  <wp:simplePos x="0" y="0"/>
                  <wp:positionH relativeFrom="column">
                    <wp:posOffset>10782300</wp:posOffset>
                  </wp:positionH>
                  <wp:positionV relativeFrom="paragraph">
                    <wp:posOffset>-281940</wp:posOffset>
                  </wp:positionV>
                  <wp:extent cx="891540" cy="845820"/>
                  <wp:effectExtent l="0" t="0" r="3810" b="0"/>
                  <wp:wrapNone/>
                  <wp:docPr id="677462491" name="Picture 3">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91540" cy="84582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9114"/>
            </w:tblGrid>
            <w:tr w:rsidR="00B463B7" w:rsidRPr="00B463B7" w14:paraId="467A1C1A" w14:textId="77777777">
              <w:trPr>
                <w:trHeight w:val="876"/>
                <w:tblCellSpacing w:w="0" w:type="dxa"/>
              </w:trPr>
              <w:tc>
                <w:tcPr>
                  <w:tcW w:w="18800" w:type="dxa"/>
                  <w:tcBorders>
                    <w:top w:val="single" w:sz="8" w:space="0" w:color="auto"/>
                    <w:left w:val="single" w:sz="8" w:space="0" w:color="auto"/>
                    <w:bottom w:val="single" w:sz="4" w:space="0" w:color="auto"/>
                    <w:right w:val="single" w:sz="8" w:space="0" w:color="000000"/>
                  </w:tcBorders>
                  <w:shd w:val="clear" w:color="000000" w:fill="E2EFDA"/>
                  <w:noWrap/>
                  <w:vAlign w:val="center"/>
                  <w:hideMark/>
                </w:tcPr>
                <w:p w14:paraId="737E11B4" w14:textId="77777777" w:rsidR="00B463B7" w:rsidRPr="00B463B7" w:rsidRDefault="00B463B7" w:rsidP="00C870A2">
                  <w:pPr>
                    <w:spacing w:after="0"/>
                    <w:jc w:val="center"/>
                    <w:rPr>
                      <w:rFonts w:ascii="Calibri" w:hAnsi="Calibri" w:cs="Calibri"/>
                      <w:b/>
                      <w:bCs/>
                      <w:color w:val="1F4E78"/>
                      <w:lang w:val="en-IN"/>
                    </w:rPr>
                  </w:pPr>
                  <w:r w:rsidRPr="00B463B7">
                    <w:rPr>
                      <w:rFonts w:ascii="Calibri" w:hAnsi="Calibri" w:cs="Calibri"/>
                      <w:b/>
                      <w:bCs/>
                      <w:color w:val="1F4E78"/>
                      <w:lang w:val="en-IN"/>
                    </w:rPr>
                    <w:t xml:space="preserve">Altman Z-Score Analysis </w:t>
                  </w:r>
                </w:p>
              </w:tc>
            </w:tr>
          </w:tbl>
          <w:p w14:paraId="5594F912" w14:textId="77777777" w:rsidR="00B463B7" w:rsidRPr="00B463B7" w:rsidRDefault="00B463B7" w:rsidP="00C870A2">
            <w:pPr>
              <w:spacing w:line="360" w:lineRule="auto"/>
              <w:jc w:val="left"/>
              <w:rPr>
                <w:rFonts w:ascii="Calibri" w:hAnsi="Calibri" w:cs="Calibri"/>
                <w:color w:val="000000"/>
                <w:lang w:val="en-IN"/>
              </w:rPr>
            </w:pPr>
          </w:p>
        </w:tc>
      </w:tr>
      <w:tr w:rsidR="00B463B7" w:rsidRPr="00B463B7" w14:paraId="0D616002" w14:textId="77777777" w:rsidTr="00B463B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5" w:type="pct"/>
            <w:noWrap/>
            <w:hideMark/>
          </w:tcPr>
          <w:p w14:paraId="34894A13" w14:textId="77777777" w:rsidR="00B463B7" w:rsidRPr="00B463B7" w:rsidRDefault="00B463B7" w:rsidP="00C870A2">
            <w:pPr>
              <w:spacing w:line="360" w:lineRule="auto"/>
              <w:jc w:val="left"/>
              <w:rPr>
                <w:rFonts w:ascii="Calibri" w:hAnsi="Calibri" w:cs="Calibri"/>
                <w:color w:val="000000"/>
                <w:lang w:val="en-IN"/>
              </w:rPr>
            </w:pPr>
            <w:r w:rsidRPr="00B463B7">
              <w:rPr>
                <w:rFonts w:ascii="Calibri" w:hAnsi="Calibri" w:cs="Calibri"/>
                <w:color w:val="000000"/>
                <w:lang w:val="en-IN"/>
              </w:rPr>
              <w:t> </w:t>
            </w:r>
          </w:p>
        </w:tc>
        <w:tc>
          <w:tcPr>
            <w:tcW w:w="829" w:type="pct"/>
            <w:noWrap/>
            <w:hideMark/>
          </w:tcPr>
          <w:p w14:paraId="11EB8157" w14:textId="77777777" w:rsidR="00B463B7" w:rsidRPr="00B463B7" w:rsidRDefault="00B463B7" w:rsidP="00C870A2">
            <w:pPr>
              <w:spacing w:line="36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n-IN"/>
              </w:rPr>
            </w:pPr>
          </w:p>
        </w:tc>
        <w:tc>
          <w:tcPr>
            <w:tcW w:w="1675" w:type="pct"/>
            <w:noWrap/>
            <w:hideMark/>
          </w:tcPr>
          <w:p w14:paraId="12CD9032" w14:textId="77777777" w:rsidR="00B463B7" w:rsidRPr="00B463B7" w:rsidRDefault="00B463B7" w:rsidP="00C870A2">
            <w:pPr>
              <w:spacing w:line="360" w:lineRule="auto"/>
              <w:jc w:val="left"/>
              <w:cnfStyle w:val="000000100000" w:firstRow="0" w:lastRow="0" w:firstColumn="0" w:lastColumn="0" w:oddVBand="0" w:evenVBand="0" w:oddHBand="1" w:evenHBand="0" w:firstRowFirstColumn="0" w:firstRowLastColumn="0" w:lastRowFirstColumn="0" w:lastRowLastColumn="0"/>
              <w:rPr>
                <w:lang w:val="en-IN"/>
              </w:rPr>
            </w:pPr>
          </w:p>
        </w:tc>
        <w:tc>
          <w:tcPr>
            <w:tcW w:w="69" w:type="pct"/>
            <w:noWrap/>
            <w:hideMark/>
          </w:tcPr>
          <w:p w14:paraId="73217A5E" w14:textId="77777777" w:rsidR="00B463B7" w:rsidRPr="00B463B7" w:rsidRDefault="00B463B7" w:rsidP="00C870A2">
            <w:pPr>
              <w:spacing w:line="360" w:lineRule="auto"/>
              <w:jc w:val="left"/>
              <w:cnfStyle w:val="000000100000" w:firstRow="0" w:lastRow="0" w:firstColumn="0" w:lastColumn="0" w:oddVBand="0" w:evenVBand="0" w:oddHBand="1" w:evenHBand="0" w:firstRowFirstColumn="0" w:firstRowLastColumn="0" w:lastRowFirstColumn="0" w:lastRowLastColumn="0"/>
              <w:rPr>
                <w:lang w:val="en-IN"/>
              </w:rPr>
            </w:pPr>
          </w:p>
        </w:tc>
        <w:tc>
          <w:tcPr>
            <w:tcW w:w="644" w:type="pct"/>
            <w:noWrap/>
            <w:hideMark/>
          </w:tcPr>
          <w:p w14:paraId="66606ECB" w14:textId="77777777" w:rsidR="00B463B7" w:rsidRPr="00B463B7" w:rsidRDefault="00B463B7" w:rsidP="00C870A2">
            <w:pPr>
              <w:spacing w:line="360" w:lineRule="auto"/>
              <w:jc w:val="left"/>
              <w:cnfStyle w:val="000000100000" w:firstRow="0" w:lastRow="0" w:firstColumn="0" w:lastColumn="0" w:oddVBand="0" w:evenVBand="0" w:oddHBand="1" w:evenHBand="0" w:firstRowFirstColumn="0" w:firstRowLastColumn="0" w:lastRowFirstColumn="0" w:lastRowLastColumn="0"/>
              <w:rPr>
                <w:lang w:val="en-IN"/>
              </w:rPr>
            </w:pPr>
          </w:p>
        </w:tc>
        <w:tc>
          <w:tcPr>
            <w:tcW w:w="1698" w:type="pct"/>
            <w:noWrap/>
            <w:hideMark/>
          </w:tcPr>
          <w:p w14:paraId="1C874B53" w14:textId="77777777" w:rsidR="00B463B7" w:rsidRPr="00B463B7" w:rsidRDefault="00B463B7" w:rsidP="00C870A2">
            <w:pPr>
              <w:spacing w:line="36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n-IN"/>
              </w:rPr>
            </w:pPr>
            <w:r w:rsidRPr="00B463B7">
              <w:rPr>
                <w:rFonts w:ascii="Calibri" w:hAnsi="Calibri" w:cs="Calibri"/>
                <w:color w:val="000000"/>
                <w:lang w:val="en-IN"/>
              </w:rPr>
              <w:t> </w:t>
            </w:r>
          </w:p>
        </w:tc>
      </w:tr>
      <w:tr w:rsidR="00B463B7" w:rsidRPr="00B463B7" w14:paraId="63F9FE0A" w14:textId="77777777" w:rsidTr="00B463B7">
        <w:trPr>
          <w:trHeight w:val="480"/>
        </w:trPr>
        <w:tc>
          <w:tcPr>
            <w:cnfStyle w:val="001000000000" w:firstRow="0" w:lastRow="0" w:firstColumn="1" w:lastColumn="0" w:oddVBand="0" w:evenVBand="0" w:oddHBand="0" w:evenHBand="0" w:firstRowFirstColumn="0" w:firstRowLastColumn="0" w:lastRowFirstColumn="0" w:lastRowLastColumn="0"/>
            <w:tcW w:w="85" w:type="pct"/>
            <w:noWrap/>
            <w:hideMark/>
          </w:tcPr>
          <w:p w14:paraId="6BACF0AF" w14:textId="77777777" w:rsidR="00B463B7" w:rsidRPr="00B463B7" w:rsidRDefault="00B463B7" w:rsidP="00C870A2">
            <w:pPr>
              <w:spacing w:line="360" w:lineRule="auto"/>
              <w:jc w:val="left"/>
              <w:rPr>
                <w:rFonts w:ascii="Calibri" w:hAnsi="Calibri" w:cs="Calibri"/>
                <w:color w:val="000000"/>
                <w:lang w:val="en-IN"/>
              </w:rPr>
            </w:pPr>
            <w:r w:rsidRPr="00B463B7">
              <w:rPr>
                <w:rFonts w:ascii="Calibri" w:hAnsi="Calibri" w:cs="Calibri"/>
                <w:color w:val="000000"/>
                <w:lang w:val="en-IN"/>
              </w:rPr>
              <w:t> </w:t>
            </w:r>
          </w:p>
        </w:tc>
        <w:tc>
          <w:tcPr>
            <w:tcW w:w="829" w:type="pct"/>
            <w:noWrap/>
            <w:hideMark/>
          </w:tcPr>
          <w:p w14:paraId="649A601C" w14:textId="77777777" w:rsidR="00B463B7" w:rsidRPr="00B463B7" w:rsidRDefault="00B463B7" w:rsidP="00C870A2">
            <w:pPr>
              <w:spacing w:line="360"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color w:val="595959"/>
                <w:lang w:val="en-IN"/>
              </w:rPr>
            </w:pPr>
            <w:r w:rsidRPr="00B463B7">
              <w:rPr>
                <w:rFonts w:ascii="Calibri" w:hAnsi="Calibri" w:cs="Calibri"/>
                <w:b/>
                <w:bCs/>
                <w:color w:val="595959"/>
                <w:lang w:val="en-IN"/>
              </w:rPr>
              <w:t>Company Name</w:t>
            </w:r>
          </w:p>
        </w:tc>
        <w:tc>
          <w:tcPr>
            <w:tcW w:w="1675" w:type="pct"/>
            <w:noWrap/>
            <w:hideMark/>
          </w:tcPr>
          <w:p w14:paraId="1165F9CD" w14:textId="77777777" w:rsidR="00B463B7" w:rsidRPr="00B463B7" w:rsidRDefault="00B463B7" w:rsidP="00C870A2">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lang w:val="en-IN"/>
              </w:rPr>
            </w:pPr>
            <w:r w:rsidRPr="00B463B7">
              <w:rPr>
                <w:rFonts w:ascii="Calibri" w:hAnsi="Calibri" w:cs="Calibri"/>
                <w:b/>
                <w:bCs/>
                <w:color w:val="000000"/>
                <w:lang w:val="en-IN"/>
              </w:rPr>
              <w:t>General Electronics</w:t>
            </w:r>
          </w:p>
        </w:tc>
        <w:tc>
          <w:tcPr>
            <w:tcW w:w="69" w:type="pct"/>
            <w:noWrap/>
            <w:hideMark/>
          </w:tcPr>
          <w:p w14:paraId="102CE8F8" w14:textId="77777777" w:rsidR="00B463B7" w:rsidRPr="00B463B7" w:rsidRDefault="00B463B7" w:rsidP="00C870A2">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lang w:val="en-IN"/>
              </w:rPr>
            </w:pPr>
          </w:p>
        </w:tc>
        <w:tc>
          <w:tcPr>
            <w:tcW w:w="644" w:type="pct"/>
            <w:noWrap/>
            <w:hideMark/>
          </w:tcPr>
          <w:p w14:paraId="25F22E1D" w14:textId="77777777" w:rsidR="00B463B7" w:rsidRPr="00B463B7" w:rsidRDefault="00B463B7" w:rsidP="00C870A2">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595959"/>
                <w:lang w:val="en-IN"/>
              </w:rPr>
            </w:pPr>
            <w:r w:rsidRPr="00B463B7">
              <w:rPr>
                <w:rFonts w:ascii="Calibri" w:hAnsi="Calibri" w:cs="Calibri"/>
                <w:b/>
                <w:bCs/>
                <w:color w:val="595959"/>
                <w:lang w:val="en-IN"/>
              </w:rPr>
              <w:t>X1</w:t>
            </w:r>
          </w:p>
        </w:tc>
        <w:tc>
          <w:tcPr>
            <w:tcW w:w="1698" w:type="pct"/>
            <w:noWrap/>
            <w:hideMark/>
          </w:tcPr>
          <w:p w14:paraId="56DFD4F7" w14:textId="77777777" w:rsidR="00B463B7" w:rsidRPr="00B463B7" w:rsidRDefault="00B463B7" w:rsidP="00C870A2">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1F4E78"/>
                <w:lang w:val="en-IN"/>
              </w:rPr>
            </w:pPr>
            <w:r w:rsidRPr="00B463B7">
              <w:rPr>
                <w:rFonts w:ascii="Calibri" w:hAnsi="Calibri" w:cs="Calibri"/>
                <w:b/>
                <w:bCs/>
                <w:color w:val="1F4E78"/>
                <w:lang w:val="en-IN"/>
              </w:rPr>
              <w:t>0.26</w:t>
            </w:r>
          </w:p>
        </w:tc>
      </w:tr>
      <w:tr w:rsidR="00B463B7" w:rsidRPr="00B463B7" w14:paraId="40506B29" w14:textId="77777777" w:rsidTr="00B463B7">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85" w:type="pct"/>
            <w:noWrap/>
            <w:hideMark/>
          </w:tcPr>
          <w:p w14:paraId="0893BE92" w14:textId="77777777" w:rsidR="00B463B7" w:rsidRPr="00B463B7" w:rsidRDefault="00B463B7" w:rsidP="00C870A2">
            <w:pPr>
              <w:spacing w:line="360" w:lineRule="auto"/>
              <w:jc w:val="left"/>
              <w:rPr>
                <w:rFonts w:ascii="Calibri" w:hAnsi="Calibri" w:cs="Calibri"/>
                <w:color w:val="000000"/>
                <w:lang w:val="en-IN"/>
              </w:rPr>
            </w:pPr>
            <w:r w:rsidRPr="00B463B7">
              <w:rPr>
                <w:rFonts w:ascii="Calibri" w:hAnsi="Calibri" w:cs="Calibri"/>
                <w:color w:val="000000"/>
                <w:lang w:val="en-IN"/>
              </w:rPr>
              <w:t> </w:t>
            </w:r>
          </w:p>
        </w:tc>
        <w:tc>
          <w:tcPr>
            <w:tcW w:w="829" w:type="pct"/>
            <w:noWrap/>
            <w:hideMark/>
          </w:tcPr>
          <w:p w14:paraId="2702A0F6" w14:textId="77777777" w:rsidR="00B463B7" w:rsidRPr="00B463B7" w:rsidRDefault="00B463B7" w:rsidP="00C870A2">
            <w:pPr>
              <w:spacing w:line="36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i/>
                <w:iCs/>
                <w:color w:val="595959"/>
                <w:lang w:val="en-IN"/>
              </w:rPr>
            </w:pPr>
            <w:r w:rsidRPr="00B463B7">
              <w:rPr>
                <w:rFonts w:ascii="Calibri" w:hAnsi="Calibri" w:cs="Calibri"/>
                <w:i/>
                <w:iCs/>
                <w:color w:val="595959"/>
                <w:lang w:val="en-IN"/>
              </w:rPr>
              <w:t>Date performed</w:t>
            </w:r>
          </w:p>
        </w:tc>
        <w:tc>
          <w:tcPr>
            <w:tcW w:w="1675" w:type="pct"/>
            <w:noWrap/>
            <w:hideMark/>
          </w:tcPr>
          <w:p w14:paraId="2AE5C081" w14:textId="77777777" w:rsidR="00B463B7" w:rsidRPr="00B463B7" w:rsidRDefault="00B463B7" w:rsidP="00C870A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i/>
                <w:iCs/>
                <w:color w:val="595959"/>
                <w:lang w:val="en-IN"/>
              </w:rPr>
            </w:pPr>
            <w:r w:rsidRPr="00B463B7">
              <w:rPr>
                <w:rFonts w:ascii="Calibri" w:hAnsi="Calibri" w:cs="Calibri"/>
                <w:i/>
                <w:iCs/>
                <w:color w:val="595959"/>
                <w:lang w:val="en-IN"/>
              </w:rPr>
              <w:t>20-12-2025</w:t>
            </w:r>
          </w:p>
        </w:tc>
        <w:tc>
          <w:tcPr>
            <w:tcW w:w="69" w:type="pct"/>
            <w:noWrap/>
            <w:hideMark/>
          </w:tcPr>
          <w:p w14:paraId="4B16E51C" w14:textId="77777777" w:rsidR="00B463B7" w:rsidRPr="00B463B7" w:rsidRDefault="00B463B7" w:rsidP="00C870A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i/>
                <w:iCs/>
                <w:color w:val="595959"/>
                <w:lang w:val="en-IN"/>
              </w:rPr>
            </w:pPr>
          </w:p>
        </w:tc>
        <w:tc>
          <w:tcPr>
            <w:tcW w:w="644" w:type="pct"/>
            <w:noWrap/>
            <w:hideMark/>
          </w:tcPr>
          <w:p w14:paraId="4860519E" w14:textId="77777777" w:rsidR="00B463B7" w:rsidRPr="00B463B7" w:rsidRDefault="00B463B7" w:rsidP="00C870A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color w:val="595959"/>
                <w:lang w:val="en-IN"/>
              </w:rPr>
            </w:pPr>
            <w:r w:rsidRPr="00B463B7">
              <w:rPr>
                <w:rFonts w:ascii="Calibri" w:hAnsi="Calibri" w:cs="Calibri"/>
                <w:b/>
                <w:bCs/>
                <w:color w:val="595959"/>
                <w:lang w:val="en-IN"/>
              </w:rPr>
              <w:t>X2</w:t>
            </w:r>
          </w:p>
        </w:tc>
        <w:tc>
          <w:tcPr>
            <w:tcW w:w="1698" w:type="pct"/>
            <w:noWrap/>
            <w:hideMark/>
          </w:tcPr>
          <w:p w14:paraId="3227EA33" w14:textId="77777777" w:rsidR="00B463B7" w:rsidRPr="00B463B7" w:rsidRDefault="00B463B7" w:rsidP="00C870A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color w:val="1F4E78"/>
                <w:lang w:val="en-IN"/>
              </w:rPr>
            </w:pPr>
            <w:r w:rsidRPr="00B463B7">
              <w:rPr>
                <w:rFonts w:ascii="Calibri" w:hAnsi="Calibri" w:cs="Calibri"/>
                <w:b/>
                <w:bCs/>
                <w:color w:val="1F4E78"/>
                <w:lang w:val="en-IN"/>
              </w:rPr>
              <w:t>1.01</w:t>
            </w:r>
          </w:p>
        </w:tc>
      </w:tr>
      <w:tr w:rsidR="00B463B7" w:rsidRPr="00B463B7" w14:paraId="3E1FDE15" w14:textId="77777777" w:rsidTr="00B463B7">
        <w:trPr>
          <w:trHeight w:val="480"/>
        </w:trPr>
        <w:tc>
          <w:tcPr>
            <w:cnfStyle w:val="001000000000" w:firstRow="0" w:lastRow="0" w:firstColumn="1" w:lastColumn="0" w:oddVBand="0" w:evenVBand="0" w:oddHBand="0" w:evenHBand="0" w:firstRowFirstColumn="0" w:firstRowLastColumn="0" w:lastRowFirstColumn="0" w:lastRowLastColumn="0"/>
            <w:tcW w:w="85" w:type="pct"/>
            <w:noWrap/>
            <w:hideMark/>
          </w:tcPr>
          <w:p w14:paraId="682BEC6B" w14:textId="77777777" w:rsidR="00B463B7" w:rsidRPr="00B463B7" w:rsidRDefault="00B463B7" w:rsidP="00C870A2">
            <w:pPr>
              <w:spacing w:line="360" w:lineRule="auto"/>
              <w:jc w:val="left"/>
              <w:rPr>
                <w:rFonts w:ascii="Calibri" w:hAnsi="Calibri" w:cs="Calibri"/>
                <w:color w:val="000000"/>
                <w:lang w:val="en-IN"/>
              </w:rPr>
            </w:pPr>
            <w:r w:rsidRPr="00B463B7">
              <w:rPr>
                <w:rFonts w:ascii="Calibri" w:hAnsi="Calibri" w:cs="Calibri"/>
                <w:color w:val="000000"/>
                <w:lang w:val="en-IN"/>
              </w:rPr>
              <w:t> </w:t>
            </w:r>
          </w:p>
        </w:tc>
        <w:tc>
          <w:tcPr>
            <w:tcW w:w="829" w:type="pct"/>
            <w:noWrap/>
            <w:hideMark/>
          </w:tcPr>
          <w:p w14:paraId="7819AD9E" w14:textId="77777777" w:rsidR="00B463B7" w:rsidRPr="00B463B7" w:rsidRDefault="00B463B7" w:rsidP="00C870A2">
            <w:pPr>
              <w:spacing w:line="360"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n-IN"/>
              </w:rPr>
            </w:pPr>
          </w:p>
        </w:tc>
        <w:tc>
          <w:tcPr>
            <w:tcW w:w="1675" w:type="pct"/>
            <w:noWrap/>
            <w:hideMark/>
          </w:tcPr>
          <w:p w14:paraId="0C26840F" w14:textId="77777777" w:rsidR="00B463B7" w:rsidRPr="00B463B7" w:rsidRDefault="00B463B7" w:rsidP="00C870A2">
            <w:pPr>
              <w:spacing w:line="360" w:lineRule="auto"/>
              <w:jc w:val="left"/>
              <w:cnfStyle w:val="000000000000" w:firstRow="0" w:lastRow="0" w:firstColumn="0" w:lastColumn="0" w:oddVBand="0" w:evenVBand="0" w:oddHBand="0" w:evenHBand="0" w:firstRowFirstColumn="0" w:firstRowLastColumn="0" w:lastRowFirstColumn="0" w:lastRowLastColumn="0"/>
              <w:rPr>
                <w:lang w:val="en-IN"/>
              </w:rPr>
            </w:pPr>
          </w:p>
        </w:tc>
        <w:tc>
          <w:tcPr>
            <w:tcW w:w="69" w:type="pct"/>
            <w:noWrap/>
            <w:hideMark/>
          </w:tcPr>
          <w:p w14:paraId="3CA4D817" w14:textId="77777777" w:rsidR="00B463B7" w:rsidRPr="00B463B7" w:rsidRDefault="00B463B7" w:rsidP="00C870A2">
            <w:pPr>
              <w:spacing w:line="360" w:lineRule="auto"/>
              <w:jc w:val="left"/>
              <w:cnfStyle w:val="000000000000" w:firstRow="0" w:lastRow="0" w:firstColumn="0" w:lastColumn="0" w:oddVBand="0" w:evenVBand="0" w:oddHBand="0" w:evenHBand="0" w:firstRowFirstColumn="0" w:firstRowLastColumn="0" w:lastRowFirstColumn="0" w:lastRowLastColumn="0"/>
              <w:rPr>
                <w:lang w:val="en-IN"/>
              </w:rPr>
            </w:pPr>
          </w:p>
        </w:tc>
        <w:tc>
          <w:tcPr>
            <w:tcW w:w="644" w:type="pct"/>
            <w:noWrap/>
            <w:hideMark/>
          </w:tcPr>
          <w:p w14:paraId="1B02BD61" w14:textId="77777777" w:rsidR="00B463B7" w:rsidRPr="00B463B7" w:rsidRDefault="00B463B7" w:rsidP="00C870A2">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595959"/>
                <w:lang w:val="en-IN"/>
              </w:rPr>
            </w:pPr>
            <w:r w:rsidRPr="00B463B7">
              <w:rPr>
                <w:rFonts w:ascii="Calibri" w:hAnsi="Calibri" w:cs="Calibri"/>
                <w:b/>
                <w:bCs/>
                <w:color w:val="595959"/>
                <w:lang w:val="en-IN"/>
              </w:rPr>
              <w:t>X3</w:t>
            </w:r>
          </w:p>
        </w:tc>
        <w:tc>
          <w:tcPr>
            <w:tcW w:w="1698" w:type="pct"/>
            <w:noWrap/>
            <w:hideMark/>
          </w:tcPr>
          <w:p w14:paraId="5327EF9B" w14:textId="77777777" w:rsidR="00B463B7" w:rsidRPr="00B463B7" w:rsidRDefault="00B463B7" w:rsidP="00C870A2">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1F4E78"/>
                <w:lang w:val="en-IN"/>
              </w:rPr>
            </w:pPr>
            <w:r w:rsidRPr="00B463B7">
              <w:rPr>
                <w:rFonts w:ascii="Calibri" w:hAnsi="Calibri" w:cs="Calibri"/>
                <w:b/>
                <w:bCs/>
                <w:color w:val="1F4E78"/>
                <w:lang w:val="en-IN"/>
              </w:rPr>
              <w:t>-0.06</w:t>
            </w:r>
          </w:p>
        </w:tc>
      </w:tr>
      <w:tr w:rsidR="00B463B7" w:rsidRPr="00B463B7" w14:paraId="797A21D3" w14:textId="77777777" w:rsidTr="00B463B7">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85" w:type="pct"/>
            <w:noWrap/>
            <w:hideMark/>
          </w:tcPr>
          <w:p w14:paraId="67979E1F" w14:textId="77777777" w:rsidR="00B463B7" w:rsidRPr="00B463B7" w:rsidRDefault="00B463B7" w:rsidP="00C870A2">
            <w:pPr>
              <w:spacing w:line="360" w:lineRule="auto"/>
              <w:jc w:val="left"/>
              <w:rPr>
                <w:rFonts w:ascii="Calibri" w:hAnsi="Calibri" w:cs="Calibri"/>
                <w:color w:val="595959"/>
                <w:lang w:val="en-IN"/>
              </w:rPr>
            </w:pPr>
            <w:r w:rsidRPr="00B463B7">
              <w:rPr>
                <w:rFonts w:ascii="Calibri" w:hAnsi="Calibri" w:cs="Calibri"/>
                <w:color w:val="595959"/>
                <w:lang w:val="en-IN"/>
              </w:rPr>
              <w:t> </w:t>
            </w:r>
          </w:p>
        </w:tc>
        <w:tc>
          <w:tcPr>
            <w:tcW w:w="829" w:type="pct"/>
            <w:noWrap/>
            <w:hideMark/>
          </w:tcPr>
          <w:p w14:paraId="3E9A0AF1" w14:textId="77777777" w:rsidR="00B463B7" w:rsidRPr="00B463B7" w:rsidRDefault="00B463B7" w:rsidP="00C870A2">
            <w:pPr>
              <w:spacing w:line="36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color w:val="595959"/>
                <w:lang w:val="en-IN"/>
              </w:rPr>
            </w:pPr>
            <w:r w:rsidRPr="00B463B7">
              <w:rPr>
                <w:rFonts w:ascii="Calibri" w:hAnsi="Calibri" w:cs="Calibri"/>
                <w:b/>
                <w:bCs/>
                <w:color w:val="595959"/>
                <w:lang w:val="en-IN"/>
              </w:rPr>
              <w:t>Company Type</w:t>
            </w:r>
          </w:p>
        </w:tc>
        <w:tc>
          <w:tcPr>
            <w:tcW w:w="1675" w:type="pct"/>
            <w:noWrap/>
            <w:hideMark/>
          </w:tcPr>
          <w:p w14:paraId="36A286CF" w14:textId="77777777" w:rsidR="00B463B7" w:rsidRPr="00B463B7" w:rsidRDefault="00B463B7" w:rsidP="00C870A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lang w:val="en-IN"/>
              </w:rPr>
            </w:pPr>
            <w:r w:rsidRPr="00B463B7">
              <w:rPr>
                <w:rFonts w:ascii="Calibri" w:hAnsi="Calibri" w:cs="Calibri"/>
                <w:b/>
                <w:bCs/>
                <w:color w:val="000000"/>
                <w:lang w:val="en-IN"/>
              </w:rPr>
              <w:t>Public company (Original Z-score)</w:t>
            </w:r>
          </w:p>
        </w:tc>
        <w:tc>
          <w:tcPr>
            <w:tcW w:w="69" w:type="pct"/>
            <w:noWrap/>
            <w:hideMark/>
          </w:tcPr>
          <w:p w14:paraId="141A8313" w14:textId="77777777" w:rsidR="00B463B7" w:rsidRPr="00B463B7" w:rsidRDefault="00B463B7" w:rsidP="00C870A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lang w:val="en-IN"/>
              </w:rPr>
            </w:pPr>
          </w:p>
        </w:tc>
        <w:tc>
          <w:tcPr>
            <w:tcW w:w="644" w:type="pct"/>
            <w:noWrap/>
            <w:hideMark/>
          </w:tcPr>
          <w:p w14:paraId="58233B81" w14:textId="77777777" w:rsidR="00B463B7" w:rsidRPr="00B463B7" w:rsidRDefault="00B463B7" w:rsidP="00C870A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color w:val="595959"/>
                <w:lang w:val="en-IN"/>
              </w:rPr>
            </w:pPr>
            <w:r w:rsidRPr="00B463B7">
              <w:rPr>
                <w:rFonts w:ascii="Calibri" w:hAnsi="Calibri" w:cs="Calibri"/>
                <w:b/>
                <w:bCs/>
                <w:color w:val="595959"/>
                <w:lang w:val="en-IN"/>
              </w:rPr>
              <w:t>X4</w:t>
            </w:r>
          </w:p>
        </w:tc>
        <w:tc>
          <w:tcPr>
            <w:tcW w:w="1698" w:type="pct"/>
            <w:noWrap/>
            <w:hideMark/>
          </w:tcPr>
          <w:p w14:paraId="5AAEA844" w14:textId="77777777" w:rsidR="00B463B7" w:rsidRPr="00B463B7" w:rsidRDefault="00B463B7" w:rsidP="00C870A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color w:val="1F4E78"/>
                <w:lang w:val="en-IN"/>
              </w:rPr>
            </w:pPr>
            <w:r w:rsidRPr="00B463B7">
              <w:rPr>
                <w:rFonts w:ascii="Calibri" w:hAnsi="Calibri" w:cs="Calibri"/>
                <w:b/>
                <w:bCs/>
                <w:color w:val="1F4E78"/>
                <w:lang w:val="en-IN"/>
              </w:rPr>
              <w:t>0.38</w:t>
            </w:r>
          </w:p>
        </w:tc>
      </w:tr>
      <w:tr w:rsidR="00B463B7" w:rsidRPr="00B463B7" w14:paraId="68302615" w14:textId="77777777" w:rsidTr="00B463B7">
        <w:trPr>
          <w:trHeight w:val="480"/>
        </w:trPr>
        <w:tc>
          <w:tcPr>
            <w:cnfStyle w:val="001000000000" w:firstRow="0" w:lastRow="0" w:firstColumn="1" w:lastColumn="0" w:oddVBand="0" w:evenVBand="0" w:oddHBand="0" w:evenHBand="0" w:firstRowFirstColumn="0" w:firstRowLastColumn="0" w:lastRowFirstColumn="0" w:lastRowLastColumn="0"/>
            <w:tcW w:w="85" w:type="pct"/>
            <w:noWrap/>
            <w:hideMark/>
          </w:tcPr>
          <w:p w14:paraId="5D7095C9" w14:textId="77777777" w:rsidR="00B463B7" w:rsidRPr="00B463B7" w:rsidRDefault="00B463B7" w:rsidP="00C870A2">
            <w:pPr>
              <w:spacing w:line="360" w:lineRule="auto"/>
              <w:jc w:val="left"/>
              <w:rPr>
                <w:rFonts w:ascii="Calibri" w:hAnsi="Calibri" w:cs="Calibri"/>
                <w:color w:val="595959"/>
                <w:lang w:val="en-IN"/>
              </w:rPr>
            </w:pPr>
            <w:r w:rsidRPr="00B463B7">
              <w:rPr>
                <w:rFonts w:ascii="Calibri" w:hAnsi="Calibri" w:cs="Calibri"/>
                <w:color w:val="595959"/>
                <w:lang w:val="en-IN"/>
              </w:rPr>
              <w:t> </w:t>
            </w:r>
          </w:p>
        </w:tc>
        <w:tc>
          <w:tcPr>
            <w:tcW w:w="829" w:type="pct"/>
            <w:noWrap/>
            <w:hideMark/>
          </w:tcPr>
          <w:p w14:paraId="432F1CDB" w14:textId="77777777" w:rsidR="00B463B7" w:rsidRPr="00B463B7" w:rsidRDefault="00B463B7" w:rsidP="00C870A2">
            <w:pPr>
              <w:spacing w:line="360"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color w:val="595959"/>
                <w:lang w:val="en-IN"/>
              </w:rPr>
            </w:pPr>
          </w:p>
        </w:tc>
        <w:tc>
          <w:tcPr>
            <w:tcW w:w="1675" w:type="pct"/>
            <w:noWrap/>
            <w:hideMark/>
          </w:tcPr>
          <w:p w14:paraId="0172D96D" w14:textId="77777777" w:rsidR="00B463B7" w:rsidRPr="00B463B7" w:rsidRDefault="00B463B7" w:rsidP="00C870A2">
            <w:pPr>
              <w:spacing w:line="360" w:lineRule="auto"/>
              <w:jc w:val="left"/>
              <w:cnfStyle w:val="000000000000" w:firstRow="0" w:lastRow="0" w:firstColumn="0" w:lastColumn="0" w:oddVBand="0" w:evenVBand="0" w:oddHBand="0" w:evenHBand="0" w:firstRowFirstColumn="0" w:firstRowLastColumn="0" w:lastRowFirstColumn="0" w:lastRowLastColumn="0"/>
              <w:rPr>
                <w:lang w:val="en-IN"/>
              </w:rPr>
            </w:pPr>
          </w:p>
        </w:tc>
        <w:tc>
          <w:tcPr>
            <w:tcW w:w="69" w:type="pct"/>
            <w:noWrap/>
            <w:hideMark/>
          </w:tcPr>
          <w:p w14:paraId="2E0BD23C" w14:textId="77777777" w:rsidR="00B463B7" w:rsidRPr="00B463B7" w:rsidRDefault="00B463B7" w:rsidP="00C870A2">
            <w:pPr>
              <w:spacing w:line="360" w:lineRule="auto"/>
              <w:jc w:val="left"/>
              <w:cnfStyle w:val="000000000000" w:firstRow="0" w:lastRow="0" w:firstColumn="0" w:lastColumn="0" w:oddVBand="0" w:evenVBand="0" w:oddHBand="0" w:evenHBand="0" w:firstRowFirstColumn="0" w:firstRowLastColumn="0" w:lastRowFirstColumn="0" w:lastRowLastColumn="0"/>
              <w:rPr>
                <w:lang w:val="en-IN"/>
              </w:rPr>
            </w:pPr>
          </w:p>
        </w:tc>
        <w:tc>
          <w:tcPr>
            <w:tcW w:w="644" w:type="pct"/>
            <w:noWrap/>
            <w:hideMark/>
          </w:tcPr>
          <w:p w14:paraId="168D2503" w14:textId="77777777" w:rsidR="00B463B7" w:rsidRPr="00B463B7" w:rsidRDefault="00B463B7" w:rsidP="00C870A2">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595959"/>
                <w:lang w:val="en-IN"/>
              </w:rPr>
            </w:pPr>
            <w:r w:rsidRPr="00B463B7">
              <w:rPr>
                <w:rFonts w:ascii="Calibri" w:hAnsi="Calibri" w:cs="Calibri"/>
                <w:b/>
                <w:bCs/>
                <w:color w:val="595959"/>
                <w:lang w:val="en-IN"/>
              </w:rPr>
              <w:t>X5</w:t>
            </w:r>
          </w:p>
        </w:tc>
        <w:tc>
          <w:tcPr>
            <w:tcW w:w="1698" w:type="pct"/>
            <w:noWrap/>
            <w:hideMark/>
          </w:tcPr>
          <w:p w14:paraId="3FD1A192" w14:textId="77777777" w:rsidR="00B463B7" w:rsidRPr="00B463B7" w:rsidRDefault="00B463B7" w:rsidP="00C870A2">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1F4E78"/>
                <w:lang w:val="en-IN"/>
              </w:rPr>
            </w:pPr>
            <w:r w:rsidRPr="00B463B7">
              <w:rPr>
                <w:rFonts w:ascii="Calibri" w:hAnsi="Calibri" w:cs="Calibri"/>
                <w:b/>
                <w:bCs/>
                <w:color w:val="1F4E78"/>
                <w:lang w:val="en-IN"/>
              </w:rPr>
              <w:t>1.22</w:t>
            </w:r>
          </w:p>
        </w:tc>
      </w:tr>
      <w:tr w:rsidR="00B463B7" w:rsidRPr="00B463B7" w14:paraId="200DE48D" w14:textId="77777777" w:rsidTr="00B463B7">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85" w:type="pct"/>
            <w:noWrap/>
            <w:hideMark/>
          </w:tcPr>
          <w:p w14:paraId="1A31D317" w14:textId="77777777" w:rsidR="00B463B7" w:rsidRPr="00B463B7" w:rsidRDefault="00B463B7" w:rsidP="00C870A2">
            <w:pPr>
              <w:spacing w:line="360" w:lineRule="auto"/>
              <w:jc w:val="right"/>
              <w:rPr>
                <w:rFonts w:ascii="Calibri" w:hAnsi="Calibri" w:cs="Calibri"/>
                <w:i/>
                <w:iCs/>
                <w:color w:val="595959"/>
                <w:lang w:val="en-IN"/>
              </w:rPr>
            </w:pPr>
            <w:r w:rsidRPr="00B463B7">
              <w:rPr>
                <w:rFonts w:ascii="Calibri" w:hAnsi="Calibri" w:cs="Calibri"/>
                <w:i/>
                <w:iCs/>
                <w:color w:val="595959"/>
                <w:lang w:val="en-IN"/>
              </w:rPr>
              <w:t>1</w:t>
            </w:r>
          </w:p>
        </w:tc>
        <w:tc>
          <w:tcPr>
            <w:tcW w:w="829" w:type="pct"/>
            <w:noWrap/>
            <w:hideMark/>
          </w:tcPr>
          <w:p w14:paraId="047BDC92" w14:textId="77777777" w:rsidR="00B463B7" w:rsidRPr="00B463B7" w:rsidRDefault="00B463B7" w:rsidP="00C870A2">
            <w:pPr>
              <w:spacing w:line="36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color w:val="595959"/>
                <w:lang w:val="en-IN"/>
              </w:rPr>
            </w:pPr>
            <w:r w:rsidRPr="00B463B7">
              <w:rPr>
                <w:rFonts w:ascii="Calibri" w:hAnsi="Calibri" w:cs="Calibri"/>
                <w:color w:val="595959"/>
                <w:lang w:val="en-IN"/>
              </w:rPr>
              <w:t>Total Assets</w:t>
            </w:r>
          </w:p>
        </w:tc>
        <w:tc>
          <w:tcPr>
            <w:tcW w:w="1675" w:type="pct"/>
            <w:noWrap/>
            <w:hideMark/>
          </w:tcPr>
          <w:p w14:paraId="1EC97DE5" w14:textId="77777777" w:rsidR="00B463B7" w:rsidRPr="00B463B7" w:rsidRDefault="00B463B7" w:rsidP="00C870A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n-IN"/>
              </w:rPr>
            </w:pPr>
            <w:r w:rsidRPr="00B463B7">
              <w:rPr>
                <w:rFonts w:ascii="Calibri" w:hAnsi="Calibri" w:cs="Calibri"/>
                <w:color w:val="000000"/>
                <w:lang w:val="en-IN"/>
              </w:rPr>
              <w:t xml:space="preserve">                                             3,23,354     </w:t>
            </w:r>
          </w:p>
        </w:tc>
        <w:tc>
          <w:tcPr>
            <w:tcW w:w="69" w:type="pct"/>
            <w:noWrap/>
            <w:hideMark/>
          </w:tcPr>
          <w:p w14:paraId="32EF7E27" w14:textId="77777777" w:rsidR="00B463B7" w:rsidRPr="00B463B7" w:rsidRDefault="00B463B7" w:rsidP="00C870A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n-IN"/>
              </w:rPr>
            </w:pPr>
          </w:p>
        </w:tc>
        <w:tc>
          <w:tcPr>
            <w:tcW w:w="644" w:type="pct"/>
            <w:noWrap/>
            <w:hideMark/>
          </w:tcPr>
          <w:p w14:paraId="28C76E58" w14:textId="77777777" w:rsidR="00B463B7" w:rsidRPr="00B463B7" w:rsidRDefault="00B463B7" w:rsidP="00C870A2">
            <w:pPr>
              <w:spacing w:line="360" w:lineRule="auto"/>
              <w:jc w:val="left"/>
              <w:cnfStyle w:val="000000100000" w:firstRow="0" w:lastRow="0" w:firstColumn="0" w:lastColumn="0" w:oddVBand="0" w:evenVBand="0" w:oddHBand="1" w:evenHBand="0" w:firstRowFirstColumn="0" w:firstRowLastColumn="0" w:lastRowFirstColumn="0" w:lastRowLastColumn="0"/>
              <w:rPr>
                <w:lang w:val="en-IN"/>
              </w:rPr>
            </w:pPr>
          </w:p>
        </w:tc>
        <w:tc>
          <w:tcPr>
            <w:tcW w:w="1698" w:type="pct"/>
            <w:noWrap/>
            <w:hideMark/>
          </w:tcPr>
          <w:p w14:paraId="05E0E716" w14:textId="77777777" w:rsidR="00B463B7" w:rsidRPr="00B463B7" w:rsidRDefault="00B463B7" w:rsidP="00C870A2">
            <w:pPr>
              <w:spacing w:line="36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n-IN"/>
              </w:rPr>
            </w:pPr>
            <w:r w:rsidRPr="00B463B7">
              <w:rPr>
                <w:rFonts w:ascii="Calibri" w:hAnsi="Calibri" w:cs="Calibri"/>
                <w:color w:val="000000"/>
                <w:lang w:val="en-IN"/>
              </w:rPr>
              <w:t> </w:t>
            </w:r>
          </w:p>
        </w:tc>
      </w:tr>
      <w:tr w:rsidR="00B463B7" w:rsidRPr="00B463B7" w14:paraId="10991454" w14:textId="77777777" w:rsidTr="00B463B7">
        <w:trPr>
          <w:trHeight w:val="732"/>
        </w:trPr>
        <w:tc>
          <w:tcPr>
            <w:cnfStyle w:val="001000000000" w:firstRow="0" w:lastRow="0" w:firstColumn="1" w:lastColumn="0" w:oddVBand="0" w:evenVBand="0" w:oddHBand="0" w:evenHBand="0" w:firstRowFirstColumn="0" w:firstRowLastColumn="0" w:lastRowFirstColumn="0" w:lastRowLastColumn="0"/>
            <w:tcW w:w="85" w:type="pct"/>
            <w:noWrap/>
            <w:hideMark/>
          </w:tcPr>
          <w:p w14:paraId="5005B97B" w14:textId="77777777" w:rsidR="00B463B7" w:rsidRPr="00B463B7" w:rsidRDefault="00B463B7" w:rsidP="00C870A2">
            <w:pPr>
              <w:spacing w:line="360" w:lineRule="auto"/>
              <w:jc w:val="right"/>
              <w:rPr>
                <w:rFonts w:ascii="Calibri" w:hAnsi="Calibri" w:cs="Calibri"/>
                <w:i/>
                <w:iCs/>
                <w:color w:val="595959"/>
                <w:lang w:val="en-IN"/>
              </w:rPr>
            </w:pPr>
            <w:r w:rsidRPr="00B463B7">
              <w:rPr>
                <w:rFonts w:ascii="Calibri" w:hAnsi="Calibri" w:cs="Calibri"/>
                <w:i/>
                <w:iCs/>
                <w:color w:val="595959"/>
                <w:lang w:val="en-IN"/>
              </w:rPr>
              <w:t>2</w:t>
            </w:r>
          </w:p>
        </w:tc>
        <w:tc>
          <w:tcPr>
            <w:tcW w:w="829" w:type="pct"/>
            <w:noWrap/>
            <w:hideMark/>
          </w:tcPr>
          <w:p w14:paraId="06A98FBC" w14:textId="77777777" w:rsidR="00B463B7" w:rsidRPr="00B463B7" w:rsidRDefault="00B463B7" w:rsidP="00C870A2">
            <w:pPr>
              <w:spacing w:line="360"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color w:val="595959"/>
                <w:lang w:val="en-IN"/>
              </w:rPr>
            </w:pPr>
            <w:r w:rsidRPr="00B463B7">
              <w:rPr>
                <w:rFonts w:ascii="Calibri" w:hAnsi="Calibri" w:cs="Calibri"/>
                <w:color w:val="595959"/>
                <w:lang w:val="en-IN"/>
              </w:rPr>
              <w:t>Total Liabilities</w:t>
            </w:r>
          </w:p>
        </w:tc>
        <w:tc>
          <w:tcPr>
            <w:tcW w:w="1675" w:type="pct"/>
            <w:noWrap/>
            <w:hideMark/>
          </w:tcPr>
          <w:p w14:paraId="31FBCFED" w14:textId="77777777" w:rsidR="00B463B7" w:rsidRPr="00B463B7" w:rsidRDefault="00B463B7" w:rsidP="00C870A2">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n-IN"/>
              </w:rPr>
            </w:pPr>
            <w:r w:rsidRPr="00B463B7">
              <w:rPr>
                <w:rFonts w:ascii="Calibri" w:hAnsi="Calibri" w:cs="Calibri"/>
                <w:color w:val="000000"/>
                <w:lang w:val="en-IN"/>
              </w:rPr>
              <w:t xml:space="preserve">                                             1,70,249     </w:t>
            </w:r>
          </w:p>
        </w:tc>
        <w:tc>
          <w:tcPr>
            <w:tcW w:w="69" w:type="pct"/>
            <w:noWrap/>
            <w:hideMark/>
          </w:tcPr>
          <w:p w14:paraId="24648C85" w14:textId="77777777" w:rsidR="00B463B7" w:rsidRPr="00B463B7" w:rsidRDefault="00B463B7" w:rsidP="00C870A2">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n-IN"/>
              </w:rPr>
            </w:pPr>
          </w:p>
        </w:tc>
        <w:tc>
          <w:tcPr>
            <w:tcW w:w="644" w:type="pct"/>
            <w:noWrap/>
            <w:hideMark/>
          </w:tcPr>
          <w:p w14:paraId="406F807D" w14:textId="77777777" w:rsidR="00B463B7" w:rsidRPr="00B463B7" w:rsidRDefault="00B463B7" w:rsidP="00C870A2">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595959"/>
                <w:lang w:val="en-IN"/>
              </w:rPr>
            </w:pPr>
            <w:r w:rsidRPr="00B463B7">
              <w:rPr>
                <w:rFonts w:ascii="Calibri" w:hAnsi="Calibri" w:cs="Calibri"/>
                <w:b/>
                <w:bCs/>
                <w:color w:val="595959"/>
                <w:lang w:val="en-IN"/>
              </w:rPr>
              <w:t>Z-Score</w:t>
            </w:r>
          </w:p>
        </w:tc>
        <w:tc>
          <w:tcPr>
            <w:tcW w:w="1698" w:type="pct"/>
            <w:noWrap/>
            <w:hideMark/>
          </w:tcPr>
          <w:p w14:paraId="10A121C4" w14:textId="77777777" w:rsidR="00B463B7" w:rsidRPr="00B463B7" w:rsidRDefault="00B463B7" w:rsidP="00C870A2">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1F4E78"/>
                <w:lang w:val="en-IN"/>
              </w:rPr>
            </w:pPr>
            <w:r w:rsidRPr="00B463B7">
              <w:rPr>
                <w:rFonts w:ascii="Calibri" w:hAnsi="Calibri" w:cs="Calibri"/>
                <w:b/>
                <w:bCs/>
                <w:color w:val="1F4E78"/>
                <w:lang w:val="en-IN"/>
              </w:rPr>
              <w:t>2.98</w:t>
            </w:r>
          </w:p>
        </w:tc>
      </w:tr>
      <w:tr w:rsidR="00B463B7" w:rsidRPr="00B463B7" w14:paraId="552109E9" w14:textId="77777777" w:rsidTr="00B463B7">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85" w:type="pct"/>
            <w:noWrap/>
            <w:hideMark/>
          </w:tcPr>
          <w:p w14:paraId="5BAD8FDD" w14:textId="77777777" w:rsidR="00B463B7" w:rsidRPr="00B463B7" w:rsidRDefault="00B463B7" w:rsidP="00C870A2">
            <w:pPr>
              <w:spacing w:line="360" w:lineRule="auto"/>
              <w:jc w:val="right"/>
              <w:rPr>
                <w:rFonts w:ascii="Calibri" w:hAnsi="Calibri" w:cs="Calibri"/>
                <w:i/>
                <w:iCs/>
                <w:color w:val="595959"/>
                <w:lang w:val="en-IN"/>
              </w:rPr>
            </w:pPr>
            <w:r w:rsidRPr="00B463B7">
              <w:rPr>
                <w:rFonts w:ascii="Calibri" w:hAnsi="Calibri" w:cs="Calibri"/>
                <w:i/>
                <w:iCs/>
                <w:color w:val="595959"/>
                <w:lang w:val="en-IN"/>
              </w:rPr>
              <w:t>3</w:t>
            </w:r>
          </w:p>
        </w:tc>
        <w:tc>
          <w:tcPr>
            <w:tcW w:w="829" w:type="pct"/>
            <w:noWrap/>
            <w:hideMark/>
          </w:tcPr>
          <w:p w14:paraId="2C74F7B7" w14:textId="77777777" w:rsidR="00B463B7" w:rsidRPr="00B463B7" w:rsidRDefault="00B463B7" w:rsidP="00C870A2">
            <w:pPr>
              <w:spacing w:line="36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color w:val="595959"/>
                <w:lang w:val="en-IN"/>
              </w:rPr>
            </w:pPr>
            <w:r w:rsidRPr="00B463B7">
              <w:rPr>
                <w:rFonts w:ascii="Calibri" w:hAnsi="Calibri" w:cs="Calibri"/>
                <w:color w:val="595959"/>
                <w:lang w:val="en-IN"/>
              </w:rPr>
              <w:t>Current Assets</w:t>
            </w:r>
          </w:p>
        </w:tc>
        <w:tc>
          <w:tcPr>
            <w:tcW w:w="1675" w:type="pct"/>
            <w:noWrap/>
            <w:hideMark/>
          </w:tcPr>
          <w:p w14:paraId="1E4FE693" w14:textId="77777777" w:rsidR="00B463B7" w:rsidRPr="00B463B7" w:rsidRDefault="00B463B7" w:rsidP="00C870A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n-IN"/>
              </w:rPr>
            </w:pPr>
            <w:r w:rsidRPr="00B463B7">
              <w:rPr>
                <w:rFonts w:ascii="Calibri" w:hAnsi="Calibri" w:cs="Calibri"/>
                <w:color w:val="000000"/>
                <w:lang w:val="en-IN"/>
              </w:rPr>
              <w:t xml:space="preserve">                                             2,42,494     </w:t>
            </w:r>
          </w:p>
        </w:tc>
        <w:tc>
          <w:tcPr>
            <w:tcW w:w="69" w:type="pct"/>
            <w:noWrap/>
            <w:hideMark/>
          </w:tcPr>
          <w:p w14:paraId="7A4D46A1" w14:textId="77777777" w:rsidR="00B463B7" w:rsidRPr="00B463B7" w:rsidRDefault="00B463B7" w:rsidP="00C870A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n-IN"/>
              </w:rPr>
            </w:pPr>
          </w:p>
        </w:tc>
        <w:tc>
          <w:tcPr>
            <w:tcW w:w="644" w:type="pct"/>
            <w:noWrap/>
            <w:hideMark/>
          </w:tcPr>
          <w:p w14:paraId="019B754B" w14:textId="77777777" w:rsidR="00B463B7" w:rsidRPr="00B463B7" w:rsidRDefault="00B463B7" w:rsidP="00C870A2">
            <w:pPr>
              <w:spacing w:line="360" w:lineRule="auto"/>
              <w:jc w:val="left"/>
              <w:cnfStyle w:val="000000100000" w:firstRow="0" w:lastRow="0" w:firstColumn="0" w:lastColumn="0" w:oddVBand="0" w:evenVBand="0" w:oddHBand="1" w:evenHBand="0" w:firstRowFirstColumn="0" w:firstRowLastColumn="0" w:lastRowFirstColumn="0" w:lastRowLastColumn="0"/>
              <w:rPr>
                <w:lang w:val="en-IN"/>
              </w:rPr>
            </w:pPr>
          </w:p>
        </w:tc>
        <w:tc>
          <w:tcPr>
            <w:tcW w:w="1698" w:type="pct"/>
            <w:noWrap/>
            <w:hideMark/>
          </w:tcPr>
          <w:p w14:paraId="43EF79D0" w14:textId="77777777" w:rsidR="00B463B7" w:rsidRPr="00B463B7" w:rsidRDefault="00B463B7" w:rsidP="00C870A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i/>
                <w:iCs/>
                <w:color w:val="808080"/>
                <w:lang w:val="en-IN"/>
              </w:rPr>
            </w:pPr>
            <w:r w:rsidRPr="00B463B7">
              <w:rPr>
                <w:rFonts w:ascii="Calibri" w:hAnsi="Calibri" w:cs="Calibri"/>
                <w:b/>
                <w:bCs/>
                <w:i/>
                <w:iCs/>
                <w:color w:val="808080"/>
                <w:lang w:val="en-IN"/>
              </w:rPr>
              <w:t>Z = 1.2 * X1 + 1.4 * X2 + 3.3 * X3 + 0.6 * X4 + 1 * X5</w:t>
            </w:r>
          </w:p>
        </w:tc>
      </w:tr>
      <w:tr w:rsidR="00B463B7" w:rsidRPr="00B463B7" w14:paraId="7D1F02EF" w14:textId="77777777" w:rsidTr="00B463B7">
        <w:trPr>
          <w:trHeight w:val="480"/>
        </w:trPr>
        <w:tc>
          <w:tcPr>
            <w:cnfStyle w:val="001000000000" w:firstRow="0" w:lastRow="0" w:firstColumn="1" w:lastColumn="0" w:oddVBand="0" w:evenVBand="0" w:oddHBand="0" w:evenHBand="0" w:firstRowFirstColumn="0" w:firstRowLastColumn="0" w:lastRowFirstColumn="0" w:lastRowLastColumn="0"/>
            <w:tcW w:w="85" w:type="pct"/>
            <w:noWrap/>
            <w:hideMark/>
          </w:tcPr>
          <w:p w14:paraId="6F8623C8" w14:textId="77777777" w:rsidR="00B463B7" w:rsidRPr="00B463B7" w:rsidRDefault="00B463B7" w:rsidP="00C870A2">
            <w:pPr>
              <w:spacing w:line="360" w:lineRule="auto"/>
              <w:jc w:val="right"/>
              <w:rPr>
                <w:rFonts w:ascii="Calibri" w:hAnsi="Calibri" w:cs="Calibri"/>
                <w:i/>
                <w:iCs/>
                <w:color w:val="595959"/>
                <w:lang w:val="en-IN"/>
              </w:rPr>
            </w:pPr>
            <w:r w:rsidRPr="00B463B7">
              <w:rPr>
                <w:rFonts w:ascii="Calibri" w:hAnsi="Calibri" w:cs="Calibri"/>
                <w:i/>
                <w:iCs/>
                <w:color w:val="595959"/>
                <w:lang w:val="en-IN"/>
              </w:rPr>
              <w:t>4</w:t>
            </w:r>
          </w:p>
        </w:tc>
        <w:tc>
          <w:tcPr>
            <w:tcW w:w="829" w:type="pct"/>
            <w:noWrap/>
            <w:hideMark/>
          </w:tcPr>
          <w:p w14:paraId="08179E54" w14:textId="77777777" w:rsidR="00B463B7" w:rsidRPr="00B463B7" w:rsidRDefault="00B463B7" w:rsidP="00C870A2">
            <w:pPr>
              <w:spacing w:line="360"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color w:val="595959"/>
                <w:lang w:val="en-IN"/>
              </w:rPr>
            </w:pPr>
            <w:r w:rsidRPr="00B463B7">
              <w:rPr>
                <w:rFonts w:ascii="Calibri" w:hAnsi="Calibri" w:cs="Calibri"/>
                <w:color w:val="595959"/>
                <w:lang w:val="en-IN"/>
              </w:rPr>
              <w:t>Current Liabilities</w:t>
            </w:r>
          </w:p>
        </w:tc>
        <w:tc>
          <w:tcPr>
            <w:tcW w:w="1675" w:type="pct"/>
            <w:noWrap/>
            <w:hideMark/>
          </w:tcPr>
          <w:p w14:paraId="0D21BAEF" w14:textId="77777777" w:rsidR="00B463B7" w:rsidRPr="00B463B7" w:rsidRDefault="00B463B7" w:rsidP="00C870A2">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n-IN"/>
              </w:rPr>
            </w:pPr>
            <w:r w:rsidRPr="00B463B7">
              <w:rPr>
                <w:rFonts w:ascii="Calibri" w:hAnsi="Calibri" w:cs="Calibri"/>
                <w:color w:val="000000"/>
                <w:lang w:val="en-IN"/>
              </w:rPr>
              <w:t xml:space="preserve">                                             1,58,291     </w:t>
            </w:r>
          </w:p>
        </w:tc>
        <w:tc>
          <w:tcPr>
            <w:tcW w:w="69" w:type="pct"/>
            <w:noWrap/>
            <w:hideMark/>
          </w:tcPr>
          <w:p w14:paraId="620D2210" w14:textId="77777777" w:rsidR="00B463B7" w:rsidRPr="00B463B7" w:rsidRDefault="00B463B7" w:rsidP="00C870A2">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n-IN"/>
              </w:rPr>
            </w:pPr>
          </w:p>
        </w:tc>
        <w:tc>
          <w:tcPr>
            <w:tcW w:w="644" w:type="pct"/>
            <w:noWrap/>
            <w:hideMark/>
          </w:tcPr>
          <w:p w14:paraId="2CE0A558" w14:textId="77777777" w:rsidR="00B463B7" w:rsidRPr="00B463B7" w:rsidRDefault="00B463B7" w:rsidP="00C870A2">
            <w:pPr>
              <w:spacing w:line="360" w:lineRule="auto"/>
              <w:jc w:val="left"/>
              <w:cnfStyle w:val="000000000000" w:firstRow="0" w:lastRow="0" w:firstColumn="0" w:lastColumn="0" w:oddVBand="0" w:evenVBand="0" w:oddHBand="0" w:evenHBand="0" w:firstRowFirstColumn="0" w:firstRowLastColumn="0" w:lastRowFirstColumn="0" w:lastRowLastColumn="0"/>
              <w:rPr>
                <w:lang w:val="en-IN"/>
              </w:rPr>
            </w:pPr>
          </w:p>
        </w:tc>
        <w:tc>
          <w:tcPr>
            <w:tcW w:w="1698" w:type="pct"/>
            <w:noWrap/>
            <w:hideMark/>
          </w:tcPr>
          <w:p w14:paraId="4133D92A" w14:textId="77777777" w:rsidR="00B463B7" w:rsidRPr="00B463B7" w:rsidRDefault="00B463B7" w:rsidP="00C870A2">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i/>
                <w:iCs/>
                <w:color w:val="808080"/>
                <w:lang w:val="en-IN"/>
              </w:rPr>
            </w:pPr>
            <w:r w:rsidRPr="00B463B7">
              <w:rPr>
                <w:rFonts w:ascii="Calibri" w:hAnsi="Calibri" w:cs="Calibri"/>
                <w:b/>
                <w:bCs/>
                <w:i/>
                <w:iCs/>
                <w:color w:val="808080"/>
                <w:lang w:val="en-IN"/>
              </w:rPr>
              <w:t> </w:t>
            </w:r>
          </w:p>
        </w:tc>
      </w:tr>
      <w:tr w:rsidR="00B463B7" w:rsidRPr="00B463B7" w14:paraId="53621D62" w14:textId="77777777" w:rsidTr="00B463B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85" w:type="pct"/>
            <w:noWrap/>
            <w:hideMark/>
          </w:tcPr>
          <w:p w14:paraId="29C0937F" w14:textId="77777777" w:rsidR="00B463B7" w:rsidRPr="00B463B7" w:rsidRDefault="00B463B7" w:rsidP="00C870A2">
            <w:pPr>
              <w:spacing w:line="360" w:lineRule="auto"/>
              <w:jc w:val="right"/>
              <w:rPr>
                <w:rFonts w:ascii="Calibri" w:hAnsi="Calibri" w:cs="Calibri"/>
                <w:i/>
                <w:iCs/>
                <w:color w:val="595959"/>
                <w:lang w:val="en-IN"/>
              </w:rPr>
            </w:pPr>
            <w:r w:rsidRPr="00B463B7">
              <w:rPr>
                <w:rFonts w:ascii="Calibri" w:hAnsi="Calibri" w:cs="Calibri"/>
                <w:i/>
                <w:iCs/>
                <w:color w:val="595959"/>
                <w:lang w:val="en-IN"/>
              </w:rPr>
              <w:t>5</w:t>
            </w:r>
          </w:p>
        </w:tc>
        <w:tc>
          <w:tcPr>
            <w:tcW w:w="829" w:type="pct"/>
            <w:noWrap/>
            <w:hideMark/>
          </w:tcPr>
          <w:p w14:paraId="5BE72E99" w14:textId="77777777" w:rsidR="00B463B7" w:rsidRPr="00B463B7" w:rsidRDefault="00B463B7" w:rsidP="00C870A2">
            <w:pPr>
              <w:spacing w:line="36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color w:val="595959"/>
                <w:lang w:val="en-IN"/>
              </w:rPr>
            </w:pPr>
            <w:r w:rsidRPr="00B463B7">
              <w:rPr>
                <w:rFonts w:ascii="Calibri" w:hAnsi="Calibri" w:cs="Calibri"/>
                <w:color w:val="595959"/>
                <w:lang w:val="en-IN"/>
              </w:rPr>
              <w:t>EBIT</w:t>
            </w:r>
          </w:p>
        </w:tc>
        <w:tc>
          <w:tcPr>
            <w:tcW w:w="1675" w:type="pct"/>
            <w:noWrap/>
            <w:hideMark/>
          </w:tcPr>
          <w:p w14:paraId="4EF39E04" w14:textId="77777777" w:rsidR="00B463B7" w:rsidRPr="00B463B7" w:rsidRDefault="00B463B7" w:rsidP="00C870A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n-IN"/>
              </w:rPr>
            </w:pPr>
            <w:r w:rsidRPr="00B463B7">
              <w:rPr>
                <w:rFonts w:ascii="Calibri" w:hAnsi="Calibri" w:cs="Calibri"/>
                <w:color w:val="000000"/>
                <w:lang w:val="en-IN"/>
              </w:rPr>
              <w:t xml:space="preserve">-                                               18,598     </w:t>
            </w:r>
          </w:p>
        </w:tc>
        <w:tc>
          <w:tcPr>
            <w:tcW w:w="69" w:type="pct"/>
            <w:noWrap/>
            <w:hideMark/>
          </w:tcPr>
          <w:p w14:paraId="7301D1A6" w14:textId="77777777" w:rsidR="00B463B7" w:rsidRPr="00B463B7" w:rsidRDefault="00B463B7" w:rsidP="00C870A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n-IN"/>
              </w:rPr>
            </w:pPr>
          </w:p>
        </w:tc>
        <w:tc>
          <w:tcPr>
            <w:tcW w:w="644" w:type="pct"/>
            <w:noWrap/>
            <w:hideMark/>
          </w:tcPr>
          <w:p w14:paraId="27D4B11C" w14:textId="77777777" w:rsidR="00B463B7" w:rsidRPr="00B463B7" w:rsidRDefault="00B463B7" w:rsidP="00C870A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color w:val="595959"/>
                <w:lang w:val="en-IN"/>
              </w:rPr>
            </w:pPr>
            <w:r w:rsidRPr="00B463B7">
              <w:rPr>
                <w:rFonts w:ascii="Calibri" w:hAnsi="Calibri" w:cs="Calibri"/>
                <w:b/>
                <w:bCs/>
                <w:color w:val="595959"/>
                <w:lang w:val="en-IN"/>
              </w:rPr>
              <w:t>Zone</w:t>
            </w:r>
          </w:p>
        </w:tc>
        <w:tc>
          <w:tcPr>
            <w:tcW w:w="1698" w:type="pct"/>
            <w:noWrap/>
            <w:hideMark/>
          </w:tcPr>
          <w:p w14:paraId="259B56EA" w14:textId="77777777" w:rsidR="00B463B7" w:rsidRPr="00B463B7" w:rsidRDefault="00B463B7" w:rsidP="00C870A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color w:val="808080"/>
                <w:lang w:val="en-IN"/>
              </w:rPr>
            </w:pPr>
            <w:r w:rsidRPr="00B463B7">
              <w:rPr>
                <w:rFonts w:ascii="Calibri" w:hAnsi="Calibri" w:cs="Calibri"/>
                <w:b/>
                <w:bCs/>
                <w:color w:val="808080"/>
                <w:lang w:val="en-IN"/>
              </w:rPr>
              <w:t>Grey Zone</w:t>
            </w:r>
          </w:p>
        </w:tc>
      </w:tr>
      <w:tr w:rsidR="00B463B7" w:rsidRPr="00B463B7" w14:paraId="4CBA24F9" w14:textId="77777777" w:rsidTr="00B463B7">
        <w:trPr>
          <w:trHeight w:val="468"/>
        </w:trPr>
        <w:tc>
          <w:tcPr>
            <w:cnfStyle w:val="001000000000" w:firstRow="0" w:lastRow="0" w:firstColumn="1" w:lastColumn="0" w:oddVBand="0" w:evenVBand="0" w:oddHBand="0" w:evenHBand="0" w:firstRowFirstColumn="0" w:firstRowLastColumn="0" w:lastRowFirstColumn="0" w:lastRowLastColumn="0"/>
            <w:tcW w:w="85" w:type="pct"/>
            <w:noWrap/>
            <w:hideMark/>
          </w:tcPr>
          <w:p w14:paraId="760E124A" w14:textId="77777777" w:rsidR="00B463B7" w:rsidRPr="00B463B7" w:rsidRDefault="00B463B7" w:rsidP="00C870A2">
            <w:pPr>
              <w:spacing w:line="360" w:lineRule="auto"/>
              <w:jc w:val="right"/>
              <w:rPr>
                <w:rFonts w:ascii="Calibri" w:hAnsi="Calibri" w:cs="Calibri"/>
                <w:i/>
                <w:iCs/>
                <w:color w:val="595959"/>
                <w:lang w:val="en-IN"/>
              </w:rPr>
            </w:pPr>
            <w:r w:rsidRPr="00B463B7">
              <w:rPr>
                <w:rFonts w:ascii="Calibri" w:hAnsi="Calibri" w:cs="Calibri"/>
                <w:i/>
                <w:iCs/>
                <w:color w:val="595959"/>
                <w:lang w:val="en-IN"/>
              </w:rPr>
              <w:t>6</w:t>
            </w:r>
          </w:p>
        </w:tc>
        <w:tc>
          <w:tcPr>
            <w:tcW w:w="829" w:type="pct"/>
            <w:noWrap/>
            <w:hideMark/>
          </w:tcPr>
          <w:p w14:paraId="14E08AFC" w14:textId="77777777" w:rsidR="00B463B7" w:rsidRPr="00B463B7" w:rsidRDefault="00B463B7" w:rsidP="00C870A2">
            <w:pPr>
              <w:spacing w:line="360"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color w:val="595959"/>
                <w:lang w:val="en-IN"/>
              </w:rPr>
            </w:pPr>
            <w:r w:rsidRPr="00B463B7">
              <w:rPr>
                <w:rFonts w:ascii="Calibri" w:hAnsi="Calibri" w:cs="Calibri"/>
                <w:color w:val="595959"/>
                <w:lang w:val="en-IN"/>
              </w:rPr>
              <w:t>Retained Earnings</w:t>
            </w:r>
          </w:p>
        </w:tc>
        <w:tc>
          <w:tcPr>
            <w:tcW w:w="1675" w:type="pct"/>
            <w:noWrap/>
            <w:hideMark/>
          </w:tcPr>
          <w:p w14:paraId="0540A0D2" w14:textId="77777777" w:rsidR="00B463B7" w:rsidRPr="00B463B7" w:rsidRDefault="00B463B7" w:rsidP="00C870A2">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n-IN"/>
              </w:rPr>
            </w:pPr>
            <w:r w:rsidRPr="00B463B7">
              <w:rPr>
                <w:rFonts w:ascii="Calibri" w:hAnsi="Calibri" w:cs="Calibri"/>
                <w:color w:val="000000"/>
                <w:lang w:val="en-IN"/>
              </w:rPr>
              <w:t xml:space="preserve">                                             3,24,990     </w:t>
            </w:r>
          </w:p>
        </w:tc>
        <w:tc>
          <w:tcPr>
            <w:tcW w:w="69" w:type="pct"/>
            <w:noWrap/>
            <w:hideMark/>
          </w:tcPr>
          <w:p w14:paraId="1B663F67" w14:textId="77777777" w:rsidR="00B463B7" w:rsidRPr="00B463B7" w:rsidRDefault="00B463B7" w:rsidP="00C870A2">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n-IN"/>
              </w:rPr>
            </w:pPr>
          </w:p>
        </w:tc>
        <w:tc>
          <w:tcPr>
            <w:tcW w:w="644" w:type="pct"/>
            <w:noWrap/>
            <w:hideMark/>
          </w:tcPr>
          <w:p w14:paraId="3C9B2537" w14:textId="77777777" w:rsidR="00B463B7" w:rsidRPr="00B463B7" w:rsidRDefault="00B463B7" w:rsidP="00C870A2">
            <w:pPr>
              <w:spacing w:line="360" w:lineRule="auto"/>
              <w:jc w:val="left"/>
              <w:cnfStyle w:val="000000000000" w:firstRow="0" w:lastRow="0" w:firstColumn="0" w:lastColumn="0" w:oddVBand="0" w:evenVBand="0" w:oddHBand="0" w:evenHBand="0" w:firstRowFirstColumn="0" w:firstRowLastColumn="0" w:lastRowFirstColumn="0" w:lastRowLastColumn="0"/>
              <w:rPr>
                <w:lang w:val="en-IN"/>
              </w:rPr>
            </w:pPr>
          </w:p>
        </w:tc>
        <w:tc>
          <w:tcPr>
            <w:tcW w:w="1698" w:type="pct"/>
            <w:noWrap/>
            <w:hideMark/>
          </w:tcPr>
          <w:p w14:paraId="26EF7DCF" w14:textId="77777777" w:rsidR="00B463B7" w:rsidRPr="00B463B7" w:rsidRDefault="00B463B7" w:rsidP="00C870A2">
            <w:pPr>
              <w:spacing w:line="360"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color w:val="595959"/>
                <w:lang w:val="en-IN"/>
              </w:rPr>
            </w:pPr>
            <w:r w:rsidRPr="00B463B7">
              <w:rPr>
                <w:rFonts w:ascii="Calibri" w:hAnsi="Calibri" w:cs="Calibri"/>
                <w:color w:val="595959"/>
                <w:lang w:val="en-IN"/>
              </w:rPr>
              <w:t> </w:t>
            </w:r>
          </w:p>
        </w:tc>
      </w:tr>
      <w:tr w:rsidR="00B463B7" w:rsidRPr="00B463B7" w14:paraId="07CB0C38" w14:textId="77777777" w:rsidTr="00B463B7">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85" w:type="pct"/>
            <w:noWrap/>
            <w:hideMark/>
          </w:tcPr>
          <w:p w14:paraId="1C2935D5" w14:textId="77777777" w:rsidR="00B463B7" w:rsidRPr="00B463B7" w:rsidRDefault="00B463B7" w:rsidP="00C870A2">
            <w:pPr>
              <w:spacing w:line="360" w:lineRule="auto"/>
              <w:jc w:val="right"/>
              <w:rPr>
                <w:rFonts w:ascii="Calibri" w:hAnsi="Calibri" w:cs="Calibri"/>
                <w:i/>
                <w:iCs/>
                <w:color w:val="595959"/>
                <w:lang w:val="en-IN"/>
              </w:rPr>
            </w:pPr>
            <w:r w:rsidRPr="00B463B7">
              <w:rPr>
                <w:rFonts w:ascii="Calibri" w:hAnsi="Calibri" w:cs="Calibri"/>
                <w:i/>
                <w:iCs/>
                <w:color w:val="595959"/>
                <w:lang w:val="en-IN"/>
              </w:rPr>
              <w:lastRenderedPageBreak/>
              <w:t>7</w:t>
            </w:r>
          </w:p>
        </w:tc>
        <w:tc>
          <w:tcPr>
            <w:tcW w:w="829" w:type="pct"/>
            <w:noWrap/>
            <w:hideMark/>
          </w:tcPr>
          <w:p w14:paraId="7402E9E4" w14:textId="77777777" w:rsidR="00B463B7" w:rsidRPr="00B463B7" w:rsidRDefault="00B463B7" w:rsidP="00C870A2">
            <w:pPr>
              <w:spacing w:line="36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color w:val="595959"/>
                <w:lang w:val="en-IN"/>
              </w:rPr>
            </w:pPr>
            <w:r w:rsidRPr="00B463B7">
              <w:rPr>
                <w:rFonts w:ascii="Calibri" w:hAnsi="Calibri" w:cs="Calibri"/>
                <w:color w:val="595959"/>
                <w:lang w:val="en-IN"/>
              </w:rPr>
              <w:t>Net Sales</w:t>
            </w:r>
          </w:p>
        </w:tc>
        <w:tc>
          <w:tcPr>
            <w:tcW w:w="1675" w:type="pct"/>
            <w:noWrap/>
            <w:hideMark/>
          </w:tcPr>
          <w:p w14:paraId="2ED3D4E7" w14:textId="77777777" w:rsidR="00B463B7" w:rsidRPr="00B463B7" w:rsidRDefault="00B463B7" w:rsidP="00C870A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n-IN"/>
              </w:rPr>
            </w:pPr>
            <w:r w:rsidRPr="00B463B7">
              <w:rPr>
                <w:rFonts w:ascii="Calibri" w:hAnsi="Calibri" w:cs="Calibri"/>
                <w:color w:val="000000"/>
                <w:lang w:val="en-IN"/>
              </w:rPr>
              <w:t xml:space="preserve">                                             3,94,879     </w:t>
            </w:r>
          </w:p>
        </w:tc>
        <w:tc>
          <w:tcPr>
            <w:tcW w:w="69" w:type="pct"/>
            <w:noWrap/>
            <w:hideMark/>
          </w:tcPr>
          <w:p w14:paraId="0F9B6C2D" w14:textId="77777777" w:rsidR="00B463B7" w:rsidRPr="00B463B7" w:rsidRDefault="00B463B7" w:rsidP="00C870A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n-IN"/>
              </w:rPr>
            </w:pPr>
          </w:p>
        </w:tc>
        <w:tc>
          <w:tcPr>
            <w:tcW w:w="644" w:type="pct"/>
            <w:noWrap/>
            <w:hideMark/>
          </w:tcPr>
          <w:p w14:paraId="5891AE0C" w14:textId="77777777" w:rsidR="00B463B7" w:rsidRPr="00B463B7" w:rsidRDefault="00B463B7" w:rsidP="00C870A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color w:val="595959"/>
                <w:lang w:val="en-IN"/>
              </w:rPr>
            </w:pPr>
            <w:r w:rsidRPr="00B463B7">
              <w:rPr>
                <w:rFonts w:ascii="Calibri" w:hAnsi="Calibri" w:cs="Calibri"/>
                <w:b/>
                <w:bCs/>
                <w:color w:val="595959"/>
                <w:lang w:val="en-IN"/>
              </w:rPr>
              <w:t>Z &gt; 2.99</w:t>
            </w:r>
          </w:p>
        </w:tc>
        <w:tc>
          <w:tcPr>
            <w:tcW w:w="1698" w:type="pct"/>
            <w:noWrap/>
            <w:hideMark/>
          </w:tcPr>
          <w:p w14:paraId="67CEE8EF" w14:textId="77777777" w:rsidR="00B463B7" w:rsidRPr="00B463B7" w:rsidRDefault="00B463B7" w:rsidP="00C870A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color w:val="595959"/>
                <w:lang w:val="en-IN"/>
              </w:rPr>
            </w:pPr>
            <w:r w:rsidRPr="00B463B7">
              <w:rPr>
                <w:rFonts w:ascii="Calibri" w:hAnsi="Calibri" w:cs="Calibri"/>
                <w:b/>
                <w:bCs/>
                <w:color w:val="595959"/>
                <w:lang w:val="en-IN"/>
              </w:rPr>
              <w:t>SAFETY ZONE</w:t>
            </w:r>
          </w:p>
        </w:tc>
      </w:tr>
      <w:tr w:rsidR="00B463B7" w:rsidRPr="00B463B7" w14:paraId="2959E222" w14:textId="77777777" w:rsidTr="00B463B7">
        <w:trPr>
          <w:trHeight w:val="468"/>
        </w:trPr>
        <w:tc>
          <w:tcPr>
            <w:cnfStyle w:val="001000000000" w:firstRow="0" w:lastRow="0" w:firstColumn="1" w:lastColumn="0" w:oddVBand="0" w:evenVBand="0" w:oddHBand="0" w:evenHBand="0" w:firstRowFirstColumn="0" w:firstRowLastColumn="0" w:lastRowFirstColumn="0" w:lastRowLastColumn="0"/>
            <w:tcW w:w="85" w:type="pct"/>
            <w:noWrap/>
            <w:hideMark/>
          </w:tcPr>
          <w:p w14:paraId="13A06955" w14:textId="77777777" w:rsidR="00B463B7" w:rsidRPr="00B463B7" w:rsidRDefault="00B463B7" w:rsidP="00C870A2">
            <w:pPr>
              <w:spacing w:line="360" w:lineRule="auto"/>
              <w:jc w:val="right"/>
              <w:rPr>
                <w:rFonts w:ascii="Calibri" w:hAnsi="Calibri" w:cs="Calibri"/>
                <w:i/>
                <w:iCs/>
                <w:color w:val="595959"/>
                <w:lang w:val="en-IN"/>
              </w:rPr>
            </w:pPr>
            <w:r w:rsidRPr="00B463B7">
              <w:rPr>
                <w:rFonts w:ascii="Calibri" w:hAnsi="Calibri" w:cs="Calibri"/>
                <w:i/>
                <w:iCs/>
                <w:color w:val="595959"/>
                <w:lang w:val="en-IN"/>
              </w:rPr>
              <w:t>8</w:t>
            </w:r>
          </w:p>
        </w:tc>
        <w:tc>
          <w:tcPr>
            <w:tcW w:w="829" w:type="pct"/>
            <w:noWrap/>
            <w:hideMark/>
          </w:tcPr>
          <w:p w14:paraId="0BF5A312" w14:textId="77777777" w:rsidR="00B463B7" w:rsidRPr="00B463B7" w:rsidRDefault="00B463B7" w:rsidP="00C870A2">
            <w:pPr>
              <w:spacing w:line="360"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color w:val="595959"/>
                <w:lang w:val="en-IN"/>
              </w:rPr>
            </w:pPr>
            <w:r w:rsidRPr="00B463B7">
              <w:rPr>
                <w:rFonts w:ascii="Calibri" w:hAnsi="Calibri" w:cs="Calibri"/>
                <w:color w:val="595959"/>
                <w:lang w:val="en-IN"/>
              </w:rPr>
              <w:t>Market Capitalization</w:t>
            </w:r>
          </w:p>
        </w:tc>
        <w:tc>
          <w:tcPr>
            <w:tcW w:w="1675" w:type="pct"/>
            <w:noWrap/>
            <w:hideMark/>
          </w:tcPr>
          <w:p w14:paraId="697D9E10" w14:textId="77777777" w:rsidR="00B463B7" w:rsidRPr="00B463B7" w:rsidRDefault="00B463B7" w:rsidP="00C870A2">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n-IN"/>
              </w:rPr>
            </w:pPr>
            <w:r w:rsidRPr="00B463B7">
              <w:rPr>
                <w:rFonts w:ascii="Calibri" w:hAnsi="Calibri" w:cs="Calibri"/>
                <w:color w:val="000000"/>
                <w:lang w:val="en-IN"/>
              </w:rPr>
              <w:t xml:space="preserve">                                                64,800     </w:t>
            </w:r>
          </w:p>
        </w:tc>
        <w:tc>
          <w:tcPr>
            <w:tcW w:w="69" w:type="pct"/>
            <w:noWrap/>
            <w:hideMark/>
          </w:tcPr>
          <w:p w14:paraId="1325B251" w14:textId="77777777" w:rsidR="00B463B7" w:rsidRPr="00B463B7" w:rsidRDefault="00B463B7" w:rsidP="00C870A2">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n-IN"/>
              </w:rPr>
            </w:pPr>
          </w:p>
        </w:tc>
        <w:tc>
          <w:tcPr>
            <w:tcW w:w="644" w:type="pct"/>
            <w:noWrap/>
            <w:hideMark/>
          </w:tcPr>
          <w:p w14:paraId="2836937C" w14:textId="77777777" w:rsidR="00B463B7" w:rsidRPr="00B463B7" w:rsidRDefault="00B463B7" w:rsidP="00C870A2">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595959"/>
                <w:lang w:val="en-IN"/>
              </w:rPr>
            </w:pPr>
            <w:r w:rsidRPr="00B463B7">
              <w:rPr>
                <w:rFonts w:ascii="Calibri" w:hAnsi="Calibri" w:cs="Calibri"/>
                <w:b/>
                <w:bCs/>
                <w:color w:val="595959"/>
                <w:lang w:val="en-IN"/>
              </w:rPr>
              <w:t>1.81 &lt; Z &lt; 2.99</w:t>
            </w:r>
          </w:p>
        </w:tc>
        <w:tc>
          <w:tcPr>
            <w:tcW w:w="1698" w:type="pct"/>
            <w:noWrap/>
            <w:hideMark/>
          </w:tcPr>
          <w:p w14:paraId="50C4CF84" w14:textId="77777777" w:rsidR="00B463B7" w:rsidRPr="00B463B7" w:rsidRDefault="00B463B7" w:rsidP="00C870A2">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595959"/>
                <w:lang w:val="en-IN"/>
              </w:rPr>
            </w:pPr>
            <w:r w:rsidRPr="00B463B7">
              <w:rPr>
                <w:rFonts w:ascii="Calibri" w:hAnsi="Calibri" w:cs="Calibri"/>
                <w:b/>
                <w:bCs/>
                <w:color w:val="595959"/>
                <w:lang w:val="en-IN"/>
              </w:rPr>
              <w:t>GREY ZONE</w:t>
            </w:r>
          </w:p>
        </w:tc>
      </w:tr>
      <w:tr w:rsidR="00B463B7" w:rsidRPr="00B463B7" w14:paraId="17005ABE" w14:textId="77777777" w:rsidTr="00B463B7">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85" w:type="pct"/>
            <w:noWrap/>
            <w:hideMark/>
          </w:tcPr>
          <w:p w14:paraId="7844EA65" w14:textId="77777777" w:rsidR="00B463B7" w:rsidRPr="00B463B7" w:rsidRDefault="00B463B7" w:rsidP="00C870A2">
            <w:pPr>
              <w:spacing w:line="360" w:lineRule="auto"/>
              <w:jc w:val="right"/>
              <w:rPr>
                <w:rFonts w:ascii="Calibri" w:hAnsi="Calibri" w:cs="Calibri"/>
                <w:i/>
                <w:iCs/>
                <w:color w:val="595959"/>
                <w:lang w:val="en-IN"/>
              </w:rPr>
            </w:pPr>
            <w:r w:rsidRPr="00B463B7">
              <w:rPr>
                <w:rFonts w:ascii="Calibri" w:hAnsi="Calibri" w:cs="Calibri"/>
                <w:i/>
                <w:iCs/>
                <w:color w:val="595959"/>
                <w:lang w:val="en-IN"/>
              </w:rPr>
              <w:t>9</w:t>
            </w:r>
          </w:p>
        </w:tc>
        <w:tc>
          <w:tcPr>
            <w:tcW w:w="829" w:type="pct"/>
            <w:noWrap/>
            <w:hideMark/>
          </w:tcPr>
          <w:p w14:paraId="06E11FCD" w14:textId="77777777" w:rsidR="00B463B7" w:rsidRPr="00B463B7" w:rsidRDefault="00B463B7" w:rsidP="00C870A2">
            <w:pPr>
              <w:spacing w:line="36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color w:val="595959"/>
                <w:lang w:val="en-IN"/>
              </w:rPr>
            </w:pPr>
            <w:r w:rsidRPr="00B463B7">
              <w:rPr>
                <w:rFonts w:ascii="Calibri" w:hAnsi="Calibri" w:cs="Calibri"/>
                <w:color w:val="595959"/>
                <w:lang w:val="en-IN"/>
              </w:rPr>
              <w:t>Share Capital</w:t>
            </w:r>
          </w:p>
        </w:tc>
        <w:tc>
          <w:tcPr>
            <w:tcW w:w="1675" w:type="pct"/>
            <w:noWrap/>
            <w:hideMark/>
          </w:tcPr>
          <w:p w14:paraId="058DBFBC" w14:textId="77777777" w:rsidR="00B463B7" w:rsidRPr="00B463B7" w:rsidRDefault="00B463B7" w:rsidP="00C870A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n-IN"/>
              </w:rPr>
            </w:pPr>
            <w:r w:rsidRPr="00B463B7">
              <w:rPr>
                <w:rFonts w:ascii="Calibri" w:hAnsi="Calibri" w:cs="Calibri"/>
                <w:color w:val="000000"/>
                <w:lang w:val="en-IN"/>
              </w:rPr>
              <w:t xml:space="preserve">                                             3,13,301     </w:t>
            </w:r>
          </w:p>
        </w:tc>
        <w:tc>
          <w:tcPr>
            <w:tcW w:w="69" w:type="pct"/>
            <w:noWrap/>
            <w:hideMark/>
          </w:tcPr>
          <w:p w14:paraId="2A0154FB" w14:textId="77777777" w:rsidR="00B463B7" w:rsidRPr="00B463B7" w:rsidRDefault="00B463B7" w:rsidP="00C870A2">
            <w:pPr>
              <w:spacing w:line="36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n-IN"/>
              </w:rPr>
            </w:pPr>
            <w:r w:rsidRPr="00B463B7">
              <w:rPr>
                <w:rFonts w:ascii="Calibri" w:hAnsi="Calibri" w:cs="Calibri"/>
                <w:color w:val="000000"/>
                <w:lang w:val="en-IN"/>
              </w:rPr>
              <w:t> </w:t>
            </w:r>
          </w:p>
        </w:tc>
        <w:tc>
          <w:tcPr>
            <w:tcW w:w="644" w:type="pct"/>
            <w:noWrap/>
            <w:hideMark/>
          </w:tcPr>
          <w:p w14:paraId="1025F82E" w14:textId="77777777" w:rsidR="00B463B7" w:rsidRPr="00B463B7" w:rsidRDefault="00B463B7" w:rsidP="00C870A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color w:val="595959"/>
                <w:lang w:val="en-IN"/>
              </w:rPr>
            </w:pPr>
            <w:r w:rsidRPr="00B463B7">
              <w:rPr>
                <w:rFonts w:ascii="Calibri" w:hAnsi="Calibri" w:cs="Calibri"/>
                <w:b/>
                <w:bCs/>
                <w:color w:val="595959"/>
                <w:lang w:val="en-IN"/>
              </w:rPr>
              <w:t>Z &lt; 1.81</w:t>
            </w:r>
          </w:p>
        </w:tc>
        <w:tc>
          <w:tcPr>
            <w:tcW w:w="1698" w:type="pct"/>
            <w:noWrap/>
            <w:hideMark/>
          </w:tcPr>
          <w:p w14:paraId="1BAEABC5" w14:textId="77777777" w:rsidR="00B463B7" w:rsidRPr="00B463B7" w:rsidRDefault="00B463B7" w:rsidP="00C870A2">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color w:val="595959"/>
                <w:lang w:val="en-IN"/>
              </w:rPr>
            </w:pPr>
            <w:r w:rsidRPr="00B463B7">
              <w:rPr>
                <w:rFonts w:ascii="Calibri" w:hAnsi="Calibri" w:cs="Calibri"/>
                <w:b/>
                <w:bCs/>
                <w:color w:val="595959"/>
                <w:lang w:val="en-IN"/>
              </w:rPr>
              <w:t>BANKRUPT ZONE</w:t>
            </w:r>
          </w:p>
        </w:tc>
      </w:tr>
    </w:tbl>
    <w:p w14:paraId="36E3D5F4" w14:textId="77777777" w:rsidR="00B463B7" w:rsidRPr="00B463B7" w:rsidRDefault="00B463B7" w:rsidP="00C870A2">
      <w:pPr>
        <w:jc w:val="center"/>
      </w:pPr>
    </w:p>
    <w:p w14:paraId="3A1643A7" w14:textId="77777777" w:rsidR="00DE0959" w:rsidRDefault="00000000" w:rsidP="00C870A2">
      <w:pPr>
        <w:jc w:val="center"/>
        <w:rPr>
          <w:b/>
          <w:bCs/>
        </w:rPr>
      </w:pPr>
      <w:r>
        <w:rPr>
          <w:b/>
          <w:bCs/>
        </w:rPr>
        <w:t>Figure 8: Altman Z-Score of General Electronics</w:t>
      </w:r>
    </w:p>
    <w:p w14:paraId="032E2E85" w14:textId="77777777" w:rsidR="00DE0959" w:rsidRDefault="00000000" w:rsidP="00C870A2">
      <w:pPr>
        <w:spacing w:before="240" w:after="240"/>
      </w:pPr>
      <w:r>
        <w:t xml:space="preserve">The Altman Z-Score model that has been established on publicly traded manufacturing companies has been used to determine the financial distress risk of General Electronics. The company is registered with the latest available financial data with the Z-Score at 2.98, which puts it in the Grey Zone (1.81 &lt; Z 2.99). This result indicates a bivalent financial state, with the liquidity and retained earnings playing a positive role, but more recent operational losses play a significant negative role </w:t>
      </w:r>
      <w:proofErr w:type="gramStart"/>
      <w:r>
        <w:t>on</w:t>
      </w:r>
      <w:proofErr w:type="gramEnd"/>
      <w:r>
        <w:t xml:space="preserve"> the final combined score.</w:t>
      </w:r>
    </w:p>
    <w:p w14:paraId="1DBB576C" w14:textId="77777777" w:rsidR="00DE0959" w:rsidRDefault="00000000" w:rsidP="00C870A2">
      <w:pPr>
        <w:spacing w:before="240" w:after="240"/>
      </w:pPr>
      <w:r>
        <w:t xml:space="preserve">In terms of the default risk, a Grey Zone rating implies that the risk of bankruptcy is not immediate, but the company does not have the financial stability to respond to negative shocks. Poor operating profitability, and dwindling market </w:t>
      </w:r>
      <w:proofErr w:type="spellStart"/>
      <w:r>
        <w:t>capitalisation</w:t>
      </w:r>
      <w:proofErr w:type="spellEnd"/>
      <w:r>
        <w:t xml:space="preserve"> mean much exposure, especially in a climate of escalating interest rates, cost inflationary pressures, and low consumer demand (</w:t>
      </w:r>
      <w:proofErr w:type="spellStart"/>
      <w:r>
        <w:t>Tabachová</w:t>
      </w:r>
      <w:proofErr w:type="spellEnd"/>
      <w:r>
        <w:t xml:space="preserve"> et al., 2024). Financially stable consumer electronics companies normally report Z-Scores well above 3.0 compared to industry standards. The marginal score of General Electronics is thus an indicator of poor performance compared to other players in the sector and disclosure of high medium-term insolvency risk unless remedial measures are taken (</w:t>
      </w:r>
      <w:proofErr w:type="spellStart"/>
      <w:r>
        <w:t>Braunsberger</w:t>
      </w:r>
      <w:proofErr w:type="spellEnd"/>
      <w:r>
        <w:t xml:space="preserve"> and Aschauer, 2025).</w:t>
      </w:r>
    </w:p>
    <w:p w14:paraId="37157911" w14:textId="77777777" w:rsidR="00DE0959" w:rsidRDefault="00000000" w:rsidP="00C870A2">
      <w:pPr>
        <w:pStyle w:val="Heading2"/>
      </w:pPr>
      <w:bookmarkStart w:id="10" w:name="_5fmf2b9atko2" w:colFirst="0" w:colLast="0"/>
      <w:bookmarkEnd w:id="10"/>
      <w:r>
        <w:t>2.9 Summary of Financial Strengths and Weaknesses</w:t>
      </w:r>
    </w:p>
    <w:p w14:paraId="4DD25FCF" w14:textId="77777777" w:rsidR="00DE0959" w:rsidRDefault="00000000" w:rsidP="00C870A2">
      <w:r>
        <w:t xml:space="preserve">General Electronics still has certain underlying financial strengths as the company has sufficient headline liquidity ratios, positive retained earnings, and its asset base remains functional which sustains revenue Generation. These aspects bring about a little short-term </w:t>
      </w:r>
      <w:proofErr w:type="gramStart"/>
      <w:r>
        <w:t>stability</w:t>
      </w:r>
      <w:proofErr w:type="gramEnd"/>
      <w:r>
        <w:t xml:space="preserve"> and this is why the firm is yet to enter the bankruptcy zone.</w:t>
      </w:r>
    </w:p>
    <w:p w14:paraId="1AB271DA" w14:textId="77777777" w:rsidR="00DE0959" w:rsidRDefault="00000000" w:rsidP="00C870A2">
      <w:r>
        <w:lastRenderedPageBreak/>
        <w:t xml:space="preserve">But the major threats to finances take over the prospects of the firm. The long-term operating and net losses, declining interest coverage, increasing leverage, and decreasing operating cash flows are all signs of deteriorating financial sustainability. The red </w:t>
      </w:r>
      <w:proofErr w:type="gramStart"/>
      <w:r>
        <w:t>flags</w:t>
      </w:r>
      <w:proofErr w:type="gramEnd"/>
      <w:r>
        <w:t xml:space="preserve"> can be seen in the failure of profitability margins, increasing reliance on creditor financing, slower growth of receivables collections, and reduced market valuation. The fact that the Z-Score is close to the distress threshold underlines the fact that without a prompt re-organization and a strategic financial intervention, General Electronics has a greater chance of being in financial distress in the near to medium term.</w:t>
      </w:r>
    </w:p>
    <w:p w14:paraId="4AC67004" w14:textId="77777777" w:rsidR="00DE0959" w:rsidRDefault="00000000" w:rsidP="00C870A2">
      <w:pPr>
        <w:pStyle w:val="Heading1"/>
      </w:pPr>
      <w:bookmarkStart w:id="11" w:name="_z9jnz9ppu5x9" w:colFirst="0" w:colLast="0"/>
      <w:bookmarkEnd w:id="11"/>
      <w:r>
        <w:t xml:space="preserve">3. Working Capital Management Analysis </w:t>
      </w:r>
    </w:p>
    <w:p w14:paraId="39C42FA8" w14:textId="77777777" w:rsidR="00DE0959" w:rsidRDefault="00000000" w:rsidP="00C870A2">
      <w:pPr>
        <w:pStyle w:val="Heading2"/>
      </w:pPr>
      <w:bookmarkStart w:id="12" w:name="_cvebu5eo0zl0" w:colFirst="0" w:colLast="0"/>
      <w:bookmarkEnd w:id="12"/>
      <w:r>
        <w:t>3.1 Cash Operating Cycle Analysis</w:t>
      </w:r>
    </w:p>
    <w:p w14:paraId="36651094" w14:textId="77777777" w:rsidR="00DE0959" w:rsidRDefault="00000000" w:rsidP="00C870A2">
      <w:r>
        <w:t>The cash operating cycle is used to measure the duration taken to convert the inventory and receivables into cash, excluding the payables. It gives a complete picture of the working capital efficiency and liquidity strain.</w:t>
      </w:r>
    </w:p>
    <w:p w14:paraId="6B95C925" w14:textId="3C0A4B75" w:rsidR="00B463B7" w:rsidRDefault="00B463B7" w:rsidP="00C870A2">
      <w:pPr>
        <w:jc w:val="center"/>
      </w:pPr>
      <w:r>
        <w:rPr>
          <w:noProof/>
        </w:rPr>
        <w:drawing>
          <wp:inline distT="0" distB="0" distL="0" distR="0" wp14:anchorId="71FD9B0C" wp14:editId="29320981">
            <wp:extent cx="4724400" cy="2743200"/>
            <wp:effectExtent l="0" t="0" r="0" b="0"/>
            <wp:docPr id="1388610198" name="Chart 1">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E39E1B8" w14:textId="77777777" w:rsidR="00DE0959" w:rsidRDefault="00000000" w:rsidP="00C870A2">
      <w:pPr>
        <w:jc w:val="center"/>
        <w:rPr>
          <w:b/>
          <w:bCs/>
        </w:rPr>
      </w:pPr>
      <w:r>
        <w:rPr>
          <w:b/>
          <w:bCs/>
        </w:rPr>
        <w:t>Figure 9: Cash Operating Cycle</w:t>
      </w:r>
    </w:p>
    <w:p w14:paraId="6D953585" w14:textId="77777777" w:rsidR="00DE0959" w:rsidRDefault="00000000" w:rsidP="00C870A2">
      <w:r>
        <w:t xml:space="preserve">The number of inventory turnover days had risen to a high of 66 days in 2022 compared to 50 days in 2020, which shows a slower movement of inventory and may mean that it is overstocked. Though the inventory days are at 50days (2023), it increased to 52 days (2024) which could </w:t>
      </w:r>
      <w:r>
        <w:lastRenderedPageBreak/>
        <w:t>indicate that there are still structural inefficiencies. The technology-intensive nature of the business and the high rate of product obsolescence mean that the long periods of inventory holding would contribute significantly to the risks of carrying costs and write-down (Hassan, Karim and Cole, 2025).</w:t>
      </w:r>
    </w:p>
    <w:p w14:paraId="10331BD1" w14:textId="77777777" w:rsidR="00DE0959" w:rsidRDefault="00000000" w:rsidP="00C870A2">
      <w:r>
        <w:t>The day of receivables turnover deteriorated significantly and increased by 38 days and 53 days in the year 2020 and 2024 respectively. This is indicative of poorer credit management, longer payment durations or growing financial distress in customers in the face of poor global economic performance. On the other hand, the number of days of payables turnover decreased to 35 days in 2020 then reduced to 32 days in 2023 and then it soared to 47 days in 2024. The increase in the extension of supplier payment in 2024 means that it becomes increasingly dependent on supplier financing to maintain liquidity (</w:t>
      </w:r>
      <w:proofErr w:type="spellStart"/>
      <w:r>
        <w:t>Shukaili</w:t>
      </w:r>
      <w:proofErr w:type="spellEnd"/>
      <w:r>
        <w:t>, Jamaluddin and Zulkifli, 2023).</w:t>
      </w:r>
    </w:p>
    <w:p w14:paraId="13BED501" w14:textId="77777777" w:rsidR="00DE0959" w:rsidRDefault="00000000" w:rsidP="00C870A2">
      <w:r>
        <w:t>In general, the cash conversion cycle increased in 2020 to 54 days and reached its peak in the year 2022 at 70 days and stayed at 58 days in 2020 and 2024 respectively. This is a long cycle that puts pressure on liquidity and limits cash.</w:t>
      </w:r>
    </w:p>
    <w:p w14:paraId="1AFE440F" w14:textId="77777777" w:rsidR="00DE0959" w:rsidRDefault="00000000" w:rsidP="00C870A2">
      <w:pPr>
        <w:pStyle w:val="Heading2"/>
      </w:pPr>
      <w:bookmarkStart w:id="13" w:name="_ou7hkw271u26" w:colFirst="0" w:colLast="0"/>
      <w:bookmarkEnd w:id="13"/>
      <w:r>
        <w:t>3.2 Identified Working Capital Problems</w:t>
      </w:r>
    </w:p>
    <w:p w14:paraId="2785ABDF" w14:textId="77777777" w:rsidR="00DE0959" w:rsidRDefault="00000000" w:rsidP="00C870A2">
      <w:r>
        <w:t>There are several structural working capital weaknesses. The problem of excess inventory is a constant phenomenon due to poor predictions of demand, sluggish product turnover, and low volumes of sales. The vast inventory days result in cash lock-up and augment the chances of technological obsolescence (LightSpeed, 2022).</w:t>
      </w:r>
    </w:p>
    <w:p w14:paraId="4E1F5B3C" w14:textId="77777777" w:rsidR="00DE0959" w:rsidRDefault="00000000" w:rsidP="00C870A2">
      <w:r>
        <w:t xml:space="preserve">Another issue of concern is slow receivables collection. The gradual growth of the </w:t>
      </w:r>
      <w:proofErr w:type="gramStart"/>
      <w:r>
        <w:t>receivables days</w:t>
      </w:r>
      <w:proofErr w:type="gramEnd"/>
      <w:r>
        <w:t xml:space="preserve"> indicates poor management of the credit and the potential decline in the quality of the customer credit. This slows down the cash </w:t>
      </w:r>
      <w:proofErr w:type="gramStart"/>
      <w:r>
        <w:t>incomes</w:t>
      </w:r>
      <w:proofErr w:type="gramEnd"/>
      <w:r>
        <w:t xml:space="preserve"> and dilutes the liquidity.</w:t>
      </w:r>
    </w:p>
    <w:p w14:paraId="23FBE2BE" w14:textId="77777777" w:rsidR="00DE0959" w:rsidRDefault="00000000" w:rsidP="00C870A2">
      <w:r>
        <w:t xml:space="preserve">There is also pressure </w:t>
      </w:r>
      <w:proofErr w:type="gramStart"/>
      <w:r>
        <w:t>by</w:t>
      </w:r>
      <w:proofErr w:type="gramEnd"/>
      <w:r>
        <w:t xml:space="preserve"> supplier financing. The high growth in the days </w:t>
      </w:r>
      <w:proofErr w:type="gramStart"/>
      <w:r>
        <w:t>payables</w:t>
      </w:r>
      <w:proofErr w:type="gramEnd"/>
      <w:r>
        <w:t xml:space="preserve"> during the year 2024 shows that the company is aggressively extending supplier credit to offset low levels of internal cash generation. Although this will provide short term </w:t>
      </w:r>
      <w:proofErr w:type="gramStart"/>
      <w:r>
        <w:t>reprieve</w:t>
      </w:r>
      <w:proofErr w:type="gramEnd"/>
      <w:r>
        <w:t>, it will lead to the risk of straining supplier relations, raising procurement costs and the lack of supply continuity (Elephants Child Advisory Limited., 2023).</w:t>
      </w:r>
    </w:p>
    <w:p w14:paraId="1136539D" w14:textId="77777777" w:rsidR="00DE0959" w:rsidRDefault="00000000" w:rsidP="00C870A2">
      <w:pPr>
        <w:pStyle w:val="Heading2"/>
      </w:pPr>
      <w:bookmarkStart w:id="14" w:name="_6nwfg5yymrhc" w:colFirst="0" w:colLast="0"/>
      <w:bookmarkEnd w:id="14"/>
      <w:r>
        <w:lastRenderedPageBreak/>
        <w:t>3.3 Strategies to Improve Liquidity</w:t>
      </w:r>
    </w:p>
    <w:p w14:paraId="6C32778A" w14:textId="77777777" w:rsidR="00DE0959" w:rsidRDefault="00000000" w:rsidP="00C870A2">
      <w:r>
        <w:t xml:space="preserve">To improve liquidity, working capital reforms must be focused. Tightening demand forecasting, </w:t>
      </w:r>
      <w:proofErr w:type="spellStart"/>
      <w:r>
        <w:t>rationalisation</w:t>
      </w:r>
      <w:proofErr w:type="spellEnd"/>
      <w:r>
        <w:t xml:space="preserve"> of product lines, and just-in-time principles where possible should be </w:t>
      </w:r>
      <w:proofErr w:type="spellStart"/>
      <w:r>
        <w:t>utilised</w:t>
      </w:r>
      <w:proofErr w:type="spellEnd"/>
      <w:r>
        <w:t xml:space="preserve"> as part of inventory </w:t>
      </w:r>
      <w:proofErr w:type="spellStart"/>
      <w:r>
        <w:t>optimisation</w:t>
      </w:r>
      <w:proofErr w:type="spellEnd"/>
      <w:r>
        <w:t xml:space="preserve"> (Jenkins, 2024). A decline in slow </w:t>
      </w:r>
      <w:proofErr w:type="gramStart"/>
      <w:r>
        <w:t>moving</w:t>
      </w:r>
      <w:proofErr w:type="gramEnd"/>
      <w:r>
        <w:t xml:space="preserve"> and old inventory would set free assets tied in cash and reduce carrying charges.</w:t>
      </w:r>
    </w:p>
    <w:p w14:paraId="6720CA3D" w14:textId="77777777" w:rsidR="00DE0959" w:rsidRDefault="00000000" w:rsidP="00C870A2">
      <w:r>
        <w:t>It is necessary to enhance credit control. It entails tightening of credit issuance policies, new terms of payment, proactive management of receivables and early payment incentives. Enhancement of collections would speed up cash receipts as well as mitigate risk of bad debt (</w:t>
      </w:r>
      <w:proofErr w:type="spellStart"/>
      <w:r>
        <w:t>HighRadius</w:t>
      </w:r>
      <w:proofErr w:type="spellEnd"/>
      <w:r>
        <w:t>, 2024).</w:t>
      </w:r>
    </w:p>
    <w:p w14:paraId="6FFB6F95" w14:textId="77777777" w:rsidR="00DE0959" w:rsidRDefault="00000000" w:rsidP="00C870A2">
      <w:r>
        <w:t xml:space="preserve">Renegotiation with the suppliers should be on collaboration and not adversarial terms. Cash flow can be enhanced through </w:t>
      </w:r>
      <w:proofErr w:type="gramStart"/>
      <w:r>
        <w:t>long term</w:t>
      </w:r>
      <w:proofErr w:type="gramEnd"/>
      <w:r>
        <w:t xml:space="preserve"> contracts with suppliers, volume discounts and matched payment cycles without compromising the resilience of supply chains (Sap.com, 2025).</w:t>
      </w:r>
    </w:p>
    <w:p w14:paraId="1BF496C6" w14:textId="77777777" w:rsidR="00DE0959" w:rsidRDefault="00000000" w:rsidP="00C870A2">
      <w:proofErr w:type="gramStart"/>
      <w:r>
        <w:t>The visibility</w:t>
      </w:r>
      <w:proofErr w:type="gramEnd"/>
      <w:r>
        <w:t xml:space="preserve"> would be increased throughout the working capital cycle by the application of technologies and forecasting, including the integrated ERP systems and data analytics, that would facilitate proactive decision-making and better cash management.</w:t>
      </w:r>
    </w:p>
    <w:p w14:paraId="1148F649" w14:textId="77777777" w:rsidR="00DE0959" w:rsidRDefault="00000000" w:rsidP="00C870A2">
      <w:pPr>
        <w:pStyle w:val="Heading2"/>
      </w:pPr>
      <w:bookmarkStart w:id="15" w:name="_vafqbxojnhp7" w:colFirst="0" w:colLast="0"/>
      <w:bookmarkEnd w:id="15"/>
      <w:r>
        <w:t>3.4 Short-Term vs Long-Term Financing Options</w:t>
      </w:r>
    </w:p>
    <w:tbl>
      <w:tblPr>
        <w:tblStyle w:val="a"/>
        <w:tblW w:w="94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485"/>
        <w:gridCol w:w="2100"/>
        <w:gridCol w:w="1965"/>
        <w:gridCol w:w="1755"/>
        <w:gridCol w:w="2160"/>
      </w:tblGrid>
      <w:tr w:rsidR="00DE0959" w14:paraId="15C65AAF" w14:textId="77777777">
        <w:trPr>
          <w:trHeight w:val="555"/>
        </w:trPr>
        <w:tc>
          <w:tcPr>
            <w:tcW w:w="1485" w:type="dxa"/>
            <w:tcBorders>
              <w:top w:val="single" w:sz="6" w:space="0" w:color="A02B93"/>
              <w:left w:val="single" w:sz="6" w:space="0" w:color="A02B93"/>
              <w:bottom w:val="single" w:sz="6" w:space="0" w:color="A02B93"/>
              <w:right w:val="nil"/>
            </w:tcBorders>
            <w:shd w:val="clear" w:color="auto" w:fill="A02B93"/>
            <w:tcMar>
              <w:top w:w="0" w:type="dxa"/>
              <w:left w:w="100" w:type="dxa"/>
              <w:bottom w:w="0" w:type="dxa"/>
              <w:right w:w="100" w:type="dxa"/>
            </w:tcMar>
          </w:tcPr>
          <w:p w14:paraId="371D0585" w14:textId="77777777" w:rsidR="00DE0959" w:rsidRDefault="00000000" w:rsidP="00C870A2">
            <w:pPr>
              <w:spacing w:before="240" w:after="0"/>
              <w:jc w:val="center"/>
              <w:rPr>
                <w:b/>
                <w:bCs/>
                <w:color w:val="FFFFFF"/>
              </w:rPr>
            </w:pPr>
            <w:r>
              <w:rPr>
                <w:b/>
                <w:bCs/>
                <w:color w:val="FFFFFF"/>
              </w:rPr>
              <w:t>Financing Option</w:t>
            </w:r>
          </w:p>
        </w:tc>
        <w:tc>
          <w:tcPr>
            <w:tcW w:w="2100" w:type="dxa"/>
            <w:tcBorders>
              <w:top w:val="single" w:sz="6" w:space="0" w:color="A02B93"/>
              <w:left w:val="nil"/>
              <w:bottom w:val="single" w:sz="6" w:space="0" w:color="A02B93"/>
              <w:right w:val="nil"/>
            </w:tcBorders>
            <w:shd w:val="clear" w:color="auto" w:fill="A02B93"/>
            <w:tcMar>
              <w:top w:w="0" w:type="dxa"/>
              <w:left w:w="100" w:type="dxa"/>
              <w:bottom w:w="0" w:type="dxa"/>
              <w:right w:w="100" w:type="dxa"/>
            </w:tcMar>
          </w:tcPr>
          <w:p w14:paraId="6F697F3A" w14:textId="77777777" w:rsidR="00DE0959" w:rsidRDefault="00000000" w:rsidP="00C870A2">
            <w:pPr>
              <w:spacing w:before="240" w:after="0"/>
              <w:jc w:val="center"/>
              <w:rPr>
                <w:b/>
                <w:bCs/>
                <w:color w:val="FFFFFF"/>
              </w:rPr>
            </w:pPr>
            <w:r>
              <w:rPr>
                <w:b/>
                <w:bCs/>
                <w:color w:val="FFFFFF"/>
              </w:rPr>
              <w:t>Description</w:t>
            </w:r>
          </w:p>
        </w:tc>
        <w:tc>
          <w:tcPr>
            <w:tcW w:w="1965" w:type="dxa"/>
            <w:tcBorders>
              <w:top w:val="single" w:sz="6" w:space="0" w:color="A02B93"/>
              <w:left w:val="nil"/>
              <w:bottom w:val="single" w:sz="6" w:space="0" w:color="A02B93"/>
              <w:right w:val="nil"/>
            </w:tcBorders>
            <w:shd w:val="clear" w:color="auto" w:fill="A02B93"/>
            <w:tcMar>
              <w:top w:w="0" w:type="dxa"/>
              <w:left w:w="100" w:type="dxa"/>
              <w:bottom w:w="0" w:type="dxa"/>
              <w:right w:w="100" w:type="dxa"/>
            </w:tcMar>
          </w:tcPr>
          <w:p w14:paraId="3D42D1F3" w14:textId="77777777" w:rsidR="00DE0959" w:rsidRDefault="00000000" w:rsidP="00C870A2">
            <w:pPr>
              <w:spacing w:before="240" w:after="0"/>
              <w:jc w:val="center"/>
              <w:rPr>
                <w:b/>
                <w:bCs/>
                <w:color w:val="FFFFFF"/>
              </w:rPr>
            </w:pPr>
            <w:r>
              <w:rPr>
                <w:b/>
                <w:bCs/>
                <w:color w:val="FFFFFF"/>
              </w:rPr>
              <w:t>Cost Implications</w:t>
            </w:r>
          </w:p>
        </w:tc>
        <w:tc>
          <w:tcPr>
            <w:tcW w:w="1755" w:type="dxa"/>
            <w:tcBorders>
              <w:top w:val="single" w:sz="6" w:space="0" w:color="A02B93"/>
              <w:left w:val="nil"/>
              <w:bottom w:val="single" w:sz="6" w:space="0" w:color="A02B93"/>
              <w:right w:val="nil"/>
            </w:tcBorders>
            <w:shd w:val="clear" w:color="auto" w:fill="A02B93"/>
            <w:tcMar>
              <w:top w:w="0" w:type="dxa"/>
              <w:left w:w="100" w:type="dxa"/>
              <w:bottom w:w="0" w:type="dxa"/>
              <w:right w:w="100" w:type="dxa"/>
            </w:tcMar>
          </w:tcPr>
          <w:p w14:paraId="477D371C" w14:textId="77777777" w:rsidR="00DE0959" w:rsidRDefault="00000000" w:rsidP="00C870A2">
            <w:pPr>
              <w:spacing w:before="240" w:after="0"/>
              <w:jc w:val="center"/>
              <w:rPr>
                <w:b/>
                <w:bCs/>
                <w:color w:val="FFFFFF"/>
              </w:rPr>
            </w:pPr>
            <w:r>
              <w:rPr>
                <w:b/>
                <w:bCs/>
                <w:color w:val="FFFFFF"/>
              </w:rPr>
              <w:t>Risk Profile</w:t>
            </w:r>
          </w:p>
        </w:tc>
        <w:tc>
          <w:tcPr>
            <w:tcW w:w="2160" w:type="dxa"/>
            <w:tcBorders>
              <w:top w:val="single" w:sz="6" w:space="0" w:color="A02B93"/>
              <w:left w:val="nil"/>
              <w:bottom w:val="single" w:sz="6" w:space="0" w:color="A02B93"/>
              <w:right w:val="single" w:sz="6" w:space="0" w:color="A02B93"/>
            </w:tcBorders>
            <w:shd w:val="clear" w:color="auto" w:fill="A02B93"/>
            <w:tcMar>
              <w:top w:w="0" w:type="dxa"/>
              <w:left w:w="100" w:type="dxa"/>
              <w:bottom w:w="0" w:type="dxa"/>
              <w:right w:w="100" w:type="dxa"/>
            </w:tcMar>
          </w:tcPr>
          <w:p w14:paraId="29B8133A" w14:textId="77777777" w:rsidR="00DE0959" w:rsidRDefault="00000000" w:rsidP="00C870A2">
            <w:pPr>
              <w:spacing w:before="240" w:after="0"/>
              <w:jc w:val="center"/>
              <w:rPr>
                <w:b/>
                <w:bCs/>
                <w:color w:val="FFFFFF"/>
              </w:rPr>
            </w:pPr>
            <w:r>
              <w:rPr>
                <w:b/>
                <w:bCs/>
                <w:color w:val="FFFFFF"/>
              </w:rPr>
              <w:t>Flexibility and Suitability</w:t>
            </w:r>
          </w:p>
        </w:tc>
      </w:tr>
      <w:tr w:rsidR="00DE0959" w14:paraId="49408236" w14:textId="77777777">
        <w:trPr>
          <w:trHeight w:val="2190"/>
        </w:trPr>
        <w:tc>
          <w:tcPr>
            <w:tcW w:w="1485" w:type="dxa"/>
            <w:tcBorders>
              <w:top w:val="nil"/>
              <w:left w:val="single" w:sz="6" w:space="0" w:color="D86DCB"/>
              <w:bottom w:val="single" w:sz="6" w:space="0" w:color="D86DCB"/>
              <w:right w:val="single" w:sz="6" w:space="0" w:color="D86DCB"/>
            </w:tcBorders>
            <w:shd w:val="clear" w:color="auto" w:fill="F2CEED"/>
            <w:tcMar>
              <w:top w:w="0" w:type="dxa"/>
              <w:left w:w="100" w:type="dxa"/>
              <w:bottom w:w="0" w:type="dxa"/>
              <w:right w:w="100" w:type="dxa"/>
            </w:tcMar>
          </w:tcPr>
          <w:p w14:paraId="7591B168" w14:textId="77777777" w:rsidR="00DE0959" w:rsidRDefault="00000000" w:rsidP="00C870A2">
            <w:pPr>
              <w:spacing w:before="240" w:after="0"/>
              <w:rPr>
                <w:b/>
                <w:bCs/>
              </w:rPr>
            </w:pPr>
            <w:r>
              <w:rPr>
                <w:b/>
                <w:bCs/>
              </w:rPr>
              <w:t>Bank Overdrafts and Trade Credit</w:t>
            </w:r>
          </w:p>
        </w:tc>
        <w:tc>
          <w:tcPr>
            <w:tcW w:w="2100" w:type="dxa"/>
            <w:tcBorders>
              <w:top w:val="nil"/>
              <w:left w:val="nil"/>
              <w:bottom w:val="single" w:sz="6" w:space="0" w:color="D86DCB"/>
              <w:right w:val="single" w:sz="6" w:space="0" w:color="D86DCB"/>
            </w:tcBorders>
            <w:shd w:val="clear" w:color="auto" w:fill="F2CEED"/>
            <w:tcMar>
              <w:top w:w="0" w:type="dxa"/>
              <w:left w:w="100" w:type="dxa"/>
              <w:bottom w:w="0" w:type="dxa"/>
              <w:right w:w="100" w:type="dxa"/>
            </w:tcMar>
          </w:tcPr>
          <w:p w14:paraId="714FC7B5" w14:textId="77777777" w:rsidR="00DE0959" w:rsidRDefault="00000000" w:rsidP="00C870A2">
            <w:pPr>
              <w:spacing w:before="240" w:after="0"/>
            </w:pPr>
            <w:r>
              <w:t>Short-term funding used to finance daily operational cash needs and working capital gaps (Poonawalla Fincorp, 2023).</w:t>
            </w:r>
          </w:p>
        </w:tc>
        <w:tc>
          <w:tcPr>
            <w:tcW w:w="1965" w:type="dxa"/>
            <w:tcBorders>
              <w:top w:val="nil"/>
              <w:left w:val="nil"/>
              <w:bottom w:val="single" w:sz="6" w:space="0" w:color="D86DCB"/>
              <w:right w:val="single" w:sz="6" w:space="0" w:color="D86DCB"/>
            </w:tcBorders>
            <w:shd w:val="clear" w:color="auto" w:fill="F2CEED"/>
            <w:tcMar>
              <w:top w:w="0" w:type="dxa"/>
              <w:left w:w="100" w:type="dxa"/>
              <w:bottom w:w="0" w:type="dxa"/>
              <w:right w:w="100" w:type="dxa"/>
            </w:tcMar>
          </w:tcPr>
          <w:p w14:paraId="1CAD5E5F" w14:textId="77777777" w:rsidR="00DE0959" w:rsidRDefault="00000000" w:rsidP="00C870A2">
            <w:pPr>
              <w:spacing w:before="240" w:after="0"/>
            </w:pPr>
            <w:proofErr w:type="gramStart"/>
            <w:r>
              <w:t>Typically</w:t>
            </w:r>
            <w:proofErr w:type="gramEnd"/>
            <w:r>
              <w:t xml:space="preserve"> high variable interest rates and implicit costs through lost supplier discounts.</w:t>
            </w:r>
          </w:p>
        </w:tc>
        <w:tc>
          <w:tcPr>
            <w:tcW w:w="1755" w:type="dxa"/>
            <w:tcBorders>
              <w:top w:val="nil"/>
              <w:left w:val="nil"/>
              <w:bottom w:val="single" w:sz="6" w:space="0" w:color="D86DCB"/>
              <w:right w:val="single" w:sz="6" w:space="0" w:color="D86DCB"/>
            </w:tcBorders>
            <w:shd w:val="clear" w:color="auto" w:fill="F2CEED"/>
            <w:tcMar>
              <w:top w:w="0" w:type="dxa"/>
              <w:left w:w="100" w:type="dxa"/>
              <w:bottom w:w="0" w:type="dxa"/>
              <w:right w:w="100" w:type="dxa"/>
            </w:tcMar>
          </w:tcPr>
          <w:p w14:paraId="420A207A" w14:textId="77777777" w:rsidR="00DE0959" w:rsidRDefault="00000000" w:rsidP="00C870A2">
            <w:pPr>
              <w:spacing w:before="240" w:after="0"/>
            </w:pPr>
            <w:r>
              <w:t>High refinancing and interest rate risk, especially in volatile credit markets.</w:t>
            </w:r>
          </w:p>
        </w:tc>
        <w:tc>
          <w:tcPr>
            <w:tcW w:w="2160" w:type="dxa"/>
            <w:tcBorders>
              <w:top w:val="nil"/>
              <w:left w:val="nil"/>
              <w:bottom w:val="single" w:sz="6" w:space="0" w:color="D86DCB"/>
              <w:right w:val="single" w:sz="6" w:space="0" w:color="D86DCB"/>
            </w:tcBorders>
            <w:shd w:val="clear" w:color="auto" w:fill="F2CEED"/>
            <w:tcMar>
              <w:top w:w="0" w:type="dxa"/>
              <w:left w:w="100" w:type="dxa"/>
              <w:bottom w:w="0" w:type="dxa"/>
              <w:right w:w="100" w:type="dxa"/>
            </w:tcMar>
          </w:tcPr>
          <w:p w14:paraId="198CCA7B" w14:textId="77777777" w:rsidR="00DE0959" w:rsidRDefault="00000000" w:rsidP="00C870A2">
            <w:pPr>
              <w:spacing w:before="240" w:after="0"/>
            </w:pPr>
            <w:r>
              <w:t>Highly flexible and easily accessible, but unsuitable as a long-term funding solution due to instability.</w:t>
            </w:r>
          </w:p>
        </w:tc>
      </w:tr>
      <w:tr w:rsidR="00DE0959" w14:paraId="13B2BC3D" w14:textId="77777777">
        <w:trPr>
          <w:trHeight w:val="2190"/>
        </w:trPr>
        <w:tc>
          <w:tcPr>
            <w:tcW w:w="1485" w:type="dxa"/>
            <w:tcBorders>
              <w:top w:val="nil"/>
              <w:left w:val="single" w:sz="6" w:space="0" w:color="D86DCB"/>
              <w:bottom w:val="single" w:sz="6" w:space="0" w:color="D86DCB"/>
              <w:right w:val="single" w:sz="6" w:space="0" w:color="D86DCB"/>
            </w:tcBorders>
            <w:tcMar>
              <w:top w:w="0" w:type="dxa"/>
              <w:left w:w="100" w:type="dxa"/>
              <w:bottom w:w="0" w:type="dxa"/>
              <w:right w:w="100" w:type="dxa"/>
            </w:tcMar>
          </w:tcPr>
          <w:p w14:paraId="4AD02DEE" w14:textId="77777777" w:rsidR="00DE0959" w:rsidRDefault="00000000" w:rsidP="00C870A2">
            <w:pPr>
              <w:spacing w:before="240" w:after="0"/>
              <w:rPr>
                <w:b/>
                <w:bCs/>
              </w:rPr>
            </w:pPr>
            <w:r>
              <w:rPr>
                <w:b/>
                <w:bCs/>
              </w:rPr>
              <w:lastRenderedPageBreak/>
              <w:t>Short-Term Loans</w:t>
            </w:r>
          </w:p>
        </w:tc>
        <w:tc>
          <w:tcPr>
            <w:tcW w:w="2100" w:type="dxa"/>
            <w:tcBorders>
              <w:top w:val="nil"/>
              <w:left w:val="nil"/>
              <w:bottom w:val="single" w:sz="6" w:space="0" w:color="D86DCB"/>
              <w:right w:val="single" w:sz="6" w:space="0" w:color="D86DCB"/>
            </w:tcBorders>
            <w:tcMar>
              <w:top w:w="0" w:type="dxa"/>
              <w:left w:w="100" w:type="dxa"/>
              <w:bottom w:w="0" w:type="dxa"/>
              <w:right w:w="100" w:type="dxa"/>
            </w:tcMar>
          </w:tcPr>
          <w:p w14:paraId="2F7ED4E9" w14:textId="77777777" w:rsidR="00DE0959" w:rsidRDefault="00000000" w:rsidP="00C870A2">
            <w:pPr>
              <w:spacing w:before="240" w:after="0"/>
            </w:pPr>
            <w:r>
              <w:t>Fixed-term borrowing is generally repayable within one year to meet temporary liquidity requirements.</w:t>
            </w:r>
          </w:p>
        </w:tc>
        <w:tc>
          <w:tcPr>
            <w:tcW w:w="1965" w:type="dxa"/>
            <w:tcBorders>
              <w:top w:val="nil"/>
              <w:left w:val="nil"/>
              <w:bottom w:val="single" w:sz="6" w:space="0" w:color="D86DCB"/>
              <w:right w:val="single" w:sz="6" w:space="0" w:color="D86DCB"/>
            </w:tcBorders>
            <w:tcMar>
              <w:top w:w="0" w:type="dxa"/>
              <w:left w:w="100" w:type="dxa"/>
              <w:bottom w:w="0" w:type="dxa"/>
              <w:right w:w="100" w:type="dxa"/>
            </w:tcMar>
          </w:tcPr>
          <w:p w14:paraId="2FBAB321" w14:textId="77777777" w:rsidR="00DE0959" w:rsidRDefault="00000000" w:rsidP="00C870A2">
            <w:pPr>
              <w:spacing w:before="240" w:after="0"/>
            </w:pPr>
            <w:r>
              <w:t>Lower cost than overdrafts but still exposed to rising interest rates and frequent renewal fees.</w:t>
            </w:r>
          </w:p>
        </w:tc>
        <w:tc>
          <w:tcPr>
            <w:tcW w:w="1755" w:type="dxa"/>
            <w:tcBorders>
              <w:top w:val="nil"/>
              <w:left w:val="nil"/>
              <w:bottom w:val="single" w:sz="6" w:space="0" w:color="D86DCB"/>
              <w:right w:val="single" w:sz="6" w:space="0" w:color="D86DCB"/>
            </w:tcBorders>
            <w:tcMar>
              <w:top w:w="0" w:type="dxa"/>
              <w:left w:w="100" w:type="dxa"/>
              <w:bottom w:w="0" w:type="dxa"/>
              <w:right w:w="100" w:type="dxa"/>
            </w:tcMar>
          </w:tcPr>
          <w:p w14:paraId="2876D394" w14:textId="77777777" w:rsidR="00DE0959" w:rsidRDefault="00000000" w:rsidP="00C870A2">
            <w:pPr>
              <w:spacing w:before="240" w:after="0"/>
            </w:pPr>
            <w:r>
              <w:t>Moderate risk due to repayment pressure and rollover risk.</w:t>
            </w:r>
          </w:p>
        </w:tc>
        <w:tc>
          <w:tcPr>
            <w:tcW w:w="2160" w:type="dxa"/>
            <w:tcBorders>
              <w:top w:val="nil"/>
              <w:left w:val="nil"/>
              <w:bottom w:val="single" w:sz="6" w:space="0" w:color="D86DCB"/>
              <w:right w:val="single" w:sz="6" w:space="0" w:color="D86DCB"/>
            </w:tcBorders>
            <w:tcMar>
              <w:top w:w="0" w:type="dxa"/>
              <w:left w:w="100" w:type="dxa"/>
              <w:bottom w:w="0" w:type="dxa"/>
              <w:right w:w="100" w:type="dxa"/>
            </w:tcMar>
          </w:tcPr>
          <w:p w14:paraId="719F9F64" w14:textId="77777777" w:rsidR="00DE0959" w:rsidRDefault="00000000" w:rsidP="00C870A2">
            <w:pPr>
              <w:spacing w:before="240" w:after="0"/>
            </w:pPr>
            <w:r>
              <w:t>Less flexible than overdrafts but useful for predictable short-term cash needs (Antony, 2025).</w:t>
            </w:r>
          </w:p>
        </w:tc>
      </w:tr>
      <w:tr w:rsidR="00DE0959" w14:paraId="566378B6" w14:textId="77777777">
        <w:trPr>
          <w:trHeight w:val="1920"/>
        </w:trPr>
        <w:tc>
          <w:tcPr>
            <w:tcW w:w="1485" w:type="dxa"/>
            <w:tcBorders>
              <w:top w:val="nil"/>
              <w:left w:val="single" w:sz="6" w:space="0" w:color="D86DCB"/>
              <w:bottom w:val="single" w:sz="6" w:space="0" w:color="D86DCB"/>
              <w:right w:val="single" w:sz="6" w:space="0" w:color="D86DCB"/>
            </w:tcBorders>
            <w:shd w:val="clear" w:color="auto" w:fill="F2CEED"/>
            <w:tcMar>
              <w:top w:w="0" w:type="dxa"/>
              <w:left w:w="100" w:type="dxa"/>
              <w:bottom w:w="0" w:type="dxa"/>
              <w:right w:w="100" w:type="dxa"/>
            </w:tcMar>
          </w:tcPr>
          <w:p w14:paraId="4AEC1BD8" w14:textId="77777777" w:rsidR="00DE0959" w:rsidRDefault="00000000" w:rsidP="00C870A2">
            <w:pPr>
              <w:spacing w:before="240" w:after="0"/>
              <w:rPr>
                <w:b/>
                <w:bCs/>
              </w:rPr>
            </w:pPr>
            <w:r>
              <w:rPr>
                <w:b/>
                <w:bCs/>
              </w:rPr>
              <w:t>Long-Term Debt</w:t>
            </w:r>
          </w:p>
        </w:tc>
        <w:tc>
          <w:tcPr>
            <w:tcW w:w="2100" w:type="dxa"/>
            <w:tcBorders>
              <w:top w:val="nil"/>
              <w:left w:val="nil"/>
              <w:bottom w:val="single" w:sz="6" w:space="0" w:color="D86DCB"/>
              <w:right w:val="single" w:sz="6" w:space="0" w:color="D86DCB"/>
            </w:tcBorders>
            <w:shd w:val="clear" w:color="auto" w:fill="F2CEED"/>
            <w:tcMar>
              <w:top w:w="0" w:type="dxa"/>
              <w:left w:w="100" w:type="dxa"/>
              <w:bottom w:w="0" w:type="dxa"/>
              <w:right w:w="100" w:type="dxa"/>
            </w:tcMar>
          </w:tcPr>
          <w:p w14:paraId="5EF50356" w14:textId="77777777" w:rsidR="00DE0959" w:rsidRDefault="00000000" w:rsidP="00C870A2">
            <w:pPr>
              <w:spacing w:before="240" w:after="0"/>
            </w:pPr>
            <w:r>
              <w:t>Borrowing with maturities exceeding one year to finance restructuring or capital investment.</w:t>
            </w:r>
          </w:p>
        </w:tc>
        <w:tc>
          <w:tcPr>
            <w:tcW w:w="1965" w:type="dxa"/>
            <w:tcBorders>
              <w:top w:val="nil"/>
              <w:left w:val="nil"/>
              <w:bottom w:val="single" w:sz="6" w:space="0" w:color="D86DCB"/>
              <w:right w:val="single" w:sz="6" w:space="0" w:color="D86DCB"/>
            </w:tcBorders>
            <w:shd w:val="clear" w:color="auto" w:fill="F2CEED"/>
            <w:tcMar>
              <w:top w:w="0" w:type="dxa"/>
              <w:left w:w="100" w:type="dxa"/>
              <w:bottom w:w="0" w:type="dxa"/>
              <w:right w:w="100" w:type="dxa"/>
            </w:tcMar>
          </w:tcPr>
          <w:p w14:paraId="788DDA39" w14:textId="77777777" w:rsidR="00DE0959" w:rsidRDefault="00000000" w:rsidP="00C870A2">
            <w:pPr>
              <w:spacing w:before="240" w:after="0"/>
            </w:pPr>
            <w:r>
              <w:t xml:space="preserve">Lower </w:t>
            </w:r>
            <w:proofErr w:type="spellStart"/>
            <w:r>
              <w:t>annualised</w:t>
            </w:r>
            <w:proofErr w:type="spellEnd"/>
            <w:r>
              <w:t xml:space="preserve"> cost compared to short-term funding but increases gearing and fixed interest commitments (Prudential Private Capital, 2023).</w:t>
            </w:r>
          </w:p>
        </w:tc>
        <w:tc>
          <w:tcPr>
            <w:tcW w:w="1755" w:type="dxa"/>
            <w:tcBorders>
              <w:top w:val="nil"/>
              <w:left w:val="nil"/>
              <w:bottom w:val="single" w:sz="6" w:space="0" w:color="D86DCB"/>
              <w:right w:val="single" w:sz="6" w:space="0" w:color="D86DCB"/>
            </w:tcBorders>
            <w:shd w:val="clear" w:color="auto" w:fill="F2CEED"/>
            <w:tcMar>
              <w:top w:w="0" w:type="dxa"/>
              <w:left w:w="100" w:type="dxa"/>
              <w:bottom w:w="0" w:type="dxa"/>
              <w:right w:w="100" w:type="dxa"/>
            </w:tcMar>
          </w:tcPr>
          <w:p w14:paraId="74F9B0B1" w14:textId="77777777" w:rsidR="00DE0959" w:rsidRDefault="00000000" w:rsidP="00C870A2">
            <w:pPr>
              <w:spacing w:before="240" w:after="0"/>
            </w:pPr>
            <w:r>
              <w:t>Higher solvency risk if earnings remain weak.</w:t>
            </w:r>
          </w:p>
        </w:tc>
        <w:tc>
          <w:tcPr>
            <w:tcW w:w="2160" w:type="dxa"/>
            <w:tcBorders>
              <w:top w:val="nil"/>
              <w:left w:val="nil"/>
              <w:bottom w:val="single" w:sz="6" w:space="0" w:color="D86DCB"/>
              <w:right w:val="single" w:sz="6" w:space="0" w:color="D86DCB"/>
            </w:tcBorders>
            <w:shd w:val="clear" w:color="auto" w:fill="F2CEED"/>
            <w:tcMar>
              <w:top w:w="0" w:type="dxa"/>
              <w:left w:w="100" w:type="dxa"/>
              <w:bottom w:w="0" w:type="dxa"/>
              <w:right w:w="100" w:type="dxa"/>
            </w:tcMar>
          </w:tcPr>
          <w:p w14:paraId="29FC7D66" w14:textId="77777777" w:rsidR="00DE0959" w:rsidRDefault="00000000" w:rsidP="00C870A2">
            <w:pPr>
              <w:spacing w:before="240" w:after="0"/>
            </w:pPr>
            <w:r>
              <w:t>Provides funding stability and improves liquidity planning.</w:t>
            </w:r>
          </w:p>
        </w:tc>
      </w:tr>
      <w:tr w:rsidR="00DE0959" w14:paraId="126E9A39" w14:textId="77777777">
        <w:trPr>
          <w:trHeight w:val="1380"/>
        </w:trPr>
        <w:tc>
          <w:tcPr>
            <w:tcW w:w="1485" w:type="dxa"/>
            <w:tcBorders>
              <w:top w:val="nil"/>
              <w:left w:val="single" w:sz="6" w:space="0" w:color="D86DCB"/>
              <w:bottom w:val="single" w:sz="6" w:space="0" w:color="D86DCB"/>
              <w:right w:val="single" w:sz="6" w:space="0" w:color="D86DCB"/>
            </w:tcBorders>
            <w:tcMar>
              <w:top w:w="0" w:type="dxa"/>
              <w:left w:w="100" w:type="dxa"/>
              <w:bottom w:w="0" w:type="dxa"/>
              <w:right w:w="100" w:type="dxa"/>
            </w:tcMar>
          </w:tcPr>
          <w:p w14:paraId="411AC2F9" w14:textId="77777777" w:rsidR="00DE0959" w:rsidRDefault="00000000" w:rsidP="00C870A2">
            <w:pPr>
              <w:spacing w:before="240" w:after="0"/>
              <w:rPr>
                <w:b/>
                <w:bCs/>
              </w:rPr>
            </w:pPr>
            <w:r>
              <w:rPr>
                <w:b/>
                <w:bCs/>
              </w:rPr>
              <w:t>Equity Financing</w:t>
            </w:r>
          </w:p>
        </w:tc>
        <w:tc>
          <w:tcPr>
            <w:tcW w:w="2100" w:type="dxa"/>
            <w:tcBorders>
              <w:top w:val="nil"/>
              <w:left w:val="nil"/>
              <w:bottom w:val="single" w:sz="6" w:space="0" w:color="D86DCB"/>
              <w:right w:val="single" w:sz="6" w:space="0" w:color="D86DCB"/>
            </w:tcBorders>
            <w:tcMar>
              <w:top w:w="0" w:type="dxa"/>
              <w:left w:w="100" w:type="dxa"/>
              <w:bottom w:w="0" w:type="dxa"/>
              <w:right w:w="100" w:type="dxa"/>
            </w:tcMar>
          </w:tcPr>
          <w:p w14:paraId="3AB690AA" w14:textId="77777777" w:rsidR="00DE0959" w:rsidRDefault="00000000" w:rsidP="00C870A2">
            <w:pPr>
              <w:spacing w:before="240" w:after="0"/>
            </w:pPr>
            <w:r>
              <w:t>Issuance of new shares to raise permanent capital.</w:t>
            </w:r>
          </w:p>
        </w:tc>
        <w:tc>
          <w:tcPr>
            <w:tcW w:w="1965" w:type="dxa"/>
            <w:tcBorders>
              <w:top w:val="nil"/>
              <w:left w:val="nil"/>
              <w:bottom w:val="single" w:sz="6" w:space="0" w:color="D86DCB"/>
              <w:right w:val="single" w:sz="6" w:space="0" w:color="D86DCB"/>
            </w:tcBorders>
            <w:tcMar>
              <w:top w:w="0" w:type="dxa"/>
              <w:left w:w="100" w:type="dxa"/>
              <w:bottom w:w="0" w:type="dxa"/>
              <w:right w:w="100" w:type="dxa"/>
            </w:tcMar>
          </w:tcPr>
          <w:p w14:paraId="08D8AB2B" w14:textId="77777777" w:rsidR="00DE0959" w:rsidRDefault="00000000" w:rsidP="00C870A2">
            <w:pPr>
              <w:spacing w:before="240" w:after="0"/>
            </w:pPr>
            <w:r>
              <w:t>No mandatory repayment but high implicit cost through ownership dilution.</w:t>
            </w:r>
          </w:p>
        </w:tc>
        <w:tc>
          <w:tcPr>
            <w:tcW w:w="1755" w:type="dxa"/>
            <w:tcBorders>
              <w:top w:val="nil"/>
              <w:left w:val="nil"/>
              <w:bottom w:val="single" w:sz="6" w:space="0" w:color="D86DCB"/>
              <w:right w:val="single" w:sz="6" w:space="0" w:color="D86DCB"/>
            </w:tcBorders>
            <w:tcMar>
              <w:top w:w="0" w:type="dxa"/>
              <w:left w:w="100" w:type="dxa"/>
              <w:bottom w:w="0" w:type="dxa"/>
              <w:right w:w="100" w:type="dxa"/>
            </w:tcMar>
          </w:tcPr>
          <w:p w14:paraId="7B2B4930" w14:textId="77777777" w:rsidR="00DE0959" w:rsidRDefault="00000000" w:rsidP="00C870A2">
            <w:pPr>
              <w:spacing w:before="240" w:after="0"/>
            </w:pPr>
            <w:r>
              <w:t>Low financial risk but potential shareholder resistance (Nguyen, Nguyen and Nguyen, 2022).</w:t>
            </w:r>
          </w:p>
        </w:tc>
        <w:tc>
          <w:tcPr>
            <w:tcW w:w="2160" w:type="dxa"/>
            <w:tcBorders>
              <w:top w:val="nil"/>
              <w:left w:val="nil"/>
              <w:bottom w:val="single" w:sz="6" w:space="0" w:color="D86DCB"/>
              <w:right w:val="single" w:sz="6" w:space="0" w:color="D86DCB"/>
            </w:tcBorders>
            <w:tcMar>
              <w:top w:w="0" w:type="dxa"/>
              <w:left w:w="100" w:type="dxa"/>
              <w:bottom w:w="0" w:type="dxa"/>
              <w:right w:w="100" w:type="dxa"/>
            </w:tcMar>
          </w:tcPr>
          <w:p w14:paraId="46A3BBF6" w14:textId="77777777" w:rsidR="00DE0959" w:rsidRDefault="00000000" w:rsidP="00C870A2">
            <w:pPr>
              <w:spacing w:before="240" w:after="0"/>
            </w:pPr>
            <w:r>
              <w:t>Enhances balance sheet strength and long-term flexibility.</w:t>
            </w:r>
          </w:p>
        </w:tc>
      </w:tr>
    </w:tbl>
    <w:p w14:paraId="381F259E" w14:textId="77777777" w:rsidR="00DE0959" w:rsidRDefault="00DE0959" w:rsidP="00C870A2"/>
    <w:p w14:paraId="1DF2FEFC" w14:textId="77777777" w:rsidR="00DE0959" w:rsidRDefault="00000000" w:rsidP="00C870A2">
      <w:pPr>
        <w:pStyle w:val="Heading2"/>
      </w:pPr>
      <w:bookmarkStart w:id="16" w:name="_5r7fx0rxwm3x" w:colFirst="0" w:colLast="0"/>
      <w:bookmarkEnd w:id="16"/>
      <w:r>
        <w:lastRenderedPageBreak/>
        <w:t>3.5 Impact on Financial Stability</w:t>
      </w:r>
    </w:p>
    <w:p w14:paraId="0E2CC232" w14:textId="77777777" w:rsidR="00DE0959" w:rsidRDefault="00000000" w:rsidP="00C870A2">
      <w:r>
        <w:t xml:space="preserve">The working capital reforms would be effective in terms of reducing the cash conversion cycle and enhancing the operating cash flows as well as </w:t>
      </w:r>
      <w:proofErr w:type="gramStart"/>
      <w:r>
        <w:t>the liquidity</w:t>
      </w:r>
      <w:proofErr w:type="gramEnd"/>
      <w:r>
        <w:t xml:space="preserve"> resilience. Fewer inventory and speedier collection of receivables would free up cash and strict payables treatment would </w:t>
      </w:r>
      <w:proofErr w:type="spellStart"/>
      <w:r>
        <w:t>stabilise</w:t>
      </w:r>
      <w:proofErr w:type="spellEnd"/>
      <w:r>
        <w:t xml:space="preserve"> supplier relationships. Taken together, these would help to reduce liquidity risk, decrease reliance on outside funding, and increase financial stability in general, which can contribute to the overall </w:t>
      </w:r>
      <w:proofErr w:type="spellStart"/>
      <w:proofErr w:type="gramStart"/>
      <w:r>
        <w:t>turn around</w:t>
      </w:r>
      <w:proofErr w:type="spellEnd"/>
      <w:proofErr w:type="gramEnd"/>
      <w:r>
        <w:t xml:space="preserve"> strategy of the firm.</w:t>
      </w:r>
    </w:p>
    <w:p w14:paraId="6622B7ED" w14:textId="77777777" w:rsidR="00DE0959" w:rsidRDefault="00000000" w:rsidP="00C870A2">
      <w:pPr>
        <w:pStyle w:val="Heading1"/>
      </w:pPr>
      <w:bookmarkStart w:id="17" w:name="_w28uep33q7xy" w:colFirst="0" w:colLast="0"/>
      <w:bookmarkEnd w:id="17"/>
      <w:r>
        <w:t>4. Strategic Financial Restructuring Plan</w:t>
      </w:r>
    </w:p>
    <w:p w14:paraId="5CF6EF0A" w14:textId="77777777" w:rsidR="00DE0959" w:rsidRDefault="00000000" w:rsidP="00C870A2">
      <w:pPr>
        <w:pStyle w:val="Heading2"/>
        <w:keepNext w:val="0"/>
        <w:keepLines w:val="0"/>
        <w:spacing w:before="280" w:after="80"/>
      </w:pPr>
      <w:bookmarkStart w:id="18" w:name="_losbur77pmm6" w:colFirst="0" w:colLast="0"/>
      <w:bookmarkEnd w:id="18"/>
      <w:r>
        <w:t>4.1 Need for Financial Restructuring</w:t>
      </w:r>
    </w:p>
    <w:p w14:paraId="083D3AB6" w14:textId="77777777" w:rsidR="00DE0959" w:rsidRDefault="00000000" w:rsidP="00C870A2">
      <w:pPr>
        <w:spacing w:before="240" w:after="240"/>
      </w:pPr>
      <w:r>
        <w:t xml:space="preserve">The recent financial performance of General Electronics shows a strong piece of evidence </w:t>
      </w:r>
      <w:proofErr w:type="gramStart"/>
      <w:r>
        <w:t>between</w:t>
      </w:r>
      <w:proofErr w:type="gramEnd"/>
      <w:r>
        <w:t xml:space="preserve"> financial distress and an unsustainable capital structure. A continuing operating loss, dwindling cash flows, and an increase in leverage have greatly undermined the capacity of the firm to service debt and finance the operation of the firm. The decline in interest coverage and a shift of the Altman Z-Score towards the distress level indicate that the existing financial framework is not appropriate anymore according to the risk level and profit potential of the firm. Constant financing commitments in an uncertain revenue market characterize the exalted financial risk and decrease forerunning aptitude (Dumitrescu et al., 2025).</w:t>
      </w:r>
    </w:p>
    <w:p w14:paraId="3002170F" w14:textId="77777777" w:rsidR="00DE0959" w:rsidRDefault="00000000" w:rsidP="00C870A2">
      <w:pPr>
        <w:spacing w:before="240" w:after="240"/>
      </w:pPr>
      <w:r>
        <w:t xml:space="preserve">There is an urgent strategic need </w:t>
      </w:r>
      <w:proofErr w:type="gramStart"/>
      <w:r>
        <w:t>of</w:t>
      </w:r>
      <w:proofErr w:type="gramEnd"/>
      <w:r>
        <w:t xml:space="preserve"> restructuring finances. In the absence of swift action General Electronics stands a greater risk of insolvency, stakeholder confidence and diminished access to external funds. It is necessary not simply to stabilize short term liquidity but also to develop a capital structure that could allow it to </w:t>
      </w:r>
      <w:proofErr w:type="gramStart"/>
      <w:r>
        <w:t>compete on long terms</w:t>
      </w:r>
      <w:proofErr w:type="gramEnd"/>
      <w:r>
        <w:t xml:space="preserve"> in a </w:t>
      </w:r>
      <w:proofErr w:type="gramStart"/>
      <w:r>
        <w:t>fast changing</w:t>
      </w:r>
      <w:proofErr w:type="gramEnd"/>
      <w:r>
        <w:t xml:space="preserve"> global consumer electronics market (Arnone et al., 2024).</w:t>
      </w:r>
    </w:p>
    <w:p w14:paraId="5B3B641A" w14:textId="77777777" w:rsidR="00DE0959" w:rsidRDefault="00000000" w:rsidP="00C870A2">
      <w:pPr>
        <w:pStyle w:val="Heading2"/>
        <w:keepNext w:val="0"/>
        <w:keepLines w:val="0"/>
        <w:spacing w:before="280" w:after="80"/>
      </w:pPr>
      <w:bookmarkStart w:id="19" w:name="_4seqkcszl9n1" w:colFirst="0" w:colLast="0"/>
      <w:bookmarkEnd w:id="19"/>
      <w:r>
        <w:t>4.2 Restructuring Options Evaluation</w:t>
      </w:r>
    </w:p>
    <w:p w14:paraId="107C287E" w14:textId="77777777" w:rsidR="00DE0959" w:rsidRDefault="00000000" w:rsidP="00C870A2">
      <w:pPr>
        <w:pStyle w:val="Heading3"/>
        <w:keepNext w:val="0"/>
        <w:keepLines w:val="0"/>
        <w:spacing w:before="240" w:after="40"/>
      </w:pPr>
      <w:bookmarkStart w:id="20" w:name="_3gjsf0lcp1ui" w:colFirst="0" w:colLast="0"/>
      <w:bookmarkEnd w:id="20"/>
      <w:r>
        <w:t>4.2.1 Asset Divestiture</w:t>
      </w:r>
    </w:p>
    <w:p w14:paraId="062A2499" w14:textId="77777777" w:rsidR="00DE0959" w:rsidRDefault="00000000" w:rsidP="00C870A2">
      <w:pPr>
        <w:spacing w:before="240" w:after="240"/>
      </w:pPr>
      <w:r>
        <w:t xml:space="preserve">Asset divestiture refers to the sale of </w:t>
      </w:r>
      <w:proofErr w:type="spellStart"/>
      <w:proofErr w:type="gramStart"/>
      <w:r>
        <w:t>non core</w:t>
      </w:r>
      <w:proofErr w:type="spellEnd"/>
      <w:proofErr w:type="gramEnd"/>
      <w:r>
        <w:t xml:space="preserve"> or </w:t>
      </w:r>
      <w:proofErr w:type="gramStart"/>
      <w:r>
        <w:t>non performing</w:t>
      </w:r>
      <w:proofErr w:type="gramEnd"/>
      <w:r>
        <w:t xml:space="preserve"> business units, subsidiaries or latent physical assets. In the case of General Electronics, selling off product lines in peripherals or </w:t>
      </w:r>
      <w:r>
        <w:lastRenderedPageBreak/>
        <w:t xml:space="preserve">non-core operations overseas would yield cash flows that can be immediately used to pay debts or bolster working capital. This would directly enhance the </w:t>
      </w:r>
      <w:proofErr w:type="gramStart"/>
      <w:r>
        <w:t>liquidity</w:t>
      </w:r>
      <w:proofErr w:type="gramEnd"/>
      <w:r>
        <w:t xml:space="preserve"> and the interest costs would be minimized (Corporate Finance Institute, 2025).</w:t>
      </w:r>
    </w:p>
    <w:p w14:paraId="19CAA540" w14:textId="77777777" w:rsidR="00DE0959" w:rsidRDefault="00000000" w:rsidP="00C870A2">
      <w:pPr>
        <w:spacing w:before="240" w:after="240"/>
      </w:pPr>
      <w:r>
        <w:t xml:space="preserve">In addition to the benefits of cash flow, divestiture helps management to specialize in core operations and lucrative areas, which enhances operational efficiency. </w:t>
      </w:r>
      <w:proofErr w:type="gramStart"/>
      <w:r>
        <w:t>Unless,</w:t>
      </w:r>
      <w:proofErr w:type="gramEnd"/>
      <w:r>
        <w:t xml:space="preserve"> it can over-sell its </w:t>
      </w:r>
      <w:proofErr w:type="gramStart"/>
      <w:r>
        <w:t>assets</w:t>
      </w:r>
      <w:proofErr w:type="gramEnd"/>
      <w:r>
        <w:t xml:space="preserve"> which can lower the potential of long-run growth and scale the economies. Hence, divestiture must be discriminative and strategic focusing on assets that will dilute returns or distract core value production.</w:t>
      </w:r>
    </w:p>
    <w:p w14:paraId="0E324D6A" w14:textId="77777777" w:rsidR="00DE0959" w:rsidRDefault="00000000" w:rsidP="00C870A2">
      <w:pPr>
        <w:pStyle w:val="Heading3"/>
        <w:keepNext w:val="0"/>
        <w:keepLines w:val="0"/>
        <w:spacing w:before="240" w:after="40"/>
      </w:pPr>
      <w:bookmarkStart w:id="21" w:name="_fmg7evys2nrz" w:colFirst="0" w:colLast="0"/>
      <w:bookmarkEnd w:id="21"/>
      <w:r>
        <w:t>4.2.2 Equity Injection</w:t>
      </w:r>
    </w:p>
    <w:p w14:paraId="3AD081B9" w14:textId="77777777" w:rsidR="00DE0959" w:rsidRDefault="00000000" w:rsidP="00C870A2">
      <w:pPr>
        <w:spacing w:before="240" w:after="240"/>
      </w:pPr>
      <w:r>
        <w:t>Equity injection may be in the form of rights issued to the current shareholders or by the equity investment. Rights issues would maintain the existing ownership arrangements and increase the balance sheet, unlike the case of retail capital that may be accompanied by expertise and power in governance (Patel, 2024).</w:t>
      </w:r>
    </w:p>
    <w:p w14:paraId="6C0D621B" w14:textId="77777777" w:rsidR="00DE0959" w:rsidRDefault="00000000" w:rsidP="00C870A2">
      <w:pPr>
        <w:spacing w:before="240" w:after="240"/>
      </w:pPr>
      <w:r>
        <w:t xml:space="preserve">Equity </w:t>
      </w:r>
      <w:proofErr w:type="gramStart"/>
      <w:r>
        <w:t>injection</w:t>
      </w:r>
      <w:proofErr w:type="gramEnd"/>
      <w:r>
        <w:t xml:space="preserve"> would also help a great deal to lower gearing, enhance the solvency ratios, and rebuild the lender trust. This is especially significant because the interest coverage of the firm has weakened. The use of equity financing, however, entails the short-term dilution of the shareholders and income per share. Nonetheless, dilution can be reasonable in a distressed situation, when it helps in creating long-term value and it averts insolvency (Startup Savant, 2024). The ownership dilution and financial stability trade off should then be properly controlled.</w:t>
      </w:r>
    </w:p>
    <w:p w14:paraId="5879A616" w14:textId="77777777" w:rsidR="00DE0959" w:rsidRDefault="00000000" w:rsidP="00C870A2">
      <w:pPr>
        <w:pStyle w:val="Heading3"/>
        <w:keepNext w:val="0"/>
        <w:keepLines w:val="0"/>
        <w:spacing w:before="240" w:after="40"/>
      </w:pPr>
      <w:bookmarkStart w:id="22" w:name="_tjkqi0runy96" w:colFirst="0" w:colLast="0"/>
      <w:bookmarkEnd w:id="22"/>
      <w:r>
        <w:t>4.2.3 Debt Restructuring</w:t>
      </w:r>
    </w:p>
    <w:p w14:paraId="4DE572A2" w14:textId="77777777" w:rsidR="00DE0959" w:rsidRDefault="00000000" w:rsidP="00C870A2">
      <w:pPr>
        <w:spacing w:before="240" w:after="240"/>
      </w:pPr>
      <w:r>
        <w:t xml:space="preserve">Debt restructuring involves adjusting the current liabilities to the new </w:t>
      </w:r>
      <w:proofErr w:type="gramStart"/>
      <w:r>
        <w:t>cash generating</w:t>
      </w:r>
      <w:proofErr w:type="gramEnd"/>
      <w:r>
        <w:t xml:space="preserve"> capacity of the firm. Easier access to short-term liquidity would shift maturities of existing debt to longer terms at lower interest rates and decrease the default risk. Besides, re-scheduling debt payments would also flatten cash flows, enhancing short-term financial strength.</w:t>
      </w:r>
    </w:p>
    <w:p w14:paraId="766B861E" w14:textId="77777777" w:rsidR="00DE0959" w:rsidRDefault="00000000" w:rsidP="00C870A2">
      <w:pPr>
        <w:spacing w:before="240" w:after="240"/>
      </w:pPr>
      <w:r>
        <w:t xml:space="preserve">Debt-equity conversion is more aggressive and might be necessary when lenders see a </w:t>
      </w:r>
      <w:proofErr w:type="gramStart"/>
      <w:r>
        <w:t>high-probability</w:t>
      </w:r>
      <w:proofErr w:type="gramEnd"/>
      <w:r>
        <w:t xml:space="preserve"> of default. Although this conversion decreases leverage and the payment of interest, it dilutes current </w:t>
      </w:r>
      <w:proofErr w:type="gramStart"/>
      <w:r>
        <w:t>stock holders</w:t>
      </w:r>
      <w:proofErr w:type="gramEnd"/>
      <w:r>
        <w:t xml:space="preserve"> and changes the balance of power. However, where the interest rate </w:t>
      </w:r>
      <w:r>
        <w:lastRenderedPageBreak/>
        <w:t>is high, it is crucial to restructure the debt obligations to stabilize the financial situation of the firm and re-establish operations space (Corporate Finance Institute, 2025a).</w:t>
      </w:r>
    </w:p>
    <w:p w14:paraId="160521DD" w14:textId="77777777" w:rsidR="00DE0959" w:rsidRDefault="00000000" w:rsidP="00C870A2">
      <w:pPr>
        <w:pStyle w:val="Heading3"/>
        <w:keepNext w:val="0"/>
        <w:keepLines w:val="0"/>
        <w:spacing w:before="240" w:after="40"/>
      </w:pPr>
      <w:bookmarkStart w:id="23" w:name="_3dm5bmux4uki" w:colFirst="0" w:colLast="0"/>
      <w:bookmarkEnd w:id="23"/>
      <w:r>
        <w:t>4.2.4 Merger or Strategic Alliance</w:t>
      </w:r>
    </w:p>
    <w:p w14:paraId="5DF0E397" w14:textId="77777777" w:rsidR="00DE0959" w:rsidRDefault="00000000" w:rsidP="00C870A2">
      <w:pPr>
        <w:spacing w:before="240" w:after="240"/>
      </w:pPr>
      <w:r>
        <w:t>Merger or strategic alliance has the potential of realizing operational and financial synergies. The merger with a complementary company may provide economies of scale in procurement and manufacturing along with distribution channels. Risk-sharing can be done through strategic alliances, especially in technology development or emergent markets.</w:t>
      </w:r>
    </w:p>
    <w:p w14:paraId="7D57FC8E" w14:textId="77777777" w:rsidR="00DE0959" w:rsidRDefault="00000000" w:rsidP="00C870A2">
      <w:pPr>
        <w:spacing w:before="240" w:after="240"/>
      </w:pPr>
      <w:r>
        <w:t xml:space="preserve">In the case of General Electronics, collaboration with a geographically or technologically complementary company may increase the </w:t>
      </w:r>
      <w:proofErr w:type="gramStart"/>
      <w:r>
        <w:t>innovation</w:t>
      </w:r>
      <w:proofErr w:type="gramEnd"/>
      <w:r>
        <w:t xml:space="preserve"> potential and market presence. But mergers are also associated with integration risks, culture, and possible strategic loss of independence. Thus, alliances can provide a less risky and flexible option in the short- to medium-term.</w:t>
      </w:r>
    </w:p>
    <w:p w14:paraId="3380D896" w14:textId="77777777" w:rsidR="00DE0959" w:rsidRDefault="00000000" w:rsidP="00C870A2">
      <w:pPr>
        <w:pStyle w:val="Heading2"/>
        <w:keepNext w:val="0"/>
        <w:keepLines w:val="0"/>
        <w:spacing w:before="280" w:after="80"/>
      </w:pPr>
      <w:bookmarkStart w:id="24" w:name="_3j2rvttqvu8t" w:colFirst="0" w:colLast="0"/>
      <w:bookmarkEnd w:id="24"/>
      <w:r>
        <w:t>4.3 Impact on Shareholder Value</w:t>
      </w:r>
    </w:p>
    <w:p w14:paraId="7101B5DA" w14:textId="77777777" w:rsidR="00DE0959" w:rsidRDefault="00000000" w:rsidP="00C870A2">
      <w:pPr>
        <w:spacing w:before="240" w:after="240"/>
      </w:pPr>
      <w:r>
        <w:t xml:space="preserve">Shareholder value has been bi-polar </w:t>
      </w:r>
      <w:proofErr w:type="gramStart"/>
      <w:r>
        <w:t>in regard to</w:t>
      </w:r>
      <w:proofErr w:type="gramEnd"/>
      <w:r>
        <w:t xml:space="preserve"> financial restructuring. In the short-run, equity-raising or debt-to-equity conversion dilutes the ownership and can shrink the earnings per share. Sale of assets can also decrease the size of revenues. Nevertheless, it </w:t>
      </w:r>
      <w:proofErr w:type="gramStart"/>
      <w:r>
        <w:t>has to</w:t>
      </w:r>
      <w:proofErr w:type="gramEnd"/>
      <w:r>
        <w:t xml:space="preserve"> be offset by the long run consequences of financial </w:t>
      </w:r>
      <w:proofErr w:type="spellStart"/>
      <w:r>
        <w:t>stabilisation</w:t>
      </w:r>
      <w:proofErr w:type="spellEnd"/>
      <w:r>
        <w:t xml:space="preserve"> and recovery of earnings (</w:t>
      </w:r>
      <w:proofErr w:type="spellStart"/>
      <w:r>
        <w:t>Xiuguo</w:t>
      </w:r>
      <w:proofErr w:type="spellEnd"/>
      <w:r>
        <w:t xml:space="preserve"> and </w:t>
      </w:r>
      <w:proofErr w:type="spellStart"/>
      <w:r>
        <w:t>Shengyong</w:t>
      </w:r>
      <w:proofErr w:type="spellEnd"/>
      <w:r>
        <w:t>, 2022).</w:t>
      </w:r>
    </w:p>
    <w:p w14:paraId="69AA5159" w14:textId="77777777" w:rsidR="00DE0959" w:rsidRDefault="00000000" w:rsidP="00C870A2">
      <w:pPr>
        <w:spacing w:before="240" w:after="240"/>
      </w:pPr>
      <w:r>
        <w:t>Restructuring improves the ability of a firm to generate sustainable cash flows by mitigating the risk of financial distress, reducing financing costs and refocusing their operations. Share prices can be recovered in the long run by better profitability and lower risk premiums (Aziz, Ghazal and Ansari, 2025). In terms of value-</w:t>
      </w:r>
      <w:proofErr w:type="spellStart"/>
      <w:r>
        <w:t>maximisation</w:t>
      </w:r>
      <w:proofErr w:type="spellEnd"/>
      <w:r>
        <w:t>, it is better to maintain the going concern and make recovery of earnings rather than keep ownership percentage in a financially weak firm.</w:t>
      </w:r>
    </w:p>
    <w:p w14:paraId="45FFA590" w14:textId="77777777" w:rsidR="00DE0959" w:rsidRDefault="00000000" w:rsidP="00C870A2">
      <w:pPr>
        <w:pStyle w:val="Heading2"/>
        <w:keepNext w:val="0"/>
        <w:keepLines w:val="0"/>
        <w:spacing w:before="280" w:after="80"/>
      </w:pPr>
      <w:bookmarkStart w:id="25" w:name="_eyz1zm1izxt" w:colFirst="0" w:colLast="0"/>
      <w:bookmarkEnd w:id="25"/>
      <w:r>
        <w:t>4.4 Impact on Debt Structure and Flexibility</w:t>
      </w:r>
    </w:p>
    <w:p w14:paraId="7B7F642B" w14:textId="77777777" w:rsidR="00DE0959" w:rsidRDefault="00000000" w:rsidP="00C870A2">
      <w:pPr>
        <w:spacing w:before="240" w:after="240"/>
      </w:pPr>
      <w:r>
        <w:t xml:space="preserve">Restructuring will significantly change the debt structure and cost of capital of the firm. Equity injection or selling off assets reduces the financial risk and enhances credit worthiness and future </w:t>
      </w:r>
      <w:r>
        <w:lastRenderedPageBreak/>
        <w:t xml:space="preserve">borrowing could be made cheaper. The increasing debt maturities increase </w:t>
      </w:r>
      <w:proofErr w:type="gramStart"/>
      <w:r>
        <w:t>the liquidity</w:t>
      </w:r>
      <w:proofErr w:type="gramEnd"/>
      <w:r>
        <w:t xml:space="preserve"> management and minimize refinancing risks.</w:t>
      </w:r>
    </w:p>
    <w:p w14:paraId="6132C42C" w14:textId="77777777" w:rsidR="00DE0959" w:rsidRDefault="00000000" w:rsidP="00C870A2">
      <w:pPr>
        <w:spacing w:before="240" w:after="240"/>
      </w:pPr>
      <w:r>
        <w:t>Stronger financial flexibility will enable the management to react better to market volatility, invest in innovation, and seek strategic opportunities. A more equal capital structure also gives strength during macroeconomic shocks, like rise in interest rates or fluctuation in demand (Sheng and An, 2024). Hence restructuring is eminent in the process of restoring long-term financial sustainability.</w:t>
      </w:r>
    </w:p>
    <w:p w14:paraId="739CC43E" w14:textId="77777777" w:rsidR="00DE0959" w:rsidRDefault="00000000" w:rsidP="00C870A2">
      <w:pPr>
        <w:pStyle w:val="Heading2"/>
        <w:keepNext w:val="0"/>
        <w:keepLines w:val="0"/>
        <w:spacing w:before="280" w:after="80"/>
      </w:pPr>
      <w:bookmarkStart w:id="26" w:name="_uxa9j7690bb2" w:colFirst="0" w:colLast="0"/>
      <w:bookmarkEnd w:id="26"/>
      <w:r>
        <w:t>4.5 International and Ethical Considerations</w:t>
      </w:r>
    </w:p>
    <w:p w14:paraId="60216CD1" w14:textId="77777777" w:rsidR="00DE0959" w:rsidRDefault="00000000" w:rsidP="00C870A2">
      <w:pPr>
        <w:spacing w:before="240" w:after="240"/>
      </w:pPr>
      <w:r>
        <w:t xml:space="preserve">General Electronics is a global company and so cross-border taxation, currency risk and inflation differentials </w:t>
      </w:r>
      <w:proofErr w:type="gramStart"/>
      <w:r>
        <w:t>have to</w:t>
      </w:r>
      <w:proofErr w:type="gramEnd"/>
      <w:r>
        <w:t xml:space="preserve"> be considered when restructuring. Equity injections and asset divestitures can attract tax across jurisdiction, so they need to be carefully planned </w:t>
      </w:r>
      <w:proofErr w:type="gramStart"/>
      <w:r>
        <w:t>so as to</w:t>
      </w:r>
      <w:proofErr w:type="gramEnd"/>
      <w:r>
        <w:t xml:space="preserve"> avoid value loss. The currency volatility may influence the debt service and repatriation of funds, which requires correct hedging (Reid, 2024).</w:t>
      </w:r>
    </w:p>
    <w:p w14:paraId="7D587626" w14:textId="77777777" w:rsidR="00DE0959" w:rsidRDefault="00000000" w:rsidP="00C870A2">
      <w:pPr>
        <w:spacing w:before="240" w:after="240"/>
      </w:pPr>
      <w:r>
        <w:t xml:space="preserve">Ethical issues are also critical. </w:t>
      </w:r>
      <w:proofErr w:type="spellStart"/>
      <w:r>
        <w:t>Redocclusion</w:t>
      </w:r>
      <w:proofErr w:type="spellEnd"/>
      <w:r>
        <w:t xml:space="preserve"> must be done in an open and accountable manner, with just treatment of staff, creditors and vendors. Truncation of workforce or closure of plants should be done in accordance with </w:t>
      </w:r>
      <w:proofErr w:type="spellStart"/>
      <w:r>
        <w:t>labour</w:t>
      </w:r>
      <w:proofErr w:type="spellEnd"/>
      <w:r>
        <w:t xml:space="preserve"> laws and ethics. CSR issues such as the environmental impact and community interaction are important in ensuring the stakeholder confidence and brand image are not eroded in times of overhaul of the company.</w:t>
      </w:r>
    </w:p>
    <w:p w14:paraId="45B9830B" w14:textId="77777777" w:rsidR="00DE0959" w:rsidRDefault="00000000" w:rsidP="00C870A2">
      <w:pPr>
        <w:pStyle w:val="Heading2"/>
        <w:keepNext w:val="0"/>
        <w:keepLines w:val="0"/>
        <w:spacing w:before="280" w:after="80"/>
      </w:pPr>
      <w:bookmarkStart w:id="27" w:name="_xcsynps1nmxm" w:colFirst="0" w:colLast="0"/>
      <w:bookmarkEnd w:id="27"/>
      <w:r>
        <w:t>4.6 Recommended Restructuring Strategy</w:t>
      </w:r>
    </w:p>
    <w:p w14:paraId="78E524EB" w14:textId="77777777" w:rsidR="00DE0959" w:rsidRDefault="00000000" w:rsidP="00C870A2">
      <w:pPr>
        <w:spacing w:before="240" w:after="240"/>
      </w:pPr>
      <w:r>
        <w:t>General Electronics needs to have an integrated restructuring strategy. This must consist of alternative asset divestment of non-core business, a moderate equity infusion to eliminate balance sheet weaknesses, and focused debt restructuring to lower financing costs and dilute maturities. The strategic alliance will be sought to generate more innovation and penetration without needless capital investment (Lynch, 2021).</w:t>
      </w:r>
    </w:p>
    <w:p w14:paraId="09C6491B" w14:textId="77777777" w:rsidR="00DE0959" w:rsidRDefault="00000000" w:rsidP="00C870A2">
      <w:pPr>
        <w:spacing w:before="240" w:after="240"/>
      </w:pPr>
      <w:r>
        <w:t>This moderate approach reduces the insolvency risk, enhances liquidity and solvency, and maintains the potential of long-term value creation. General Electric can stabilize its finances and make a platform to recover and grow shortly by aligning financial restructuring and operational focus with ethical responsibility.</w:t>
      </w:r>
    </w:p>
    <w:p w14:paraId="16EF3C7F" w14:textId="77777777" w:rsidR="00DE0959" w:rsidRDefault="00000000" w:rsidP="00C870A2">
      <w:pPr>
        <w:pStyle w:val="Heading1"/>
      </w:pPr>
      <w:bookmarkStart w:id="28" w:name="_d30afhhpgetn" w:colFirst="0" w:colLast="0"/>
      <w:bookmarkEnd w:id="28"/>
      <w:r>
        <w:lastRenderedPageBreak/>
        <w:t>5. Investment Appraisal and Capital Budgeting</w:t>
      </w:r>
    </w:p>
    <w:p w14:paraId="72F083A3" w14:textId="77777777" w:rsidR="00DE0959" w:rsidRDefault="00000000" w:rsidP="00C870A2">
      <w:pPr>
        <w:pStyle w:val="Heading2"/>
      </w:pPr>
      <w:bookmarkStart w:id="29" w:name="_9yre346tc5nq" w:colFirst="0" w:colLast="0"/>
      <w:bookmarkEnd w:id="29"/>
      <w:r>
        <w:t>5.1 Overview of Capital Investment Decision Context</w:t>
      </w:r>
    </w:p>
    <w:p w14:paraId="0FF70A91" w14:textId="77777777" w:rsidR="00DE0959" w:rsidRDefault="00000000" w:rsidP="00C870A2">
      <w:r>
        <w:t xml:space="preserve">The general evaluation of capital investment decisions undertaken by General Electronics is to analyze them in terms of financial distress and limited funding ability. The company has a high capital rationing limit with a limit of not more than £60 million that can be invested, this would require careful </w:t>
      </w:r>
      <w:proofErr w:type="spellStart"/>
      <w:r>
        <w:t>prioritisation</w:t>
      </w:r>
      <w:proofErr w:type="spellEnd"/>
      <w:r>
        <w:t xml:space="preserve"> of projects that will give the maximum value per unit of capital invested. Investments in this context should not just be feasible in terms of finances, but also in terms of provision of liquidity and </w:t>
      </w:r>
      <w:proofErr w:type="spellStart"/>
      <w:r>
        <w:t>stabilisation</w:t>
      </w:r>
      <w:proofErr w:type="spellEnd"/>
      <w:r>
        <w:t xml:space="preserve"> of earnings. Strategic alignment is as </w:t>
      </w:r>
      <w:proofErr w:type="gramStart"/>
      <w:r>
        <w:t>such important</w:t>
      </w:r>
      <w:proofErr w:type="gramEnd"/>
      <w:r>
        <w:t xml:space="preserve">. The projects that are proposed should complement the core competencies of the firm, add operational efficiency, or competitiveness in the long term without adding financial risk (Ghonim et al., 2020). Since profitability is low with high leverage, and projects with good cash generation, low volatility, and faster value </w:t>
      </w:r>
      <w:proofErr w:type="spellStart"/>
      <w:r>
        <w:t>realisation</w:t>
      </w:r>
      <w:proofErr w:type="spellEnd"/>
      <w:r>
        <w:t xml:space="preserve"> would be preferred to supplement the more comprehensive turnaround plan.</w:t>
      </w:r>
    </w:p>
    <w:p w14:paraId="135D0404" w14:textId="77777777" w:rsidR="00DE0959" w:rsidRDefault="00000000" w:rsidP="00C870A2">
      <w:pPr>
        <w:pStyle w:val="Heading2"/>
      </w:pPr>
      <w:bookmarkStart w:id="30" w:name="_whc2nh8ommd3" w:colFirst="0" w:colLast="0"/>
      <w:bookmarkEnd w:id="30"/>
      <w:r>
        <w:t>5.2 Investment Appraisal Techniques Explained</w:t>
      </w:r>
    </w:p>
    <w:tbl>
      <w:tblPr>
        <w:tblStyle w:val="a0"/>
        <w:tblW w:w="94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290"/>
        <w:gridCol w:w="2055"/>
        <w:gridCol w:w="1590"/>
        <w:gridCol w:w="2145"/>
        <w:gridCol w:w="2340"/>
      </w:tblGrid>
      <w:tr w:rsidR="00DE0959" w14:paraId="457CC30D" w14:textId="77777777">
        <w:trPr>
          <w:trHeight w:val="555"/>
        </w:trPr>
        <w:tc>
          <w:tcPr>
            <w:tcW w:w="1290" w:type="dxa"/>
            <w:tcBorders>
              <w:top w:val="single" w:sz="6" w:space="0" w:color="E97132"/>
              <w:left w:val="single" w:sz="6" w:space="0" w:color="E97132"/>
              <w:bottom w:val="single" w:sz="6" w:space="0" w:color="E97132"/>
              <w:right w:val="nil"/>
            </w:tcBorders>
            <w:shd w:val="clear" w:color="auto" w:fill="E97132"/>
            <w:tcMar>
              <w:top w:w="0" w:type="dxa"/>
              <w:left w:w="100" w:type="dxa"/>
              <w:bottom w:w="0" w:type="dxa"/>
              <w:right w:w="100" w:type="dxa"/>
            </w:tcMar>
          </w:tcPr>
          <w:p w14:paraId="726FCECA" w14:textId="77777777" w:rsidR="00DE0959" w:rsidRDefault="00000000" w:rsidP="00C870A2">
            <w:pPr>
              <w:spacing w:before="240" w:after="0"/>
              <w:jc w:val="center"/>
              <w:rPr>
                <w:b/>
                <w:bCs/>
                <w:color w:val="FFFFFF"/>
              </w:rPr>
            </w:pPr>
            <w:r>
              <w:rPr>
                <w:b/>
                <w:bCs/>
                <w:color w:val="FFFFFF"/>
              </w:rPr>
              <w:t>Technique</w:t>
            </w:r>
          </w:p>
        </w:tc>
        <w:tc>
          <w:tcPr>
            <w:tcW w:w="2055" w:type="dxa"/>
            <w:tcBorders>
              <w:top w:val="single" w:sz="6" w:space="0" w:color="E97132"/>
              <w:left w:val="nil"/>
              <w:bottom w:val="single" w:sz="6" w:space="0" w:color="E97132"/>
              <w:right w:val="nil"/>
            </w:tcBorders>
            <w:shd w:val="clear" w:color="auto" w:fill="E97132"/>
            <w:tcMar>
              <w:top w:w="0" w:type="dxa"/>
              <w:left w:w="100" w:type="dxa"/>
              <w:bottom w:w="0" w:type="dxa"/>
              <w:right w:w="100" w:type="dxa"/>
            </w:tcMar>
          </w:tcPr>
          <w:p w14:paraId="465D0435" w14:textId="77777777" w:rsidR="00DE0959" w:rsidRDefault="00000000" w:rsidP="00C870A2">
            <w:pPr>
              <w:spacing w:before="240" w:after="0"/>
              <w:jc w:val="center"/>
              <w:rPr>
                <w:b/>
                <w:bCs/>
                <w:color w:val="FFFFFF"/>
              </w:rPr>
            </w:pPr>
            <w:r>
              <w:rPr>
                <w:b/>
                <w:bCs/>
                <w:color w:val="FFFFFF"/>
              </w:rPr>
              <w:t>Definition</w:t>
            </w:r>
          </w:p>
        </w:tc>
        <w:tc>
          <w:tcPr>
            <w:tcW w:w="1590" w:type="dxa"/>
            <w:tcBorders>
              <w:top w:val="single" w:sz="6" w:space="0" w:color="E97132"/>
              <w:left w:val="nil"/>
              <w:bottom w:val="single" w:sz="6" w:space="0" w:color="E97132"/>
              <w:right w:val="nil"/>
            </w:tcBorders>
            <w:shd w:val="clear" w:color="auto" w:fill="E97132"/>
            <w:tcMar>
              <w:top w:w="0" w:type="dxa"/>
              <w:left w:w="100" w:type="dxa"/>
              <w:bottom w:w="0" w:type="dxa"/>
              <w:right w:w="100" w:type="dxa"/>
            </w:tcMar>
          </w:tcPr>
          <w:p w14:paraId="79774396" w14:textId="77777777" w:rsidR="00DE0959" w:rsidRDefault="00000000" w:rsidP="00C870A2">
            <w:pPr>
              <w:spacing w:before="240" w:after="0"/>
              <w:jc w:val="center"/>
              <w:rPr>
                <w:b/>
                <w:bCs/>
                <w:color w:val="FFFFFF"/>
              </w:rPr>
            </w:pPr>
            <w:r>
              <w:rPr>
                <w:b/>
                <w:bCs/>
                <w:color w:val="FFFFFF"/>
              </w:rPr>
              <w:t>Decision Rule</w:t>
            </w:r>
          </w:p>
        </w:tc>
        <w:tc>
          <w:tcPr>
            <w:tcW w:w="2145" w:type="dxa"/>
            <w:tcBorders>
              <w:top w:val="single" w:sz="6" w:space="0" w:color="E97132"/>
              <w:left w:val="nil"/>
              <w:bottom w:val="single" w:sz="6" w:space="0" w:color="E97132"/>
              <w:right w:val="nil"/>
            </w:tcBorders>
            <w:shd w:val="clear" w:color="auto" w:fill="E97132"/>
            <w:tcMar>
              <w:top w:w="0" w:type="dxa"/>
              <w:left w:w="100" w:type="dxa"/>
              <w:bottom w:w="0" w:type="dxa"/>
              <w:right w:w="100" w:type="dxa"/>
            </w:tcMar>
          </w:tcPr>
          <w:p w14:paraId="6F68C5A1" w14:textId="77777777" w:rsidR="00DE0959" w:rsidRDefault="00000000" w:rsidP="00C870A2">
            <w:pPr>
              <w:spacing w:before="240" w:after="0"/>
              <w:jc w:val="center"/>
              <w:rPr>
                <w:b/>
                <w:bCs/>
                <w:color w:val="FFFFFF"/>
              </w:rPr>
            </w:pPr>
            <w:r>
              <w:rPr>
                <w:b/>
                <w:bCs/>
                <w:color w:val="FFFFFF"/>
              </w:rPr>
              <w:t>Significance</w:t>
            </w:r>
          </w:p>
        </w:tc>
        <w:tc>
          <w:tcPr>
            <w:tcW w:w="2340" w:type="dxa"/>
            <w:tcBorders>
              <w:top w:val="single" w:sz="6" w:space="0" w:color="E97132"/>
              <w:left w:val="nil"/>
              <w:bottom w:val="single" w:sz="6" w:space="0" w:color="E97132"/>
              <w:right w:val="single" w:sz="6" w:space="0" w:color="E97132"/>
            </w:tcBorders>
            <w:shd w:val="clear" w:color="auto" w:fill="E97132"/>
            <w:tcMar>
              <w:top w:w="0" w:type="dxa"/>
              <w:left w:w="100" w:type="dxa"/>
              <w:bottom w:w="0" w:type="dxa"/>
              <w:right w:w="100" w:type="dxa"/>
            </w:tcMar>
          </w:tcPr>
          <w:p w14:paraId="2172A04F" w14:textId="77777777" w:rsidR="00DE0959" w:rsidRDefault="00000000" w:rsidP="00C870A2">
            <w:pPr>
              <w:spacing w:before="240" w:after="0"/>
              <w:jc w:val="center"/>
              <w:rPr>
                <w:b/>
                <w:bCs/>
                <w:color w:val="FFFFFF"/>
              </w:rPr>
            </w:pPr>
            <w:r>
              <w:rPr>
                <w:b/>
                <w:bCs/>
                <w:color w:val="FFFFFF"/>
              </w:rPr>
              <w:t>Limitations</w:t>
            </w:r>
          </w:p>
        </w:tc>
      </w:tr>
      <w:tr w:rsidR="00DE0959" w14:paraId="238E69EC" w14:textId="77777777">
        <w:trPr>
          <w:trHeight w:val="2190"/>
        </w:trPr>
        <w:tc>
          <w:tcPr>
            <w:tcW w:w="1290" w:type="dxa"/>
            <w:tcBorders>
              <w:top w:val="nil"/>
              <w:left w:val="single" w:sz="6" w:space="0" w:color="F1A983"/>
              <w:bottom w:val="single" w:sz="6" w:space="0" w:color="F1A983"/>
              <w:right w:val="single" w:sz="6" w:space="0" w:color="F1A983"/>
            </w:tcBorders>
            <w:shd w:val="clear" w:color="auto" w:fill="FAE2D5"/>
            <w:tcMar>
              <w:top w:w="0" w:type="dxa"/>
              <w:left w:w="100" w:type="dxa"/>
              <w:bottom w:w="0" w:type="dxa"/>
              <w:right w:w="100" w:type="dxa"/>
            </w:tcMar>
          </w:tcPr>
          <w:p w14:paraId="5E53A715" w14:textId="77777777" w:rsidR="00DE0959" w:rsidRDefault="00000000" w:rsidP="00C870A2">
            <w:pPr>
              <w:spacing w:before="240" w:after="0"/>
              <w:rPr>
                <w:b/>
                <w:bCs/>
              </w:rPr>
            </w:pPr>
            <w:r>
              <w:rPr>
                <w:b/>
                <w:bCs/>
              </w:rPr>
              <w:t>Payback Period (PBP)</w:t>
            </w:r>
          </w:p>
        </w:tc>
        <w:tc>
          <w:tcPr>
            <w:tcW w:w="2055"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4A3DB6E8" w14:textId="77777777" w:rsidR="00DE0959" w:rsidRDefault="00000000" w:rsidP="00C870A2">
            <w:pPr>
              <w:spacing w:before="240" w:after="0"/>
            </w:pPr>
            <w:r>
              <w:t>Measures the time required for a project to recover its initial investment from net cash inflows (Wall Street Prep, 2024).</w:t>
            </w:r>
          </w:p>
        </w:tc>
        <w:tc>
          <w:tcPr>
            <w:tcW w:w="1590"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3C9EB9CC" w14:textId="77777777" w:rsidR="00DE0959" w:rsidRDefault="00000000" w:rsidP="00C870A2">
            <w:pPr>
              <w:spacing w:before="240" w:after="0"/>
            </w:pPr>
            <w:r>
              <w:t>Accept projects with shorter payback periods.</w:t>
            </w:r>
          </w:p>
        </w:tc>
        <w:tc>
          <w:tcPr>
            <w:tcW w:w="2145"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304AA6F2" w14:textId="77777777" w:rsidR="00DE0959" w:rsidRDefault="00000000" w:rsidP="00C870A2">
            <w:pPr>
              <w:spacing w:before="240" w:after="0"/>
            </w:pPr>
            <w:proofErr w:type="gramStart"/>
            <w:r>
              <w:t>Useful</w:t>
            </w:r>
            <w:proofErr w:type="gramEnd"/>
            <w:r>
              <w:t xml:space="preserve"> for assessing liquidity risk and speed of cash recovery, which is critical for financially constrained firms.</w:t>
            </w:r>
          </w:p>
        </w:tc>
        <w:tc>
          <w:tcPr>
            <w:tcW w:w="2340"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3AF3519B" w14:textId="77777777" w:rsidR="00DE0959" w:rsidRDefault="00000000" w:rsidP="00C870A2">
            <w:pPr>
              <w:spacing w:before="240" w:after="0"/>
            </w:pPr>
            <w:r>
              <w:t>Ignores time value of money and cash flows after the payback point, limiting its usefulness for long-term value assessment.</w:t>
            </w:r>
          </w:p>
        </w:tc>
      </w:tr>
      <w:tr w:rsidR="00DE0959" w14:paraId="4349D513" w14:textId="77777777">
        <w:trPr>
          <w:trHeight w:val="2190"/>
        </w:trPr>
        <w:tc>
          <w:tcPr>
            <w:tcW w:w="1290" w:type="dxa"/>
            <w:tcBorders>
              <w:top w:val="nil"/>
              <w:left w:val="single" w:sz="6" w:space="0" w:color="F1A983"/>
              <w:bottom w:val="single" w:sz="6" w:space="0" w:color="F1A983"/>
              <w:right w:val="single" w:sz="6" w:space="0" w:color="F1A983"/>
            </w:tcBorders>
            <w:tcMar>
              <w:top w:w="0" w:type="dxa"/>
              <w:left w:w="100" w:type="dxa"/>
              <w:bottom w:w="0" w:type="dxa"/>
              <w:right w:w="100" w:type="dxa"/>
            </w:tcMar>
          </w:tcPr>
          <w:p w14:paraId="29824892" w14:textId="77777777" w:rsidR="00DE0959" w:rsidRDefault="00000000" w:rsidP="00C870A2">
            <w:pPr>
              <w:spacing w:before="240" w:after="0"/>
              <w:rPr>
                <w:b/>
                <w:bCs/>
              </w:rPr>
            </w:pPr>
            <w:r>
              <w:rPr>
                <w:b/>
                <w:bCs/>
              </w:rPr>
              <w:lastRenderedPageBreak/>
              <w:t>Accounting Rate of Return (ARR)</w:t>
            </w:r>
          </w:p>
        </w:tc>
        <w:tc>
          <w:tcPr>
            <w:tcW w:w="2055" w:type="dxa"/>
            <w:tcBorders>
              <w:top w:val="nil"/>
              <w:left w:val="nil"/>
              <w:bottom w:val="single" w:sz="6" w:space="0" w:color="F1A983"/>
              <w:right w:val="single" w:sz="6" w:space="0" w:color="F1A983"/>
            </w:tcBorders>
            <w:tcMar>
              <w:top w:w="0" w:type="dxa"/>
              <w:left w:w="100" w:type="dxa"/>
              <w:bottom w:w="0" w:type="dxa"/>
              <w:right w:w="100" w:type="dxa"/>
            </w:tcMar>
          </w:tcPr>
          <w:p w14:paraId="0626C79C" w14:textId="77777777" w:rsidR="00DE0959" w:rsidRDefault="00000000" w:rsidP="00C870A2">
            <w:pPr>
              <w:spacing w:before="240" w:after="0"/>
            </w:pPr>
            <w:r>
              <w:t>Calculates average annual accounting profit as a percentage of initial or average investment.</w:t>
            </w:r>
          </w:p>
        </w:tc>
        <w:tc>
          <w:tcPr>
            <w:tcW w:w="1590" w:type="dxa"/>
            <w:tcBorders>
              <w:top w:val="nil"/>
              <w:left w:val="nil"/>
              <w:bottom w:val="single" w:sz="6" w:space="0" w:color="F1A983"/>
              <w:right w:val="single" w:sz="6" w:space="0" w:color="F1A983"/>
            </w:tcBorders>
            <w:tcMar>
              <w:top w:w="0" w:type="dxa"/>
              <w:left w:w="100" w:type="dxa"/>
              <w:bottom w:w="0" w:type="dxa"/>
              <w:right w:w="100" w:type="dxa"/>
            </w:tcMar>
          </w:tcPr>
          <w:p w14:paraId="18C4527D" w14:textId="77777777" w:rsidR="00DE0959" w:rsidRDefault="00000000" w:rsidP="00C870A2">
            <w:pPr>
              <w:spacing w:before="240" w:after="0"/>
            </w:pPr>
            <w:r>
              <w:t xml:space="preserve">Accept projects with ARR above </w:t>
            </w:r>
            <w:proofErr w:type="gramStart"/>
            <w:r>
              <w:t>a target</w:t>
            </w:r>
            <w:proofErr w:type="gramEnd"/>
            <w:r>
              <w:t xml:space="preserve"> rate.</w:t>
            </w:r>
          </w:p>
        </w:tc>
        <w:tc>
          <w:tcPr>
            <w:tcW w:w="2145" w:type="dxa"/>
            <w:tcBorders>
              <w:top w:val="nil"/>
              <w:left w:val="nil"/>
              <w:bottom w:val="single" w:sz="6" w:space="0" w:color="F1A983"/>
              <w:right w:val="single" w:sz="6" w:space="0" w:color="F1A983"/>
            </w:tcBorders>
            <w:tcMar>
              <w:top w:w="0" w:type="dxa"/>
              <w:left w:w="100" w:type="dxa"/>
              <w:bottom w:w="0" w:type="dxa"/>
              <w:right w:w="100" w:type="dxa"/>
            </w:tcMar>
          </w:tcPr>
          <w:p w14:paraId="3E9D3C55" w14:textId="77777777" w:rsidR="00DE0959" w:rsidRDefault="00000000" w:rsidP="00C870A2">
            <w:pPr>
              <w:spacing w:before="240" w:after="0"/>
            </w:pPr>
            <w:r>
              <w:t>Simple to compute and aligns with accounting performance measures familiar to management (Vipond, 2025).</w:t>
            </w:r>
          </w:p>
        </w:tc>
        <w:tc>
          <w:tcPr>
            <w:tcW w:w="2340" w:type="dxa"/>
            <w:tcBorders>
              <w:top w:val="nil"/>
              <w:left w:val="nil"/>
              <w:bottom w:val="single" w:sz="6" w:space="0" w:color="F1A983"/>
              <w:right w:val="single" w:sz="6" w:space="0" w:color="F1A983"/>
            </w:tcBorders>
            <w:tcMar>
              <w:top w:w="0" w:type="dxa"/>
              <w:left w:w="100" w:type="dxa"/>
              <w:bottom w:w="0" w:type="dxa"/>
              <w:right w:w="100" w:type="dxa"/>
            </w:tcMar>
          </w:tcPr>
          <w:p w14:paraId="31206830" w14:textId="77777777" w:rsidR="00DE0959" w:rsidRDefault="00000000" w:rsidP="00C870A2">
            <w:pPr>
              <w:spacing w:before="240" w:after="0"/>
            </w:pPr>
            <w:r>
              <w:t>Based on accounting profits rather than cash flows and ignores time value of money.</w:t>
            </w:r>
          </w:p>
        </w:tc>
      </w:tr>
      <w:tr w:rsidR="00DE0959" w14:paraId="4C2FE911" w14:textId="77777777">
        <w:trPr>
          <w:trHeight w:val="2190"/>
        </w:trPr>
        <w:tc>
          <w:tcPr>
            <w:tcW w:w="1290" w:type="dxa"/>
            <w:tcBorders>
              <w:top w:val="nil"/>
              <w:left w:val="single" w:sz="6" w:space="0" w:color="F1A983"/>
              <w:bottom w:val="single" w:sz="6" w:space="0" w:color="F1A983"/>
              <w:right w:val="single" w:sz="6" w:space="0" w:color="F1A983"/>
            </w:tcBorders>
            <w:shd w:val="clear" w:color="auto" w:fill="FAE2D5"/>
            <w:tcMar>
              <w:top w:w="0" w:type="dxa"/>
              <w:left w:w="100" w:type="dxa"/>
              <w:bottom w:w="0" w:type="dxa"/>
              <w:right w:w="100" w:type="dxa"/>
            </w:tcMar>
          </w:tcPr>
          <w:p w14:paraId="0280195D" w14:textId="77777777" w:rsidR="00DE0959" w:rsidRDefault="00000000" w:rsidP="00C870A2">
            <w:pPr>
              <w:spacing w:before="240" w:after="0"/>
              <w:rPr>
                <w:b/>
                <w:bCs/>
              </w:rPr>
            </w:pPr>
            <w:r>
              <w:rPr>
                <w:b/>
                <w:bCs/>
              </w:rPr>
              <w:t>Net Present Value (NPV)</w:t>
            </w:r>
          </w:p>
        </w:tc>
        <w:tc>
          <w:tcPr>
            <w:tcW w:w="2055"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0759C800" w14:textId="77777777" w:rsidR="00DE0959" w:rsidRDefault="00000000" w:rsidP="00C870A2">
            <w:pPr>
              <w:spacing w:before="240" w:after="0"/>
            </w:pPr>
            <w:r>
              <w:t>Measures the present value of future cash inflows minus the initial investment using a discount rate.</w:t>
            </w:r>
          </w:p>
        </w:tc>
        <w:tc>
          <w:tcPr>
            <w:tcW w:w="1590"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1A5A58DC" w14:textId="77777777" w:rsidR="00DE0959" w:rsidRDefault="00000000" w:rsidP="00C870A2">
            <w:pPr>
              <w:spacing w:before="240" w:after="0"/>
            </w:pPr>
            <w:r>
              <w:t>Accept projects with positive NPV.</w:t>
            </w:r>
          </w:p>
        </w:tc>
        <w:tc>
          <w:tcPr>
            <w:tcW w:w="2145"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170FA484" w14:textId="77777777" w:rsidR="00DE0959" w:rsidRDefault="00000000" w:rsidP="00C870A2">
            <w:pPr>
              <w:spacing w:before="240" w:after="0"/>
            </w:pPr>
            <w:proofErr w:type="gramStart"/>
            <w:r>
              <w:t>Considered</w:t>
            </w:r>
            <w:proofErr w:type="gramEnd"/>
            <w:r>
              <w:t xml:space="preserve"> the most reliable method as it measures absolute value creation and incorporates time value of money.</w:t>
            </w:r>
          </w:p>
        </w:tc>
        <w:tc>
          <w:tcPr>
            <w:tcW w:w="2340"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4E2713D0" w14:textId="77777777" w:rsidR="00DE0959" w:rsidRDefault="00000000" w:rsidP="00C870A2">
            <w:pPr>
              <w:spacing w:before="240" w:after="0"/>
            </w:pPr>
            <w:r>
              <w:t>Sensitive to discount rate assumptions and forecast accuracy.</w:t>
            </w:r>
          </w:p>
        </w:tc>
      </w:tr>
      <w:tr w:rsidR="00DE0959" w14:paraId="312F88E3" w14:textId="77777777">
        <w:trPr>
          <w:trHeight w:val="1650"/>
        </w:trPr>
        <w:tc>
          <w:tcPr>
            <w:tcW w:w="1290" w:type="dxa"/>
            <w:tcBorders>
              <w:top w:val="nil"/>
              <w:left w:val="single" w:sz="6" w:space="0" w:color="F1A983"/>
              <w:bottom w:val="single" w:sz="6" w:space="0" w:color="F1A983"/>
              <w:right w:val="single" w:sz="6" w:space="0" w:color="F1A983"/>
            </w:tcBorders>
            <w:tcMar>
              <w:top w:w="0" w:type="dxa"/>
              <w:left w:w="100" w:type="dxa"/>
              <w:bottom w:w="0" w:type="dxa"/>
              <w:right w:w="100" w:type="dxa"/>
            </w:tcMar>
          </w:tcPr>
          <w:p w14:paraId="650D12E1" w14:textId="77777777" w:rsidR="00DE0959" w:rsidRDefault="00000000" w:rsidP="00C870A2">
            <w:pPr>
              <w:spacing w:before="240" w:after="0"/>
              <w:rPr>
                <w:b/>
                <w:bCs/>
              </w:rPr>
            </w:pPr>
            <w:r>
              <w:rPr>
                <w:b/>
                <w:bCs/>
              </w:rPr>
              <w:t>Profitability Index (PI)</w:t>
            </w:r>
          </w:p>
        </w:tc>
        <w:tc>
          <w:tcPr>
            <w:tcW w:w="2055" w:type="dxa"/>
            <w:tcBorders>
              <w:top w:val="nil"/>
              <w:left w:val="nil"/>
              <w:bottom w:val="single" w:sz="6" w:space="0" w:color="F1A983"/>
              <w:right w:val="single" w:sz="6" w:space="0" w:color="F1A983"/>
            </w:tcBorders>
            <w:tcMar>
              <w:top w:w="0" w:type="dxa"/>
              <w:left w:w="100" w:type="dxa"/>
              <w:bottom w:w="0" w:type="dxa"/>
              <w:right w:w="100" w:type="dxa"/>
            </w:tcMar>
          </w:tcPr>
          <w:p w14:paraId="419A3C8C" w14:textId="77777777" w:rsidR="00DE0959" w:rsidRDefault="00000000" w:rsidP="00C870A2">
            <w:pPr>
              <w:spacing w:before="240" w:after="0"/>
            </w:pPr>
            <w:r>
              <w:t>Ratio of present value of cash inflows to initial investment.</w:t>
            </w:r>
          </w:p>
        </w:tc>
        <w:tc>
          <w:tcPr>
            <w:tcW w:w="1590" w:type="dxa"/>
            <w:tcBorders>
              <w:top w:val="nil"/>
              <w:left w:val="nil"/>
              <w:bottom w:val="single" w:sz="6" w:space="0" w:color="F1A983"/>
              <w:right w:val="single" w:sz="6" w:space="0" w:color="F1A983"/>
            </w:tcBorders>
            <w:tcMar>
              <w:top w:w="0" w:type="dxa"/>
              <w:left w:w="100" w:type="dxa"/>
              <w:bottom w:w="0" w:type="dxa"/>
              <w:right w:w="100" w:type="dxa"/>
            </w:tcMar>
          </w:tcPr>
          <w:p w14:paraId="55119588" w14:textId="77777777" w:rsidR="00DE0959" w:rsidRDefault="00000000" w:rsidP="00C870A2">
            <w:pPr>
              <w:spacing w:before="240" w:after="0"/>
            </w:pPr>
            <w:r>
              <w:t>Accept projects with PI greater than 1.</w:t>
            </w:r>
          </w:p>
        </w:tc>
        <w:tc>
          <w:tcPr>
            <w:tcW w:w="2145" w:type="dxa"/>
            <w:tcBorders>
              <w:top w:val="nil"/>
              <w:left w:val="nil"/>
              <w:bottom w:val="single" w:sz="6" w:space="0" w:color="F1A983"/>
              <w:right w:val="single" w:sz="6" w:space="0" w:color="F1A983"/>
            </w:tcBorders>
            <w:tcMar>
              <w:top w:w="0" w:type="dxa"/>
              <w:left w:w="100" w:type="dxa"/>
              <w:bottom w:w="0" w:type="dxa"/>
              <w:right w:w="100" w:type="dxa"/>
            </w:tcMar>
          </w:tcPr>
          <w:p w14:paraId="1EA277F9" w14:textId="77777777" w:rsidR="00DE0959" w:rsidRDefault="00000000" w:rsidP="00C870A2">
            <w:pPr>
              <w:spacing w:before="240" w:after="0"/>
            </w:pPr>
            <w:r>
              <w:t>Particularly useful under capital rationing to rank projects by value per pound invested.</w:t>
            </w:r>
          </w:p>
        </w:tc>
        <w:tc>
          <w:tcPr>
            <w:tcW w:w="2340" w:type="dxa"/>
            <w:tcBorders>
              <w:top w:val="nil"/>
              <w:left w:val="nil"/>
              <w:bottom w:val="single" w:sz="6" w:space="0" w:color="F1A983"/>
              <w:right w:val="single" w:sz="6" w:space="0" w:color="F1A983"/>
            </w:tcBorders>
            <w:tcMar>
              <w:top w:w="0" w:type="dxa"/>
              <w:left w:w="100" w:type="dxa"/>
              <w:bottom w:w="0" w:type="dxa"/>
              <w:right w:w="100" w:type="dxa"/>
            </w:tcMar>
          </w:tcPr>
          <w:p w14:paraId="59E13EB5" w14:textId="77777777" w:rsidR="00DE0959" w:rsidRDefault="00000000" w:rsidP="00C870A2">
            <w:pPr>
              <w:spacing w:before="240" w:after="0"/>
            </w:pPr>
            <w:r>
              <w:t>Can mis-rank mutually exclusive projects of different scales (Kitov, 2024).</w:t>
            </w:r>
          </w:p>
        </w:tc>
      </w:tr>
      <w:tr w:rsidR="00DE0959" w14:paraId="1927113F" w14:textId="77777777">
        <w:trPr>
          <w:trHeight w:val="1650"/>
        </w:trPr>
        <w:tc>
          <w:tcPr>
            <w:tcW w:w="1290" w:type="dxa"/>
            <w:tcBorders>
              <w:top w:val="nil"/>
              <w:left w:val="single" w:sz="6" w:space="0" w:color="F1A983"/>
              <w:bottom w:val="single" w:sz="6" w:space="0" w:color="F1A983"/>
              <w:right w:val="single" w:sz="6" w:space="0" w:color="F1A983"/>
            </w:tcBorders>
            <w:shd w:val="clear" w:color="auto" w:fill="FAE2D5"/>
            <w:tcMar>
              <w:top w:w="0" w:type="dxa"/>
              <w:left w:w="100" w:type="dxa"/>
              <w:bottom w:w="0" w:type="dxa"/>
              <w:right w:w="100" w:type="dxa"/>
            </w:tcMar>
          </w:tcPr>
          <w:p w14:paraId="07A32BDC" w14:textId="77777777" w:rsidR="00DE0959" w:rsidRDefault="00000000" w:rsidP="00C870A2">
            <w:pPr>
              <w:spacing w:before="240" w:after="0"/>
              <w:rPr>
                <w:b/>
                <w:bCs/>
              </w:rPr>
            </w:pPr>
            <w:r>
              <w:rPr>
                <w:b/>
                <w:bCs/>
              </w:rPr>
              <w:t>Internal Rate of Return (IRR)</w:t>
            </w:r>
          </w:p>
        </w:tc>
        <w:tc>
          <w:tcPr>
            <w:tcW w:w="2055"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19D63DAA" w14:textId="77777777" w:rsidR="00DE0959" w:rsidRDefault="00000000" w:rsidP="00C870A2">
            <w:pPr>
              <w:spacing w:before="240" w:after="0"/>
            </w:pPr>
            <w:r>
              <w:t>The discount rate at which NPV equals zero (Singhal, 2024).</w:t>
            </w:r>
          </w:p>
        </w:tc>
        <w:tc>
          <w:tcPr>
            <w:tcW w:w="1590"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4B0852B6" w14:textId="77777777" w:rsidR="00DE0959" w:rsidRDefault="00000000" w:rsidP="00C870A2">
            <w:pPr>
              <w:spacing w:before="240" w:after="0"/>
            </w:pPr>
            <w:r>
              <w:t>Accept projects where IRR exceeds the cost of capital.</w:t>
            </w:r>
          </w:p>
        </w:tc>
        <w:tc>
          <w:tcPr>
            <w:tcW w:w="2145"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1959F38D" w14:textId="77777777" w:rsidR="00DE0959" w:rsidRDefault="00000000" w:rsidP="00C870A2">
            <w:pPr>
              <w:spacing w:before="240" w:after="0"/>
            </w:pPr>
            <w:r>
              <w:t>Intuitive and widely understood measure of project return.</w:t>
            </w:r>
          </w:p>
        </w:tc>
        <w:tc>
          <w:tcPr>
            <w:tcW w:w="2340" w:type="dxa"/>
            <w:tcBorders>
              <w:top w:val="nil"/>
              <w:left w:val="nil"/>
              <w:bottom w:val="single" w:sz="6" w:space="0" w:color="F1A983"/>
              <w:right w:val="single" w:sz="6" w:space="0" w:color="F1A983"/>
            </w:tcBorders>
            <w:shd w:val="clear" w:color="auto" w:fill="FAE2D5"/>
            <w:tcMar>
              <w:top w:w="0" w:type="dxa"/>
              <w:left w:w="100" w:type="dxa"/>
              <w:bottom w:w="0" w:type="dxa"/>
              <w:right w:w="100" w:type="dxa"/>
            </w:tcMar>
          </w:tcPr>
          <w:p w14:paraId="2AE11D20" w14:textId="77777777" w:rsidR="00DE0959" w:rsidRDefault="00000000" w:rsidP="00C870A2">
            <w:pPr>
              <w:spacing w:before="240" w:after="0"/>
            </w:pPr>
            <w:r>
              <w:t>May give misleading results for non-conventional cash flows or mutually exclusive projects.</w:t>
            </w:r>
          </w:p>
        </w:tc>
      </w:tr>
    </w:tbl>
    <w:p w14:paraId="0ACD4F58" w14:textId="77777777" w:rsidR="00DE0959" w:rsidRDefault="00DE0959" w:rsidP="00C870A2"/>
    <w:p w14:paraId="016991F4" w14:textId="77777777" w:rsidR="00DE0959" w:rsidRDefault="00000000" w:rsidP="00C870A2">
      <w:pPr>
        <w:pStyle w:val="Heading2"/>
      </w:pPr>
      <w:bookmarkStart w:id="31" w:name="_hj1h8bwgi9xr" w:colFirst="0" w:colLast="0"/>
      <w:bookmarkEnd w:id="31"/>
      <w:r>
        <w:lastRenderedPageBreak/>
        <w:t xml:space="preserve">5.3 Project </w:t>
      </w:r>
      <w:proofErr w:type="gramStart"/>
      <w:r>
        <w:t>A</w:t>
      </w:r>
      <w:proofErr w:type="gramEnd"/>
      <w:r>
        <w:t xml:space="preserve"> Appraisal</w:t>
      </w:r>
    </w:p>
    <w:p w14:paraId="32C9114E" w14:textId="5DAE90C1" w:rsidR="00B463B7" w:rsidRPr="00B463B7" w:rsidRDefault="00B463B7" w:rsidP="00C870A2">
      <w:pPr>
        <w:jc w:val="center"/>
      </w:pPr>
      <w:r w:rsidRPr="00B463B7">
        <w:rPr>
          <w:noProof/>
        </w:rPr>
        <w:drawing>
          <wp:inline distT="0" distB="0" distL="0" distR="0" wp14:anchorId="76B1AC64" wp14:editId="06C20E63">
            <wp:extent cx="5227320" cy="2011680"/>
            <wp:effectExtent l="0" t="0" r="0" b="7620"/>
            <wp:docPr id="12399187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27320" cy="2011680"/>
                    </a:xfrm>
                    <a:prstGeom prst="rect">
                      <a:avLst/>
                    </a:prstGeom>
                    <a:noFill/>
                    <a:ln>
                      <a:noFill/>
                    </a:ln>
                  </pic:spPr>
                </pic:pic>
              </a:graphicData>
            </a:graphic>
          </wp:inline>
        </w:drawing>
      </w:r>
    </w:p>
    <w:p w14:paraId="4A10ECD8" w14:textId="77777777" w:rsidR="00DE0959" w:rsidRDefault="00000000" w:rsidP="00C870A2">
      <w:pPr>
        <w:jc w:val="center"/>
        <w:rPr>
          <w:b/>
          <w:bCs/>
        </w:rPr>
      </w:pPr>
      <w:r>
        <w:rPr>
          <w:b/>
          <w:bCs/>
        </w:rPr>
        <w:t>Figure 9: Payback period for Project A</w:t>
      </w:r>
    </w:p>
    <w:p w14:paraId="065B04F2" w14:textId="77777777" w:rsidR="00DE0959" w:rsidRDefault="00000000" w:rsidP="00C870A2">
      <w:r>
        <w:t xml:space="preserve">Project A is characterized by an initial investment amounting to 40 million pounds and cash inflows, which are not even, but relatively stable </w:t>
      </w:r>
      <w:proofErr w:type="gramStart"/>
      <w:r>
        <w:t>in the course of</w:t>
      </w:r>
      <w:proofErr w:type="gramEnd"/>
      <w:r>
        <w:t xml:space="preserve"> five years. The payback period can be estimated as 3.4 </w:t>
      </w:r>
      <w:proofErr w:type="gramStart"/>
      <w:r>
        <w:t>years</w:t>
      </w:r>
      <w:proofErr w:type="gramEnd"/>
      <w:r>
        <w:t xml:space="preserve"> which is not bad considering the liquidity limitation the firm has and it signifies a moderate pace of capital recovery. Short term </w:t>
      </w:r>
      <w:proofErr w:type="gramStart"/>
      <w:r>
        <w:t>risk wise</w:t>
      </w:r>
      <w:proofErr w:type="gramEnd"/>
      <w:r>
        <w:t xml:space="preserve"> this makes Project A </w:t>
      </w:r>
      <w:proofErr w:type="gramStart"/>
      <w:r>
        <w:t>fairly appealing</w:t>
      </w:r>
      <w:proofErr w:type="gramEnd"/>
      <w:r>
        <w:t xml:space="preserve"> though not one that provides instant cash recuperation.</w:t>
      </w:r>
    </w:p>
    <w:p w14:paraId="0C0C1708" w14:textId="3BFAF56C" w:rsidR="00B463B7" w:rsidRDefault="00B463B7" w:rsidP="00C870A2">
      <w:pPr>
        <w:jc w:val="center"/>
      </w:pPr>
      <w:r w:rsidRPr="00B463B7">
        <w:rPr>
          <w:noProof/>
        </w:rPr>
        <w:drawing>
          <wp:inline distT="0" distB="0" distL="0" distR="0" wp14:anchorId="29C5E24F" wp14:editId="59C37F64">
            <wp:extent cx="4191000" cy="2827020"/>
            <wp:effectExtent l="0" t="0" r="0" b="0"/>
            <wp:docPr id="109572758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91000" cy="2827020"/>
                    </a:xfrm>
                    <a:prstGeom prst="rect">
                      <a:avLst/>
                    </a:prstGeom>
                    <a:noFill/>
                    <a:ln>
                      <a:noFill/>
                    </a:ln>
                  </pic:spPr>
                </pic:pic>
              </a:graphicData>
            </a:graphic>
          </wp:inline>
        </w:drawing>
      </w:r>
    </w:p>
    <w:p w14:paraId="6CD97B1F" w14:textId="77777777" w:rsidR="00DE0959" w:rsidRDefault="00000000" w:rsidP="00C870A2">
      <w:pPr>
        <w:jc w:val="center"/>
        <w:rPr>
          <w:b/>
          <w:bCs/>
        </w:rPr>
      </w:pPr>
      <w:r>
        <w:rPr>
          <w:b/>
          <w:bCs/>
        </w:rPr>
        <w:t>Figure 10: Accounting Rate of Return (ARR) for Project A</w:t>
      </w:r>
    </w:p>
    <w:p w14:paraId="6E5551D7" w14:textId="77777777" w:rsidR="00DE0959" w:rsidRDefault="00000000" w:rsidP="00C870A2">
      <w:r>
        <w:lastRenderedPageBreak/>
        <w:t>Accounting Rate of Return (ARR) implies a low level of profitability, as the annual cash inflows are average, namely, 10.8 million pounds as compared to straight-line depreciation. Although ARR is a positive indicator, it is a secondary measure which cannot be as effective since it uses accounting profits as data instead of cash flows (</w:t>
      </w:r>
      <w:proofErr w:type="spellStart"/>
      <w:r>
        <w:t>AnalystPrep</w:t>
      </w:r>
      <w:proofErr w:type="spellEnd"/>
      <w:r>
        <w:t>, 2023).</w:t>
      </w:r>
    </w:p>
    <w:p w14:paraId="6C2B401A" w14:textId="1C8B104C" w:rsidR="00B463B7" w:rsidRDefault="00B463B7" w:rsidP="00C870A2">
      <w:pPr>
        <w:jc w:val="center"/>
      </w:pPr>
      <w:r w:rsidRPr="00B463B7">
        <w:rPr>
          <w:noProof/>
        </w:rPr>
        <w:drawing>
          <wp:inline distT="0" distB="0" distL="0" distR="0" wp14:anchorId="70C65574" wp14:editId="5C03E593">
            <wp:extent cx="5547360" cy="2217420"/>
            <wp:effectExtent l="0" t="0" r="0" b="0"/>
            <wp:docPr id="136318069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47360" cy="2217420"/>
                    </a:xfrm>
                    <a:prstGeom prst="rect">
                      <a:avLst/>
                    </a:prstGeom>
                    <a:noFill/>
                    <a:ln>
                      <a:noFill/>
                    </a:ln>
                  </pic:spPr>
                </pic:pic>
              </a:graphicData>
            </a:graphic>
          </wp:inline>
        </w:drawing>
      </w:r>
    </w:p>
    <w:p w14:paraId="5A318F6D" w14:textId="77777777" w:rsidR="00DE0959" w:rsidRDefault="00000000" w:rsidP="00C870A2">
      <w:pPr>
        <w:jc w:val="center"/>
        <w:rPr>
          <w:b/>
          <w:bCs/>
        </w:rPr>
      </w:pPr>
      <w:r>
        <w:rPr>
          <w:b/>
          <w:bCs/>
        </w:rPr>
        <w:t>Figure 11: Profitability Ratio for Project A</w:t>
      </w:r>
    </w:p>
    <w:p w14:paraId="13486A08" w14:textId="3A55ACE0" w:rsidR="00B463B7" w:rsidRDefault="00B463B7" w:rsidP="00C870A2">
      <w:pPr>
        <w:jc w:val="center"/>
        <w:rPr>
          <w:b/>
          <w:bCs/>
        </w:rPr>
      </w:pPr>
      <w:r w:rsidRPr="00B463B7">
        <w:rPr>
          <w:noProof/>
        </w:rPr>
        <w:drawing>
          <wp:inline distT="0" distB="0" distL="0" distR="0" wp14:anchorId="21ED3E27" wp14:editId="0681BDA9">
            <wp:extent cx="5547360" cy="2217420"/>
            <wp:effectExtent l="0" t="0" r="0" b="0"/>
            <wp:docPr id="15126258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47360" cy="2217420"/>
                    </a:xfrm>
                    <a:prstGeom prst="rect">
                      <a:avLst/>
                    </a:prstGeom>
                    <a:noFill/>
                    <a:ln>
                      <a:noFill/>
                    </a:ln>
                  </pic:spPr>
                </pic:pic>
              </a:graphicData>
            </a:graphic>
          </wp:inline>
        </w:drawing>
      </w:r>
    </w:p>
    <w:p w14:paraId="3D53BA56" w14:textId="1B46E87A" w:rsidR="00B463B7" w:rsidRDefault="00B463B7" w:rsidP="00C870A2">
      <w:pPr>
        <w:jc w:val="center"/>
        <w:rPr>
          <w:b/>
          <w:bCs/>
        </w:rPr>
      </w:pPr>
      <w:r w:rsidRPr="00B463B7">
        <w:rPr>
          <w:noProof/>
        </w:rPr>
        <w:lastRenderedPageBreak/>
        <w:drawing>
          <wp:inline distT="0" distB="0" distL="0" distR="0" wp14:anchorId="2952F8DB" wp14:editId="0709BA90">
            <wp:extent cx="2689860" cy="2011680"/>
            <wp:effectExtent l="0" t="0" r="0" b="7620"/>
            <wp:docPr id="185845566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9860" cy="2011680"/>
                    </a:xfrm>
                    <a:prstGeom prst="rect">
                      <a:avLst/>
                    </a:prstGeom>
                    <a:noFill/>
                    <a:ln>
                      <a:noFill/>
                    </a:ln>
                  </pic:spPr>
                </pic:pic>
              </a:graphicData>
            </a:graphic>
          </wp:inline>
        </w:drawing>
      </w:r>
    </w:p>
    <w:p w14:paraId="3A583F36" w14:textId="35993700" w:rsidR="00DE0959" w:rsidRDefault="00000000" w:rsidP="00C870A2">
      <w:pPr>
        <w:jc w:val="center"/>
        <w:rPr>
          <w:b/>
          <w:bCs/>
        </w:rPr>
      </w:pPr>
      <w:r>
        <w:rPr>
          <w:b/>
          <w:bCs/>
        </w:rPr>
        <w:t xml:space="preserve">Figure 12: </w:t>
      </w:r>
      <w:r w:rsidR="00B463B7">
        <w:rPr>
          <w:b/>
          <w:bCs/>
        </w:rPr>
        <w:t xml:space="preserve">NPV &amp; </w:t>
      </w:r>
      <w:r>
        <w:rPr>
          <w:b/>
          <w:bCs/>
        </w:rPr>
        <w:t>IRR for Project A</w:t>
      </w:r>
    </w:p>
    <w:p w14:paraId="667DC2B2" w14:textId="77777777" w:rsidR="00DE0959" w:rsidRDefault="00000000" w:rsidP="00C870A2">
      <w:r>
        <w:t xml:space="preserve">The discounting of project A by the discounting rate of 10 percent will give an NPV of 1.32 million which means that the project will contribute a marginal value to the firm. The Profitability Index (PI) of 1.03 also justifies the creation of value, albeit </w:t>
      </w:r>
      <w:proofErr w:type="gramStart"/>
      <w:r>
        <w:t>in</w:t>
      </w:r>
      <w:proofErr w:type="gramEnd"/>
      <w:r>
        <w:t xml:space="preserve"> a very low degree, which is significant in case of capital rationing. Internal rate of return (IRR) of 11.33 is greater than the cost of capital of the firm, which justifies the acceptance of the project, </w:t>
      </w:r>
      <w:proofErr w:type="gramStart"/>
      <w:r>
        <w:t>on the basis of</w:t>
      </w:r>
      <w:proofErr w:type="gramEnd"/>
      <w:r>
        <w:t xml:space="preserve"> returns.</w:t>
      </w:r>
    </w:p>
    <w:p w14:paraId="01A31CD5" w14:textId="77777777" w:rsidR="00DE0959" w:rsidRDefault="00000000" w:rsidP="00C870A2">
      <w:pPr>
        <w:pStyle w:val="Heading2"/>
      </w:pPr>
      <w:bookmarkStart w:id="32" w:name="_vnc3wnjqkj29" w:colFirst="0" w:colLast="0"/>
      <w:bookmarkEnd w:id="32"/>
      <w:r>
        <w:t>5.4 Project B Appraisal</w:t>
      </w:r>
    </w:p>
    <w:p w14:paraId="6CDEC10B" w14:textId="33B576F2" w:rsidR="00B463B7" w:rsidRPr="00B463B7" w:rsidRDefault="00B463B7" w:rsidP="00C870A2">
      <w:pPr>
        <w:jc w:val="center"/>
      </w:pPr>
      <w:r w:rsidRPr="00B463B7">
        <w:rPr>
          <w:noProof/>
        </w:rPr>
        <w:drawing>
          <wp:inline distT="0" distB="0" distL="0" distR="0" wp14:anchorId="0664A44F" wp14:editId="354A0D27">
            <wp:extent cx="5943600" cy="1496695"/>
            <wp:effectExtent l="0" t="0" r="0" b="8255"/>
            <wp:docPr id="18275223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1496695"/>
                    </a:xfrm>
                    <a:prstGeom prst="rect">
                      <a:avLst/>
                    </a:prstGeom>
                    <a:noFill/>
                    <a:ln>
                      <a:noFill/>
                    </a:ln>
                  </pic:spPr>
                </pic:pic>
              </a:graphicData>
            </a:graphic>
          </wp:inline>
        </w:drawing>
      </w:r>
    </w:p>
    <w:p w14:paraId="6995B5A6" w14:textId="77777777" w:rsidR="00DE0959" w:rsidRDefault="00000000" w:rsidP="00C870A2">
      <w:pPr>
        <w:jc w:val="center"/>
      </w:pPr>
      <w:r>
        <w:rPr>
          <w:b/>
          <w:bCs/>
        </w:rPr>
        <w:t>Figure 13: Payback period for Project B</w:t>
      </w:r>
    </w:p>
    <w:p w14:paraId="2F6689D5" w14:textId="77777777" w:rsidR="00DE0959" w:rsidRDefault="00000000" w:rsidP="00C870A2">
      <w:r>
        <w:t>Project B is expected to be initially invested at 30 million pounds with a constant cash inflow of 6 million every year in 5 years. The payback period is 5.0 years, which implies that this project can pay back at the end of the economic life. Liquidity wise, this does not augur well with General Electronics, as it has limited cash reserves and requires more capital as quick income to sustain its short-term financial stability.</w:t>
      </w:r>
    </w:p>
    <w:p w14:paraId="6E0F313D" w14:textId="084C37C3" w:rsidR="00B463B7" w:rsidRDefault="00B463B7" w:rsidP="00C870A2">
      <w:pPr>
        <w:jc w:val="center"/>
      </w:pPr>
      <w:r w:rsidRPr="00B463B7">
        <w:rPr>
          <w:noProof/>
        </w:rPr>
        <w:lastRenderedPageBreak/>
        <w:drawing>
          <wp:inline distT="0" distB="0" distL="0" distR="0" wp14:anchorId="2D2CE611" wp14:editId="7469576F">
            <wp:extent cx="3741420" cy="2827020"/>
            <wp:effectExtent l="0" t="0" r="0" b="0"/>
            <wp:docPr id="160818669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41420" cy="2827020"/>
                    </a:xfrm>
                    <a:prstGeom prst="rect">
                      <a:avLst/>
                    </a:prstGeom>
                    <a:noFill/>
                    <a:ln>
                      <a:noFill/>
                    </a:ln>
                  </pic:spPr>
                </pic:pic>
              </a:graphicData>
            </a:graphic>
          </wp:inline>
        </w:drawing>
      </w:r>
    </w:p>
    <w:p w14:paraId="0BC27E3C" w14:textId="77777777" w:rsidR="00DE0959" w:rsidRDefault="00000000" w:rsidP="00C870A2">
      <w:pPr>
        <w:jc w:val="center"/>
      </w:pPr>
      <w:r>
        <w:rPr>
          <w:b/>
          <w:bCs/>
        </w:rPr>
        <w:t>Figure 14: Accounting Rate of Return (ARR) for Project B</w:t>
      </w:r>
    </w:p>
    <w:p w14:paraId="3F716CB5" w14:textId="77777777" w:rsidR="00DE0959" w:rsidRDefault="00000000" w:rsidP="00C870A2">
      <w:r>
        <w:t xml:space="preserve">The Accounting Rate of Return (ARR) equals </w:t>
      </w:r>
      <w:proofErr w:type="gramStart"/>
      <w:r>
        <w:t>0 which</w:t>
      </w:r>
      <w:proofErr w:type="gramEnd"/>
      <w:r>
        <w:t xml:space="preserve"> shows that average accounting profits are entirely covered by depreciation. This means that Project B does not improve reported profitability on an accounting basis and thus has little assistance in earnings recovery.</w:t>
      </w:r>
    </w:p>
    <w:p w14:paraId="59E558B7" w14:textId="203FA67F" w:rsidR="00B463B7" w:rsidRDefault="00B463B7" w:rsidP="00C870A2">
      <w:pPr>
        <w:jc w:val="center"/>
      </w:pPr>
      <w:r w:rsidRPr="00B463B7">
        <w:rPr>
          <w:noProof/>
        </w:rPr>
        <w:drawing>
          <wp:inline distT="0" distB="0" distL="0" distR="0" wp14:anchorId="61DC1655" wp14:editId="3BAE13F0">
            <wp:extent cx="4328160" cy="2423160"/>
            <wp:effectExtent l="0" t="0" r="0" b="0"/>
            <wp:docPr id="97868313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28160" cy="2423160"/>
                    </a:xfrm>
                    <a:prstGeom prst="rect">
                      <a:avLst/>
                    </a:prstGeom>
                    <a:noFill/>
                    <a:ln>
                      <a:noFill/>
                    </a:ln>
                  </pic:spPr>
                </pic:pic>
              </a:graphicData>
            </a:graphic>
          </wp:inline>
        </w:drawing>
      </w:r>
    </w:p>
    <w:p w14:paraId="7D643C55" w14:textId="77777777" w:rsidR="00DE0959" w:rsidRDefault="00000000" w:rsidP="00C870A2">
      <w:pPr>
        <w:jc w:val="center"/>
        <w:rPr>
          <w:b/>
          <w:bCs/>
        </w:rPr>
      </w:pPr>
      <w:r>
        <w:rPr>
          <w:b/>
          <w:bCs/>
        </w:rPr>
        <w:t>Figure 15: Profitability Ratio for Project B</w:t>
      </w:r>
    </w:p>
    <w:p w14:paraId="56956AF4" w14:textId="42FA1153" w:rsidR="00B463B7" w:rsidRDefault="00B463B7" w:rsidP="00C870A2">
      <w:pPr>
        <w:jc w:val="center"/>
        <w:rPr>
          <w:b/>
          <w:bCs/>
        </w:rPr>
      </w:pPr>
      <w:r w:rsidRPr="00B463B7">
        <w:rPr>
          <w:noProof/>
        </w:rPr>
        <w:lastRenderedPageBreak/>
        <w:drawing>
          <wp:inline distT="0" distB="0" distL="0" distR="0" wp14:anchorId="40CAB5F7" wp14:editId="6618080F">
            <wp:extent cx="5280660" cy="2217420"/>
            <wp:effectExtent l="0" t="0" r="0" b="0"/>
            <wp:docPr id="71392868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80660" cy="2217420"/>
                    </a:xfrm>
                    <a:prstGeom prst="rect">
                      <a:avLst/>
                    </a:prstGeom>
                    <a:noFill/>
                    <a:ln>
                      <a:noFill/>
                    </a:ln>
                  </pic:spPr>
                </pic:pic>
              </a:graphicData>
            </a:graphic>
          </wp:inline>
        </w:drawing>
      </w:r>
    </w:p>
    <w:p w14:paraId="1625B695" w14:textId="6CAA7486" w:rsidR="00B463B7" w:rsidRDefault="00B463B7" w:rsidP="00C870A2">
      <w:pPr>
        <w:jc w:val="center"/>
        <w:rPr>
          <w:b/>
          <w:bCs/>
        </w:rPr>
      </w:pPr>
      <w:r w:rsidRPr="00B463B7">
        <w:rPr>
          <w:noProof/>
        </w:rPr>
        <w:drawing>
          <wp:inline distT="0" distB="0" distL="0" distR="0" wp14:anchorId="78850B13" wp14:editId="68D2739E">
            <wp:extent cx="2689860" cy="2011680"/>
            <wp:effectExtent l="0" t="0" r="0" b="7620"/>
            <wp:docPr id="149903339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89860" cy="2011680"/>
                    </a:xfrm>
                    <a:prstGeom prst="rect">
                      <a:avLst/>
                    </a:prstGeom>
                    <a:noFill/>
                    <a:ln>
                      <a:noFill/>
                    </a:ln>
                  </pic:spPr>
                </pic:pic>
              </a:graphicData>
            </a:graphic>
          </wp:inline>
        </w:drawing>
      </w:r>
    </w:p>
    <w:p w14:paraId="096B8E41" w14:textId="01A19E02" w:rsidR="00DE0959" w:rsidRDefault="00000000" w:rsidP="00C870A2">
      <w:pPr>
        <w:jc w:val="center"/>
      </w:pPr>
      <w:r>
        <w:rPr>
          <w:b/>
          <w:bCs/>
        </w:rPr>
        <w:t xml:space="preserve">Figure 16: </w:t>
      </w:r>
      <w:r w:rsidR="00B463B7">
        <w:rPr>
          <w:b/>
          <w:bCs/>
        </w:rPr>
        <w:t xml:space="preserve">NPV &amp; </w:t>
      </w:r>
      <w:r>
        <w:rPr>
          <w:b/>
          <w:bCs/>
        </w:rPr>
        <w:t>IRR for Project B</w:t>
      </w:r>
    </w:p>
    <w:p w14:paraId="7E3D1360" w14:textId="77777777" w:rsidR="00DE0959" w:rsidRDefault="00000000" w:rsidP="00C870A2">
      <w:r>
        <w:t xml:space="preserve">The Net Present Value (NPV) is negative (£7.26 million) at a discount rate of 10 per cent to show that the present value of cash inflows in the future is not high enough to warrant the initial investment. This is supported by a Profitability Index (PI) of 0.76 which is a long way below the threshold of acceptance of 1. Besides this, Internal Rate of Return (IRR) of 0 is much lower than the cost of capital of the firm, which means that the project does not bring </w:t>
      </w:r>
      <w:proofErr w:type="gramStart"/>
      <w:r>
        <w:t>the sufficient amount of</w:t>
      </w:r>
      <w:proofErr w:type="gramEnd"/>
      <w:r>
        <w:t xml:space="preserve"> profit (Karthikai, 2024).</w:t>
      </w:r>
    </w:p>
    <w:p w14:paraId="081D39D2" w14:textId="77777777" w:rsidR="00DE0959" w:rsidRDefault="00000000" w:rsidP="00C870A2">
      <w:pPr>
        <w:pStyle w:val="Heading2"/>
      </w:pPr>
      <w:bookmarkStart w:id="33" w:name="_n006ztpj9zvl" w:colFirst="0" w:colLast="0"/>
      <w:bookmarkEnd w:id="33"/>
      <w:r>
        <w:lastRenderedPageBreak/>
        <w:t>5.5 Project C Appraisal</w:t>
      </w:r>
    </w:p>
    <w:p w14:paraId="125F61FA" w14:textId="3F5C5E9E" w:rsidR="00B463B7" w:rsidRPr="00B463B7" w:rsidRDefault="00B463B7" w:rsidP="00C870A2">
      <w:pPr>
        <w:jc w:val="center"/>
      </w:pPr>
      <w:r w:rsidRPr="00B463B7">
        <w:rPr>
          <w:noProof/>
        </w:rPr>
        <w:drawing>
          <wp:inline distT="0" distB="0" distL="0" distR="0" wp14:anchorId="0409B160" wp14:editId="17EA09E3">
            <wp:extent cx="5943600" cy="1140460"/>
            <wp:effectExtent l="0" t="0" r="0" b="2540"/>
            <wp:docPr id="169505442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1140460"/>
                    </a:xfrm>
                    <a:prstGeom prst="rect">
                      <a:avLst/>
                    </a:prstGeom>
                    <a:noFill/>
                    <a:ln>
                      <a:noFill/>
                    </a:ln>
                  </pic:spPr>
                </pic:pic>
              </a:graphicData>
            </a:graphic>
          </wp:inline>
        </w:drawing>
      </w:r>
    </w:p>
    <w:p w14:paraId="643FEF26" w14:textId="77777777" w:rsidR="00DE0959" w:rsidRDefault="00000000" w:rsidP="00C870A2">
      <w:pPr>
        <w:jc w:val="center"/>
      </w:pPr>
      <w:r>
        <w:rPr>
          <w:b/>
          <w:bCs/>
        </w:rPr>
        <w:t>Figure 17: Payback period for Project C</w:t>
      </w:r>
    </w:p>
    <w:p w14:paraId="03C6780C" w14:textId="77777777" w:rsidR="00DE0959" w:rsidRDefault="00000000" w:rsidP="00C870A2">
      <w:r>
        <w:t xml:space="preserve">Project C has the greatest initial investment of 50m pounds but has a higher </w:t>
      </w:r>
      <w:proofErr w:type="gramStart"/>
      <w:r>
        <w:t>growth based</w:t>
      </w:r>
      <w:proofErr w:type="gramEnd"/>
      <w:r>
        <w:t xml:space="preserve"> cash flow profile with inflows materializing year 3 further onwards. The payback period is about 3.6 </w:t>
      </w:r>
      <w:proofErr w:type="gramStart"/>
      <w:r>
        <w:t>years</w:t>
      </w:r>
      <w:proofErr w:type="gramEnd"/>
      <w:r>
        <w:t xml:space="preserve"> which is quite fast considering the size of the project and competes </w:t>
      </w:r>
      <w:proofErr w:type="spellStart"/>
      <w:r>
        <w:t>favourably</w:t>
      </w:r>
      <w:proofErr w:type="spellEnd"/>
      <w:r>
        <w:t xml:space="preserve"> with Projects A and B. Even though the cash inflows in the beginning of the year are slight, the speed of acceleration in the later years justifies the recovery of liquidity in the medium term (Potnis, Acharya and Lakhera, 2025).</w:t>
      </w:r>
    </w:p>
    <w:p w14:paraId="337F7B48" w14:textId="62DB2604" w:rsidR="00B463B7" w:rsidRDefault="00B463B7" w:rsidP="00C870A2">
      <w:pPr>
        <w:jc w:val="center"/>
      </w:pPr>
      <w:r w:rsidRPr="00B463B7">
        <w:rPr>
          <w:noProof/>
        </w:rPr>
        <w:drawing>
          <wp:inline distT="0" distB="0" distL="0" distR="0" wp14:anchorId="2A415F25" wp14:editId="6CA3CC22">
            <wp:extent cx="3733800" cy="2827020"/>
            <wp:effectExtent l="0" t="0" r="0" b="0"/>
            <wp:docPr id="30736423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733800" cy="2827020"/>
                    </a:xfrm>
                    <a:prstGeom prst="rect">
                      <a:avLst/>
                    </a:prstGeom>
                    <a:noFill/>
                    <a:ln>
                      <a:noFill/>
                    </a:ln>
                  </pic:spPr>
                </pic:pic>
              </a:graphicData>
            </a:graphic>
          </wp:inline>
        </w:drawing>
      </w:r>
    </w:p>
    <w:p w14:paraId="6FF825C5" w14:textId="77777777" w:rsidR="00DE0959" w:rsidRDefault="00000000" w:rsidP="00C870A2">
      <w:pPr>
        <w:jc w:val="center"/>
      </w:pPr>
      <w:r>
        <w:rPr>
          <w:b/>
          <w:bCs/>
        </w:rPr>
        <w:t>Figure 18: Accounting Rate of Return (ARR) for Project C</w:t>
      </w:r>
    </w:p>
    <w:p w14:paraId="1DCDE65D" w14:textId="77777777" w:rsidR="00DE0959" w:rsidRDefault="00000000" w:rsidP="00C870A2">
      <w:r>
        <w:t xml:space="preserve">The Accounting Rate </w:t>
      </w:r>
      <w:proofErr w:type="gramStart"/>
      <w:r>
        <w:t>of</w:t>
      </w:r>
      <w:proofErr w:type="gramEnd"/>
      <w:r>
        <w:t xml:space="preserve"> Return (ARR) is </w:t>
      </w:r>
      <w:proofErr w:type="gramStart"/>
      <w:r>
        <w:t>10</w:t>
      </w:r>
      <w:proofErr w:type="gramEnd"/>
      <w:r>
        <w:t xml:space="preserve"> which </w:t>
      </w:r>
      <w:proofErr w:type="gramStart"/>
      <w:r>
        <w:t>implies</w:t>
      </w:r>
      <w:proofErr w:type="gramEnd"/>
      <w:r>
        <w:t xml:space="preserve"> that the project will have a satisfactory minimum rate of return on an accounting basis. This indicates good annual average cash inflows </w:t>
      </w:r>
      <w:r>
        <w:lastRenderedPageBreak/>
        <w:t>of £15 million in comparison with straight-line annuity of depreciation of 10 million pounds annually which indicates substantial contribution to earnings after the project has attained maturity.</w:t>
      </w:r>
    </w:p>
    <w:p w14:paraId="34564773" w14:textId="7FF7E235" w:rsidR="00B463B7" w:rsidRDefault="00B463B7" w:rsidP="00C870A2">
      <w:pPr>
        <w:jc w:val="center"/>
      </w:pPr>
      <w:r w:rsidRPr="00B463B7">
        <w:rPr>
          <w:noProof/>
        </w:rPr>
        <w:drawing>
          <wp:inline distT="0" distB="0" distL="0" distR="0" wp14:anchorId="2748192A" wp14:editId="34496D6E">
            <wp:extent cx="4328160" cy="2423160"/>
            <wp:effectExtent l="0" t="0" r="0" b="0"/>
            <wp:docPr id="139760875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28160" cy="2423160"/>
                    </a:xfrm>
                    <a:prstGeom prst="rect">
                      <a:avLst/>
                    </a:prstGeom>
                    <a:noFill/>
                    <a:ln>
                      <a:noFill/>
                    </a:ln>
                  </pic:spPr>
                </pic:pic>
              </a:graphicData>
            </a:graphic>
          </wp:inline>
        </w:drawing>
      </w:r>
    </w:p>
    <w:p w14:paraId="7F0B318F" w14:textId="77777777" w:rsidR="00DE0959" w:rsidRDefault="00000000" w:rsidP="00C870A2">
      <w:pPr>
        <w:jc w:val="center"/>
        <w:rPr>
          <w:b/>
          <w:bCs/>
        </w:rPr>
      </w:pPr>
      <w:r>
        <w:rPr>
          <w:b/>
          <w:bCs/>
        </w:rPr>
        <w:t>Figure 15: Profitability Ratio for Project C</w:t>
      </w:r>
    </w:p>
    <w:p w14:paraId="6BEC9D9F" w14:textId="72C512CE" w:rsidR="00B463B7" w:rsidRDefault="00B463B7" w:rsidP="00C870A2">
      <w:pPr>
        <w:jc w:val="center"/>
        <w:rPr>
          <w:b/>
          <w:bCs/>
        </w:rPr>
      </w:pPr>
      <w:r w:rsidRPr="00B463B7">
        <w:rPr>
          <w:noProof/>
        </w:rPr>
        <w:drawing>
          <wp:inline distT="0" distB="0" distL="0" distR="0" wp14:anchorId="2CA01E5F" wp14:editId="112D5514">
            <wp:extent cx="5943600" cy="2148840"/>
            <wp:effectExtent l="0" t="0" r="0" b="3810"/>
            <wp:docPr id="127989080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2148840"/>
                    </a:xfrm>
                    <a:prstGeom prst="rect">
                      <a:avLst/>
                    </a:prstGeom>
                    <a:noFill/>
                    <a:ln>
                      <a:noFill/>
                    </a:ln>
                  </pic:spPr>
                </pic:pic>
              </a:graphicData>
            </a:graphic>
          </wp:inline>
        </w:drawing>
      </w:r>
    </w:p>
    <w:p w14:paraId="23E98E77" w14:textId="7457F898" w:rsidR="00B463B7" w:rsidRDefault="00B463B7" w:rsidP="00C870A2">
      <w:pPr>
        <w:jc w:val="center"/>
        <w:rPr>
          <w:b/>
          <w:bCs/>
        </w:rPr>
      </w:pPr>
      <w:r w:rsidRPr="00B463B7">
        <w:rPr>
          <w:noProof/>
        </w:rPr>
        <w:drawing>
          <wp:inline distT="0" distB="0" distL="0" distR="0" wp14:anchorId="792B9095" wp14:editId="6E4F540A">
            <wp:extent cx="2689860" cy="2011680"/>
            <wp:effectExtent l="0" t="0" r="0" b="7620"/>
            <wp:docPr id="88113751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689860" cy="2011680"/>
                    </a:xfrm>
                    <a:prstGeom prst="rect">
                      <a:avLst/>
                    </a:prstGeom>
                    <a:noFill/>
                    <a:ln>
                      <a:noFill/>
                    </a:ln>
                  </pic:spPr>
                </pic:pic>
              </a:graphicData>
            </a:graphic>
          </wp:inline>
        </w:drawing>
      </w:r>
    </w:p>
    <w:p w14:paraId="6B79287E" w14:textId="51347F0E" w:rsidR="00DE0959" w:rsidRDefault="00000000" w:rsidP="00C870A2">
      <w:pPr>
        <w:jc w:val="center"/>
      </w:pPr>
      <w:r>
        <w:rPr>
          <w:b/>
          <w:bCs/>
        </w:rPr>
        <w:lastRenderedPageBreak/>
        <w:t xml:space="preserve">Figure 16: </w:t>
      </w:r>
      <w:r w:rsidR="00B463B7">
        <w:rPr>
          <w:b/>
          <w:bCs/>
        </w:rPr>
        <w:t xml:space="preserve">NPV &amp; </w:t>
      </w:r>
      <w:r>
        <w:rPr>
          <w:b/>
          <w:bCs/>
        </w:rPr>
        <w:t>IRR for Project C</w:t>
      </w:r>
    </w:p>
    <w:p w14:paraId="22135932" w14:textId="77777777" w:rsidR="00DE0959" w:rsidRDefault="00000000" w:rsidP="00C870A2">
      <w:r>
        <w:t xml:space="preserve">Project C has a Net Present Value (NPV) of 4.23 </w:t>
      </w:r>
      <w:proofErr w:type="gramStart"/>
      <w:r>
        <w:t>million</w:t>
      </w:r>
      <w:proofErr w:type="gramEnd"/>
      <w:r>
        <w:t xml:space="preserve"> which is the highest of the three projects at a discount rate of 10%. Higher value creation per pound invested with a Profitability Index (PI) of 1.08 is very important since capital rationing is a critical aspect in a capitalist economy. Also, the Internal rate of return 12.72% is suitable well above the cost of capital of the firm giving it a cushion against the forecasting risk.</w:t>
      </w:r>
    </w:p>
    <w:p w14:paraId="5B518A89" w14:textId="77777777" w:rsidR="00DE0959" w:rsidRDefault="00000000" w:rsidP="00C870A2">
      <w:pPr>
        <w:pStyle w:val="Heading2"/>
      </w:pPr>
      <w:bookmarkStart w:id="34" w:name="_1qti29atcwg0" w:colFirst="0" w:colLast="0"/>
      <w:bookmarkEnd w:id="34"/>
      <w:r>
        <w:t>5.6 Comparative Evaluation of Projects</w:t>
      </w:r>
    </w:p>
    <w:p w14:paraId="623C8C86" w14:textId="77777777" w:rsidR="00DE0959" w:rsidRDefault="00000000" w:rsidP="00C870A2">
      <w:r>
        <w:t xml:space="preserve">Comparison of projects A, B, and C in terms of value-based metrics will give a well-defined ranking. Under Project C, the Net Present Value (£4.23m), Profitability Index (1.08) and the Internal Rate of Return (12.72%) are the highest and therefore </w:t>
      </w:r>
      <w:proofErr w:type="gramStart"/>
      <w:r>
        <w:t>represents</w:t>
      </w:r>
      <w:proofErr w:type="gramEnd"/>
      <w:r>
        <w:t xml:space="preserve"> better value creation and amount (in terms of returns per pound) spent. Project A follows with a low NPV (£1.32m), PI of 1.03, and IRR of 11.33%</w:t>
      </w:r>
      <w:proofErr w:type="gramStart"/>
      <w:r>
        <w:t xml:space="preserve"> indicating</w:t>
      </w:r>
      <w:proofErr w:type="gramEnd"/>
      <w:r>
        <w:t xml:space="preserve"> the creation of marginal values but positive. Project B undertakes are not performing well with negative NPV generated, PI is significantly low 0.28, IRR generated is less than value of money and it is value destroying. Project A is stable and exhibits equal spread cash flow when viewed through a risk-adjusted feature whereas Project C is volatile in terms of cash flow since it is </w:t>
      </w:r>
      <w:proofErr w:type="gramStart"/>
      <w:r>
        <w:t>back-loaded</w:t>
      </w:r>
      <w:proofErr w:type="gramEnd"/>
      <w:r>
        <w:t>. Project B though its inflows are stable does not cover its low returns.</w:t>
      </w:r>
    </w:p>
    <w:p w14:paraId="47E7D9F4" w14:textId="77777777" w:rsidR="00DE0959" w:rsidRDefault="00000000" w:rsidP="00C870A2">
      <w:pPr>
        <w:pStyle w:val="Heading2"/>
      </w:pPr>
      <w:bookmarkStart w:id="35" w:name="_thw94kshd40" w:colFirst="0" w:colLast="0"/>
      <w:bookmarkEnd w:id="35"/>
      <w:r>
        <w:t>5.7 Capital Rationing Decision (£60m Limit)</w:t>
      </w:r>
    </w:p>
    <w:p w14:paraId="24A14759" w14:textId="77777777" w:rsidR="00DE0959" w:rsidRDefault="00000000" w:rsidP="00C870A2">
      <w:r>
        <w:t xml:space="preserve">Within the capital constraint equals to or less than 60 million, the possible combinations are Project A (40m) and the residual amount of capital, Project B (30m) combined with Project A or C (within the same capital constraint) or as a single investment, Project C (50m). On budget constraints, </w:t>
      </w:r>
      <w:proofErr w:type="gramStart"/>
      <w:r>
        <w:t>the Projects</w:t>
      </w:r>
      <w:proofErr w:type="gramEnd"/>
      <w:r>
        <w:t xml:space="preserve"> A and C cannot be combined. Project B will not be considered due to its negative value.</w:t>
      </w:r>
    </w:p>
    <w:p w14:paraId="5A3AF5C6" w14:textId="77777777" w:rsidR="00DE0959" w:rsidRDefault="00000000" w:rsidP="00C870A2">
      <w:pPr>
        <w:pStyle w:val="Heading2"/>
      </w:pPr>
      <w:bookmarkStart w:id="36" w:name="_eyb3ai6j2uob" w:colFirst="0" w:colLast="0"/>
      <w:bookmarkEnd w:id="36"/>
      <w:r>
        <w:t>5.8 Final Investment Recommendation</w:t>
      </w:r>
    </w:p>
    <w:p w14:paraId="22F3A1F8" w14:textId="77777777" w:rsidR="00DE0959" w:rsidRDefault="00000000" w:rsidP="00C870A2">
      <w:r>
        <w:t xml:space="preserve">The best investment alternative is to invest in Project </w:t>
      </w:r>
      <w:proofErr w:type="gramStart"/>
      <w:r>
        <w:t>C which</w:t>
      </w:r>
      <w:proofErr w:type="gramEnd"/>
      <w:r>
        <w:t xml:space="preserve"> will provide the best shareholder value and corresponds to long-term strategic recovery. The NPV, PI and IRR of Project C are great and superior to the increased risk whereas the payback will be acceptable. Because General electronics has </w:t>
      </w:r>
      <w:proofErr w:type="gramStart"/>
      <w:r>
        <w:t>a poor</w:t>
      </w:r>
      <w:proofErr w:type="gramEnd"/>
      <w:r>
        <w:t xml:space="preserve"> profitability and a changing liquidity emphasis, investing capital in the </w:t>
      </w:r>
      <w:r>
        <w:lastRenderedPageBreak/>
        <w:t>project that benefits the company the most is the best way to balance the risk, liquidity and long-term financial recovery (</w:t>
      </w:r>
      <w:proofErr w:type="spellStart"/>
      <w:r>
        <w:t>Eltweri</w:t>
      </w:r>
      <w:proofErr w:type="spellEnd"/>
      <w:r>
        <w:t xml:space="preserve"> et al., 2024).</w:t>
      </w:r>
    </w:p>
    <w:p w14:paraId="7799764A" w14:textId="77777777" w:rsidR="00DE0959" w:rsidRDefault="00000000" w:rsidP="00C870A2">
      <w:pPr>
        <w:pStyle w:val="Heading1"/>
      </w:pPr>
      <w:bookmarkStart w:id="37" w:name="_2ea8jqdkulvc" w:colFirst="0" w:colLast="0"/>
      <w:bookmarkEnd w:id="37"/>
      <w:r>
        <w:t xml:space="preserve">6. Conclusion </w:t>
      </w:r>
    </w:p>
    <w:p w14:paraId="555BF4DC" w14:textId="77777777" w:rsidR="00DE0959" w:rsidRDefault="00000000" w:rsidP="00C870A2">
      <w:r>
        <w:t xml:space="preserve">The financial analysis shows that the profitability, cash generation and solvency of General Electronics have been on a downward trend in the past due to the decreasing revenues, increasing leverage and low operating margins. </w:t>
      </w:r>
      <w:proofErr w:type="gramStart"/>
      <w:r>
        <w:t>Despite the fact that</w:t>
      </w:r>
      <w:proofErr w:type="gramEnd"/>
      <w:r>
        <w:t xml:space="preserve"> even the headline liquidity is satisfactory, the working capital management issues, and long cash conversion cycle have further multiplied the liquidity pressure. Specific working capital reforms, especially inventory management and better receivables </w:t>
      </w:r>
      <w:proofErr w:type="gramStart"/>
      <w:r>
        <w:t>management</w:t>
      </w:r>
      <w:proofErr w:type="gramEnd"/>
      <w:r>
        <w:t xml:space="preserve"> can be effective in providing short-term cash flow relief. The selected financial restructuring plan that should be implemented is that of selective asset divestiture, strengthening of equity, and debt restructuring and it is strategically viable and would be necessary to rebuild financial sturdiness. The recommendation to the Board as Chief Financial Officer is to go ahead with the restructuring </w:t>
      </w:r>
      <w:proofErr w:type="spellStart"/>
      <w:r>
        <w:t>programme</w:t>
      </w:r>
      <w:proofErr w:type="spellEnd"/>
      <w:r>
        <w:t xml:space="preserve"> as soon as possible and focus on high value initiatives that will help in achieving long-term shareholder value and sustainable recovery.</w:t>
      </w:r>
    </w:p>
    <w:p w14:paraId="43CD7F0D" w14:textId="77777777" w:rsidR="00DE0959" w:rsidRDefault="00000000" w:rsidP="00C870A2">
      <w:pPr>
        <w:pStyle w:val="Heading1"/>
      </w:pPr>
      <w:bookmarkStart w:id="38" w:name="_qxqgeme97wzi" w:colFirst="0" w:colLast="0"/>
      <w:bookmarkEnd w:id="38"/>
      <w:r>
        <w:br w:type="page"/>
      </w:r>
    </w:p>
    <w:p w14:paraId="3D8FFB7A" w14:textId="77777777" w:rsidR="00DE0959" w:rsidRDefault="00000000" w:rsidP="00C870A2">
      <w:pPr>
        <w:pStyle w:val="Heading1"/>
      </w:pPr>
      <w:bookmarkStart w:id="39" w:name="_2426uk1cq0iv" w:colFirst="0" w:colLast="0"/>
      <w:bookmarkEnd w:id="39"/>
      <w:r>
        <w:lastRenderedPageBreak/>
        <w:t>7. Reference list</w:t>
      </w:r>
    </w:p>
    <w:p w14:paraId="57AF446C" w14:textId="77777777" w:rsidR="00DE0959" w:rsidRDefault="00000000" w:rsidP="00C870A2">
      <w:pPr>
        <w:spacing w:after="240"/>
      </w:pPr>
      <w:r>
        <w:t xml:space="preserve">AccountingCoach.com. (2025). </w:t>
      </w:r>
      <w:r>
        <w:rPr>
          <w:i/>
          <w:iCs/>
        </w:rPr>
        <w:t xml:space="preserve">What are the reasons for high inventory days? | </w:t>
      </w:r>
      <w:proofErr w:type="spellStart"/>
      <w:r>
        <w:rPr>
          <w:i/>
          <w:iCs/>
        </w:rPr>
        <w:t>AccountingCoach</w:t>
      </w:r>
      <w:proofErr w:type="spellEnd"/>
      <w:r>
        <w:t xml:space="preserve">. [online] Available at: </w:t>
      </w:r>
      <w:hyperlink r:id="rId31">
        <w:r w:rsidR="00DE0959">
          <w:rPr>
            <w:color w:val="1155CC"/>
            <w:u w:val="single"/>
          </w:rPr>
          <w:t>https://www.accountingcoach.com/blog/inventory-days</w:t>
        </w:r>
      </w:hyperlink>
      <w:r>
        <w:t xml:space="preserve">. </w:t>
      </w:r>
    </w:p>
    <w:p w14:paraId="79E0B98C" w14:textId="77777777" w:rsidR="00DE0959" w:rsidRDefault="00000000" w:rsidP="00C870A2">
      <w:pPr>
        <w:spacing w:after="240"/>
      </w:pPr>
      <w:proofErr w:type="spellStart"/>
      <w:proofErr w:type="gramStart"/>
      <w:r>
        <w:t>AnalystPrep</w:t>
      </w:r>
      <w:proofErr w:type="spellEnd"/>
      <w:proofErr w:type="gramEnd"/>
      <w:r>
        <w:t xml:space="preserve"> (2023). </w:t>
      </w:r>
      <w:r>
        <w:rPr>
          <w:i/>
          <w:iCs/>
        </w:rPr>
        <w:t xml:space="preserve">Measures of Profitability | CFA Level 1 - </w:t>
      </w:r>
      <w:proofErr w:type="spellStart"/>
      <w:r>
        <w:rPr>
          <w:i/>
          <w:iCs/>
        </w:rPr>
        <w:t>AnalystPrep</w:t>
      </w:r>
      <w:proofErr w:type="spellEnd"/>
      <w:r>
        <w:t xml:space="preserve">. [online] </w:t>
      </w:r>
      <w:proofErr w:type="spellStart"/>
      <w:r>
        <w:t>AnalystPrep</w:t>
      </w:r>
      <w:proofErr w:type="spellEnd"/>
      <w:r>
        <w:t xml:space="preserve"> | CFA® Exam Study Notes. Available at: </w:t>
      </w:r>
      <w:hyperlink r:id="rId32">
        <w:r w:rsidR="00DE0959">
          <w:rPr>
            <w:color w:val="1155CC"/>
            <w:u w:val="single"/>
          </w:rPr>
          <w:t>https://analystprep.com/cfa-level-1-exam/corporate-finance/measures-profitability-npv-irr-aar-pi/</w:t>
        </w:r>
      </w:hyperlink>
      <w:r>
        <w:t xml:space="preserve">. </w:t>
      </w:r>
    </w:p>
    <w:p w14:paraId="3D3B39A7" w14:textId="77777777" w:rsidR="00DE0959" w:rsidRDefault="00000000" w:rsidP="00C870A2">
      <w:pPr>
        <w:spacing w:after="240"/>
      </w:pPr>
      <w:r>
        <w:t xml:space="preserve">Antony, C. (2025). </w:t>
      </w:r>
      <w:r>
        <w:rPr>
          <w:i/>
          <w:iCs/>
        </w:rPr>
        <w:t>Difference Between an Overdraft and a Personal Loan</w:t>
      </w:r>
      <w:r>
        <w:t xml:space="preserve">. [online] Bank.in. Available at: </w:t>
      </w:r>
      <w:hyperlink r:id="rId33">
        <w:r w:rsidR="00DE0959">
          <w:rPr>
            <w:color w:val="1155CC"/>
            <w:u w:val="single"/>
          </w:rPr>
          <w:t>https://www.indusind.bank.in/iblogs/personal-loan/difference-between-personal-loan-and-overdraft</w:t>
        </w:r>
      </w:hyperlink>
      <w:r>
        <w:t xml:space="preserve"> </w:t>
      </w:r>
    </w:p>
    <w:p w14:paraId="241F9702" w14:textId="77777777" w:rsidR="00DE0959" w:rsidRDefault="00000000" w:rsidP="00C870A2">
      <w:pPr>
        <w:spacing w:after="240"/>
      </w:pPr>
      <w:r>
        <w:t xml:space="preserve">Arnone, M., </w:t>
      </w:r>
      <w:proofErr w:type="spellStart"/>
      <w:r>
        <w:t>Costantiello</w:t>
      </w:r>
      <w:proofErr w:type="spellEnd"/>
      <w:r>
        <w:t xml:space="preserve">, A., Leogrande, A., Syed and </w:t>
      </w:r>
      <w:proofErr w:type="spellStart"/>
      <w:r>
        <w:t>Magazzino</w:t>
      </w:r>
      <w:proofErr w:type="spellEnd"/>
      <w:r>
        <w:t xml:space="preserve">, C. (2024). Financial Stability and Innovation: The Role of Non-Performing Loans. </w:t>
      </w:r>
      <w:r>
        <w:rPr>
          <w:i/>
          <w:iCs/>
        </w:rPr>
        <w:t>FinTech</w:t>
      </w:r>
      <w:r>
        <w:t xml:space="preserve">, [online] 3(4), pp.496–536. </w:t>
      </w:r>
      <w:proofErr w:type="spellStart"/>
      <w:r>
        <w:t>doi:</w:t>
      </w:r>
      <w:hyperlink r:id="rId34">
        <w:r w:rsidR="00DE0959">
          <w:rPr>
            <w:color w:val="1155CC"/>
            <w:u w:val="single"/>
          </w:rPr>
          <w:t>https</w:t>
        </w:r>
        <w:proofErr w:type="spellEnd"/>
        <w:r w:rsidR="00DE0959">
          <w:rPr>
            <w:color w:val="1155CC"/>
            <w:u w:val="single"/>
          </w:rPr>
          <w:t>://doi.org/10.3390/fintech3040027</w:t>
        </w:r>
      </w:hyperlink>
      <w:r>
        <w:t xml:space="preserve">. </w:t>
      </w:r>
    </w:p>
    <w:p w14:paraId="6AF0EB4F" w14:textId="77777777" w:rsidR="00DE0959" w:rsidRDefault="00000000" w:rsidP="00C870A2">
      <w:pPr>
        <w:spacing w:after="240"/>
      </w:pPr>
      <w:r>
        <w:t xml:space="preserve">Aziz, T., Ghazal, S. and Ansari, V.A. (2025). Competition risk and stock returns: Indian evidence. </w:t>
      </w:r>
      <w:r>
        <w:rPr>
          <w:i/>
          <w:iCs/>
        </w:rPr>
        <w:t>Journal of Money and Business</w:t>
      </w:r>
      <w:r>
        <w:t xml:space="preserve">. </w:t>
      </w:r>
      <w:proofErr w:type="spellStart"/>
      <w:r>
        <w:t>doi:</w:t>
      </w:r>
      <w:hyperlink r:id="rId35">
        <w:r w:rsidR="00DE0959">
          <w:rPr>
            <w:color w:val="1155CC"/>
            <w:u w:val="single"/>
          </w:rPr>
          <w:t>https</w:t>
        </w:r>
        <w:proofErr w:type="spellEnd"/>
        <w:r w:rsidR="00DE0959">
          <w:rPr>
            <w:color w:val="1155CC"/>
            <w:u w:val="single"/>
          </w:rPr>
          <w:t>://doi.org/10.1108/jmb-10-2024-0062</w:t>
        </w:r>
      </w:hyperlink>
      <w:r>
        <w:t xml:space="preserve">. </w:t>
      </w:r>
    </w:p>
    <w:p w14:paraId="37802FC2" w14:textId="77777777" w:rsidR="00DE0959" w:rsidRDefault="00000000" w:rsidP="00C870A2">
      <w:pPr>
        <w:spacing w:after="240"/>
      </w:pPr>
      <w:proofErr w:type="spellStart"/>
      <w:r>
        <w:t>Baltova</w:t>
      </w:r>
      <w:proofErr w:type="spellEnd"/>
      <w:r>
        <w:t xml:space="preserve">, A. (2023). </w:t>
      </w:r>
      <w:r>
        <w:rPr>
          <w:i/>
          <w:iCs/>
        </w:rPr>
        <w:t>Solvency Ratios – Definitions, Types, Formulas</w:t>
      </w:r>
      <w:r>
        <w:t xml:space="preserve">. [online] 365 Financial Analyst. Available at: </w:t>
      </w:r>
      <w:hyperlink r:id="rId36">
        <w:r w:rsidR="00DE0959">
          <w:rPr>
            <w:color w:val="1155CC"/>
            <w:u w:val="single"/>
          </w:rPr>
          <w:t>https://365financialanalyst.com/knowledge-hub/financial-analysis/solvency-ratios/</w:t>
        </w:r>
      </w:hyperlink>
      <w:r>
        <w:t xml:space="preserve">. </w:t>
      </w:r>
    </w:p>
    <w:p w14:paraId="4BB4FB45" w14:textId="77777777" w:rsidR="00DE0959" w:rsidRDefault="00000000" w:rsidP="00C870A2">
      <w:pPr>
        <w:spacing w:after="240"/>
      </w:pPr>
      <w:r>
        <w:t xml:space="preserve">Bashir, H.A. and Kumar, D. (2025). Unveiling Investor Sentiment, Attention, and Speed of Price Adjustment in Indian Market. </w:t>
      </w:r>
      <w:r>
        <w:rPr>
          <w:i/>
          <w:iCs/>
        </w:rPr>
        <w:t>International Review of Economics &amp; Finance</w:t>
      </w:r>
      <w:r>
        <w:t xml:space="preserve">, pp.104189–104189. </w:t>
      </w:r>
      <w:proofErr w:type="spellStart"/>
      <w:r>
        <w:t>doi:</w:t>
      </w:r>
      <w:hyperlink r:id="rId37">
        <w:r w:rsidR="00DE0959">
          <w:rPr>
            <w:color w:val="1155CC"/>
            <w:u w:val="single"/>
          </w:rPr>
          <w:t>https</w:t>
        </w:r>
        <w:proofErr w:type="spellEnd"/>
        <w:r w:rsidR="00DE0959">
          <w:rPr>
            <w:color w:val="1155CC"/>
            <w:u w:val="single"/>
          </w:rPr>
          <w:t>://doi.org/10.1016/j.iref.2025.104189</w:t>
        </w:r>
      </w:hyperlink>
      <w:r>
        <w:t xml:space="preserve">. </w:t>
      </w:r>
    </w:p>
    <w:p w14:paraId="79185F14" w14:textId="77777777" w:rsidR="00DE0959" w:rsidRDefault="00000000" w:rsidP="00C870A2">
      <w:pPr>
        <w:spacing w:after="240"/>
      </w:pPr>
      <w:proofErr w:type="spellStart"/>
      <w:r>
        <w:t>Braunsberger</w:t>
      </w:r>
      <w:proofErr w:type="spellEnd"/>
      <w:r>
        <w:t xml:space="preserve">, C. and Aschauer, E. (2025). Corporate Failure Prediction: A Literature Review of Altman Z-Score and Machine Learning Models Within a Technology Adoption Framework. </w:t>
      </w:r>
      <w:r>
        <w:rPr>
          <w:i/>
          <w:iCs/>
        </w:rPr>
        <w:t>Journal of Risk and Financial Management</w:t>
      </w:r>
      <w:r>
        <w:t xml:space="preserve">, 18(8), p.465. </w:t>
      </w:r>
      <w:proofErr w:type="spellStart"/>
      <w:r>
        <w:t>doi:</w:t>
      </w:r>
      <w:hyperlink r:id="rId38">
        <w:r w:rsidR="00DE0959">
          <w:rPr>
            <w:color w:val="1155CC"/>
            <w:u w:val="single"/>
          </w:rPr>
          <w:t>https</w:t>
        </w:r>
        <w:proofErr w:type="spellEnd"/>
        <w:r w:rsidR="00DE0959">
          <w:rPr>
            <w:color w:val="1155CC"/>
            <w:u w:val="single"/>
          </w:rPr>
          <w:t>://doi.org/10.3390/jrfm18080465</w:t>
        </w:r>
      </w:hyperlink>
      <w:r>
        <w:t xml:space="preserve">. </w:t>
      </w:r>
    </w:p>
    <w:p w14:paraId="37047A60" w14:textId="77777777" w:rsidR="00DE0959" w:rsidRDefault="00000000" w:rsidP="00C870A2">
      <w:pPr>
        <w:spacing w:after="240"/>
      </w:pPr>
      <w:r>
        <w:t xml:space="preserve">Cameron, B. (2024). </w:t>
      </w:r>
      <w:r>
        <w:rPr>
          <w:i/>
          <w:iCs/>
        </w:rPr>
        <w:t>Asset Disposal</w:t>
      </w:r>
      <w:r>
        <w:t xml:space="preserve">. [online] Financial Edge. Available at: </w:t>
      </w:r>
      <w:hyperlink r:id="rId39">
        <w:r w:rsidR="00DE0959">
          <w:rPr>
            <w:color w:val="1155CC"/>
            <w:u w:val="single"/>
          </w:rPr>
          <w:t>https://www.fe.training/free-resources/accounting/asset-disposal/</w:t>
        </w:r>
      </w:hyperlink>
      <w:r>
        <w:t xml:space="preserve">. </w:t>
      </w:r>
    </w:p>
    <w:p w14:paraId="41D7954F" w14:textId="77777777" w:rsidR="00DE0959" w:rsidRDefault="00000000" w:rsidP="00C870A2">
      <w:pPr>
        <w:spacing w:after="240"/>
      </w:pPr>
      <w:r>
        <w:lastRenderedPageBreak/>
        <w:t xml:space="preserve">CFI (2022). </w:t>
      </w:r>
      <w:r>
        <w:rPr>
          <w:i/>
          <w:iCs/>
        </w:rPr>
        <w:t>Efficiency Ratios</w:t>
      </w:r>
      <w:r>
        <w:t xml:space="preserve">. [online] Corporate Finance Institute. Available at: </w:t>
      </w:r>
      <w:hyperlink r:id="rId40">
        <w:r w:rsidR="00DE0959">
          <w:rPr>
            <w:color w:val="1155CC"/>
            <w:u w:val="single"/>
          </w:rPr>
          <w:t>https://corporatefinanceinstitute.com/resources/accounting/efficiency-ratios/</w:t>
        </w:r>
      </w:hyperlink>
      <w:r>
        <w:t xml:space="preserve">. </w:t>
      </w:r>
    </w:p>
    <w:p w14:paraId="0687C8C7" w14:textId="77777777" w:rsidR="00DE0959" w:rsidRDefault="00000000" w:rsidP="00C870A2">
      <w:pPr>
        <w:spacing w:after="240"/>
      </w:pPr>
      <w:r>
        <w:t xml:space="preserve">CFI (2025). </w:t>
      </w:r>
      <w:r>
        <w:rPr>
          <w:i/>
          <w:iCs/>
        </w:rPr>
        <w:t>Liquidity Ratio</w:t>
      </w:r>
      <w:r>
        <w:t xml:space="preserve">. [online] Corporate Finance Institute. Available at: </w:t>
      </w:r>
      <w:hyperlink r:id="rId41">
        <w:r w:rsidR="00DE0959">
          <w:rPr>
            <w:color w:val="1155CC"/>
            <w:u w:val="single"/>
          </w:rPr>
          <w:t>https://corporatefinanceinstitute.com/resources/accounting/liquidity-ratio/</w:t>
        </w:r>
      </w:hyperlink>
      <w:r>
        <w:t xml:space="preserve">. </w:t>
      </w:r>
    </w:p>
    <w:p w14:paraId="222E1BF0" w14:textId="77777777" w:rsidR="00DE0959" w:rsidRDefault="00000000" w:rsidP="00C870A2">
      <w:pPr>
        <w:spacing w:after="240"/>
      </w:pPr>
      <w:r>
        <w:t xml:space="preserve">Corporate Finance Institute. (2025a). </w:t>
      </w:r>
      <w:r>
        <w:rPr>
          <w:i/>
          <w:iCs/>
        </w:rPr>
        <w:t>Debt/Equity Swap</w:t>
      </w:r>
      <w:r>
        <w:t xml:space="preserve">. [online] Available at: </w:t>
      </w:r>
      <w:hyperlink r:id="rId42">
        <w:r w:rsidR="00DE0959">
          <w:rPr>
            <w:color w:val="1155CC"/>
            <w:u w:val="single"/>
          </w:rPr>
          <w:t>https://corporatefinanceinstitute.com/resources/derivatives/debt-equity-swap/</w:t>
        </w:r>
      </w:hyperlink>
      <w:r>
        <w:t xml:space="preserve">. </w:t>
      </w:r>
    </w:p>
    <w:p w14:paraId="5DF28F04" w14:textId="77777777" w:rsidR="00DE0959" w:rsidRDefault="00000000" w:rsidP="00C870A2">
      <w:pPr>
        <w:spacing w:after="240"/>
      </w:pPr>
      <w:r>
        <w:t xml:space="preserve">Corporate Finance Institute. (2025b). </w:t>
      </w:r>
      <w:r>
        <w:rPr>
          <w:i/>
          <w:iCs/>
        </w:rPr>
        <w:t>Divestiture</w:t>
      </w:r>
      <w:r>
        <w:t xml:space="preserve">. [online] Available at: </w:t>
      </w:r>
      <w:hyperlink r:id="rId43">
        <w:r w:rsidR="00DE0959">
          <w:rPr>
            <w:color w:val="1155CC"/>
            <w:u w:val="single"/>
          </w:rPr>
          <w:t>https://corporatefinanceinstitute.com/resources/valuation/divestiture-overview/</w:t>
        </w:r>
      </w:hyperlink>
      <w:r>
        <w:t xml:space="preserve">. </w:t>
      </w:r>
    </w:p>
    <w:p w14:paraId="3D657B92" w14:textId="77777777" w:rsidR="00DE0959" w:rsidRDefault="00000000" w:rsidP="00C870A2">
      <w:pPr>
        <w:spacing w:after="240"/>
      </w:pPr>
      <w:r>
        <w:t xml:space="preserve">Dumitrescu, D., </w:t>
      </w:r>
      <w:proofErr w:type="spellStart"/>
      <w:r>
        <w:t>Bobitan</w:t>
      </w:r>
      <w:proofErr w:type="spellEnd"/>
      <w:r>
        <w:t xml:space="preserve">, N., Popa, A.F., </w:t>
      </w:r>
      <w:proofErr w:type="spellStart"/>
      <w:r>
        <w:t>Sahlian</w:t>
      </w:r>
      <w:proofErr w:type="spellEnd"/>
      <w:r>
        <w:t xml:space="preserve">, D.N. and Stanila, C.A. (2025). Signaling Financial Distress Through Z-Scores and Corporate Governance Compliance Interplay: A Random Forest Approach. </w:t>
      </w:r>
      <w:r>
        <w:rPr>
          <w:i/>
          <w:iCs/>
        </w:rPr>
        <w:t>Electronics</w:t>
      </w:r>
      <w:r>
        <w:t xml:space="preserve">, 14(11), p.2151. </w:t>
      </w:r>
      <w:proofErr w:type="spellStart"/>
      <w:r>
        <w:t>doi:</w:t>
      </w:r>
      <w:hyperlink r:id="rId44">
        <w:r w:rsidR="00DE0959">
          <w:rPr>
            <w:color w:val="1155CC"/>
            <w:u w:val="single"/>
          </w:rPr>
          <w:t>https</w:t>
        </w:r>
        <w:proofErr w:type="spellEnd"/>
        <w:r w:rsidR="00DE0959">
          <w:rPr>
            <w:color w:val="1155CC"/>
            <w:u w:val="single"/>
          </w:rPr>
          <w:t>://doi.org/10.3390/electronics14112151</w:t>
        </w:r>
      </w:hyperlink>
      <w:r>
        <w:t xml:space="preserve">. </w:t>
      </w:r>
    </w:p>
    <w:p w14:paraId="79427830" w14:textId="77777777" w:rsidR="00DE0959" w:rsidRDefault="00000000" w:rsidP="00C870A2">
      <w:pPr>
        <w:spacing w:after="240"/>
      </w:pPr>
      <w:r>
        <w:t xml:space="preserve">Elephants Child Advisory Limited. (2023). </w:t>
      </w:r>
      <w:r>
        <w:rPr>
          <w:i/>
          <w:iCs/>
        </w:rPr>
        <w:t xml:space="preserve">How bad business credit affects your supplier </w:t>
      </w:r>
      <w:proofErr w:type="gramStart"/>
      <w:r>
        <w:rPr>
          <w:i/>
          <w:iCs/>
        </w:rPr>
        <w:t>relationships</w:t>
      </w:r>
      <w:proofErr w:type="gramEnd"/>
      <w:r>
        <w:rPr>
          <w:i/>
          <w:iCs/>
        </w:rPr>
        <w:t xml:space="preserve"> - Elephants Child</w:t>
      </w:r>
      <w:r>
        <w:t xml:space="preserve">. [online] Elephants Child. Available at: </w:t>
      </w:r>
      <w:hyperlink r:id="rId45">
        <w:r w:rsidR="00DE0959">
          <w:rPr>
            <w:color w:val="1155CC"/>
            <w:u w:val="single"/>
          </w:rPr>
          <w:t>https://elephants-child.co.uk/2023/09/11/how-bad-business-credit-affects-your-supplier-relationships/</w:t>
        </w:r>
      </w:hyperlink>
      <w:r>
        <w:t xml:space="preserve">. </w:t>
      </w:r>
    </w:p>
    <w:p w14:paraId="0609B5B6" w14:textId="77777777" w:rsidR="00DE0959" w:rsidRDefault="00000000" w:rsidP="00C870A2">
      <w:pPr>
        <w:spacing w:after="240"/>
      </w:pPr>
      <w:proofErr w:type="spellStart"/>
      <w:r>
        <w:t>Eltweri</w:t>
      </w:r>
      <w:proofErr w:type="spellEnd"/>
      <w:r>
        <w:t xml:space="preserve">, A., Sawan, N., Al-Hajaya, K. and Badri, Z. (2024). The Influence of Liquidity Risk on Financial Performance: A Study of the UK’s Largest Commercial Banks. </w:t>
      </w:r>
      <w:r>
        <w:rPr>
          <w:i/>
          <w:iCs/>
        </w:rPr>
        <w:t>Journal of risk and financial management</w:t>
      </w:r>
      <w:r>
        <w:t xml:space="preserve">, 17(12), pp.580–580. </w:t>
      </w:r>
      <w:proofErr w:type="spellStart"/>
      <w:r>
        <w:t>doi:</w:t>
      </w:r>
      <w:hyperlink r:id="rId46">
        <w:r w:rsidR="00DE0959">
          <w:rPr>
            <w:color w:val="1155CC"/>
            <w:u w:val="single"/>
          </w:rPr>
          <w:t>https</w:t>
        </w:r>
        <w:proofErr w:type="spellEnd"/>
        <w:r w:rsidR="00DE0959">
          <w:rPr>
            <w:color w:val="1155CC"/>
            <w:u w:val="single"/>
          </w:rPr>
          <w:t>://doi.org/10.3390/jrfm17120580</w:t>
        </w:r>
      </w:hyperlink>
      <w:r>
        <w:t xml:space="preserve">. </w:t>
      </w:r>
    </w:p>
    <w:p w14:paraId="3D8CCCBA" w14:textId="77777777" w:rsidR="00DE0959" w:rsidRDefault="00000000" w:rsidP="00C870A2">
      <w:pPr>
        <w:spacing w:after="240"/>
      </w:pPr>
      <w:r>
        <w:t xml:space="preserve">Ghonim, M.A., </w:t>
      </w:r>
      <w:proofErr w:type="spellStart"/>
      <w:r>
        <w:t>Khashaba</w:t>
      </w:r>
      <w:proofErr w:type="spellEnd"/>
      <w:r>
        <w:t>, N.M., Al-</w:t>
      </w:r>
      <w:proofErr w:type="spellStart"/>
      <w:r>
        <w:t>Najaar</w:t>
      </w:r>
      <w:proofErr w:type="spellEnd"/>
      <w:r>
        <w:t xml:space="preserve">, H.M. and Khashan, M.A. (2020). </w:t>
      </w:r>
      <w:r>
        <w:rPr>
          <w:i/>
          <w:iCs/>
        </w:rPr>
        <w:t>Strategic alignment and its impact on decision effectiveness: a comprehensive model</w:t>
      </w:r>
      <w:r>
        <w:t xml:space="preserve">. [online] ResearchGate. Available at: </w:t>
      </w:r>
      <w:hyperlink r:id="rId47">
        <w:r w:rsidR="00DE0959">
          <w:rPr>
            <w:color w:val="1155CC"/>
            <w:u w:val="single"/>
          </w:rPr>
          <w:t>https://www.researchgate.net/publication/344031639_Strategic_alignment_and_its_impact_on_decision_effectiveness_a_comprehensive_model</w:t>
        </w:r>
      </w:hyperlink>
      <w:r>
        <w:t xml:space="preserve">. </w:t>
      </w:r>
    </w:p>
    <w:p w14:paraId="5D96CB98" w14:textId="77777777" w:rsidR="00DE0959" w:rsidRDefault="00000000" w:rsidP="00C870A2">
      <w:pPr>
        <w:spacing w:after="240"/>
      </w:pPr>
      <w:r>
        <w:t xml:space="preserve">Hassan, M.K., Karim, M.S. and Cole, M.L. (2025). Corporate culture and inventory behavior. </w:t>
      </w:r>
      <w:r>
        <w:rPr>
          <w:i/>
          <w:iCs/>
        </w:rPr>
        <w:t>International Review of Economics &amp; Finance</w:t>
      </w:r>
      <w:r>
        <w:t xml:space="preserve">, 102, p.104267. </w:t>
      </w:r>
      <w:proofErr w:type="spellStart"/>
      <w:r>
        <w:t>doi:</w:t>
      </w:r>
      <w:hyperlink r:id="rId48">
        <w:r w:rsidR="00DE0959">
          <w:rPr>
            <w:color w:val="1155CC"/>
            <w:u w:val="single"/>
          </w:rPr>
          <w:t>https</w:t>
        </w:r>
        <w:proofErr w:type="spellEnd"/>
        <w:r w:rsidR="00DE0959">
          <w:rPr>
            <w:color w:val="1155CC"/>
            <w:u w:val="single"/>
          </w:rPr>
          <w:t>://doi.org/10.1016/j.iref.2025.104267</w:t>
        </w:r>
      </w:hyperlink>
      <w:r>
        <w:t xml:space="preserve">. </w:t>
      </w:r>
    </w:p>
    <w:p w14:paraId="7D0D5FC1" w14:textId="77777777" w:rsidR="00DE0959" w:rsidRDefault="00000000" w:rsidP="00C870A2">
      <w:pPr>
        <w:spacing w:after="240"/>
      </w:pPr>
      <w:proofErr w:type="spellStart"/>
      <w:r>
        <w:lastRenderedPageBreak/>
        <w:t>HighRadius</w:t>
      </w:r>
      <w:proofErr w:type="spellEnd"/>
      <w:r>
        <w:t xml:space="preserve"> (2024). </w:t>
      </w:r>
      <w:r>
        <w:rPr>
          <w:i/>
          <w:iCs/>
        </w:rPr>
        <w:t>What Is Credit Control: Everything You Need to Know</w:t>
      </w:r>
      <w:r>
        <w:t xml:space="preserve">. [online] </w:t>
      </w:r>
      <w:proofErr w:type="spellStart"/>
      <w:r>
        <w:t>HighRadius</w:t>
      </w:r>
      <w:proofErr w:type="spellEnd"/>
      <w:r>
        <w:t xml:space="preserve"> Resource Center. Available at: </w:t>
      </w:r>
      <w:hyperlink r:id="rId49">
        <w:r w:rsidR="00DE0959">
          <w:rPr>
            <w:color w:val="1155CC"/>
            <w:u w:val="single"/>
          </w:rPr>
          <w:t>https://www.highradius.com/resources/Blog/what-is-credit-control-and-how-it-works/</w:t>
        </w:r>
      </w:hyperlink>
      <w:r>
        <w:t xml:space="preserve">. </w:t>
      </w:r>
    </w:p>
    <w:p w14:paraId="051F71A4" w14:textId="77777777" w:rsidR="00DE0959" w:rsidRDefault="00000000" w:rsidP="00C870A2">
      <w:pPr>
        <w:spacing w:after="240"/>
      </w:pPr>
      <w:r>
        <w:t xml:space="preserve">Jenkins, A. (2024). </w:t>
      </w:r>
      <w:r>
        <w:rPr>
          <w:i/>
          <w:iCs/>
        </w:rPr>
        <w:t>Just-in-Time (JIT) Inventory: A Definition and Comprehensive Guide</w:t>
      </w:r>
      <w:r>
        <w:t xml:space="preserve">. [online] Oracle NetSuite. Available at: </w:t>
      </w:r>
      <w:hyperlink r:id="rId50">
        <w:r w:rsidR="00DE0959">
          <w:rPr>
            <w:color w:val="1155CC"/>
            <w:u w:val="single"/>
          </w:rPr>
          <w:t>https://www.netsuite.com/portal/resource/articles/inventory-management/just-in-time-inventory.shtml</w:t>
        </w:r>
      </w:hyperlink>
      <w:r>
        <w:t xml:space="preserve">. </w:t>
      </w:r>
    </w:p>
    <w:p w14:paraId="2257643E" w14:textId="77777777" w:rsidR="00DE0959" w:rsidRDefault="00000000" w:rsidP="00C870A2">
      <w:pPr>
        <w:spacing w:after="240"/>
      </w:pPr>
      <w:r>
        <w:t xml:space="preserve">Karthikai, K. (2024). </w:t>
      </w:r>
      <w:r>
        <w:rPr>
          <w:i/>
          <w:iCs/>
        </w:rPr>
        <w:t xml:space="preserve">UNIT V Subject name Subject Code Semester Prepared </w:t>
      </w:r>
      <w:proofErr w:type="gramStart"/>
      <w:r>
        <w:rPr>
          <w:i/>
          <w:iCs/>
        </w:rPr>
        <w:t>By</w:t>
      </w:r>
      <w:proofErr w:type="gramEnd"/>
      <w:r>
        <w:rPr>
          <w:i/>
          <w:iCs/>
        </w:rPr>
        <w:t xml:space="preserve"> Financial Management 18BBA31C III</w:t>
      </w:r>
      <w:r>
        <w:t xml:space="preserve">. [online] Available at: </w:t>
      </w:r>
      <w:hyperlink r:id="rId51">
        <w:r w:rsidR="00DE0959">
          <w:rPr>
            <w:color w:val="1155CC"/>
            <w:u w:val="single"/>
          </w:rPr>
          <w:t>https://gacbe.ac.in/pdf/ematerial/18BBA31C-U5.pdf</w:t>
        </w:r>
      </w:hyperlink>
      <w:r>
        <w:t xml:space="preserve"> </w:t>
      </w:r>
    </w:p>
    <w:p w14:paraId="0DAD52D4" w14:textId="77777777" w:rsidR="00DE0959" w:rsidRDefault="00000000" w:rsidP="00C870A2">
      <w:pPr>
        <w:spacing w:after="240"/>
      </w:pPr>
      <w:r>
        <w:t xml:space="preserve">Kitov, I. (2024). </w:t>
      </w:r>
      <w:r>
        <w:rPr>
          <w:i/>
          <w:iCs/>
        </w:rPr>
        <w:t>What is profitability index?</w:t>
      </w:r>
      <w:r>
        <w:t xml:space="preserve"> [online] 365 Financial Analyst. Available at: </w:t>
      </w:r>
      <w:hyperlink r:id="rId52">
        <w:r w:rsidR="00DE0959">
          <w:rPr>
            <w:color w:val="1155CC"/>
            <w:u w:val="single"/>
          </w:rPr>
          <w:t>https://365financialanalyst.com/knowledge-hub/corporate-finance/what-is-profitability-index/</w:t>
        </w:r>
      </w:hyperlink>
      <w:r>
        <w:t xml:space="preserve">. </w:t>
      </w:r>
    </w:p>
    <w:p w14:paraId="4D4F3A40" w14:textId="77777777" w:rsidR="00DE0959" w:rsidRDefault="00000000" w:rsidP="00C870A2">
      <w:pPr>
        <w:spacing w:after="240"/>
      </w:pPr>
      <w:r>
        <w:t xml:space="preserve">KPMG. (2024). </w:t>
      </w:r>
      <w:r>
        <w:rPr>
          <w:i/>
          <w:iCs/>
        </w:rPr>
        <w:t>Consumer &amp; Retail top risks forecast</w:t>
      </w:r>
      <w:r>
        <w:t xml:space="preserve">. [online] Available at: </w:t>
      </w:r>
      <w:hyperlink r:id="rId53">
        <w:r w:rsidR="00DE0959">
          <w:rPr>
            <w:color w:val="1155CC"/>
            <w:u w:val="single"/>
          </w:rPr>
          <w:t>https://kpmg.com/xx/en/our-insights/risk-and-regulation/top-risks-forecast/consumer-and-retail-top-risks-forecast.html</w:t>
        </w:r>
      </w:hyperlink>
      <w:r>
        <w:t xml:space="preserve">. </w:t>
      </w:r>
    </w:p>
    <w:p w14:paraId="737A7BAB" w14:textId="77777777" w:rsidR="00DE0959" w:rsidRDefault="00000000" w:rsidP="00C870A2">
      <w:pPr>
        <w:spacing w:after="240"/>
      </w:pPr>
      <w:r>
        <w:t xml:space="preserve">LightSpeed (2022). Guide to Reducing Hospitality Staffing Costs - Lightspeed. </w:t>
      </w:r>
      <w:r>
        <w:rPr>
          <w:i/>
          <w:iCs/>
        </w:rPr>
        <w:t>Lightspeed</w:t>
      </w:r>
      <w:r>
        <w:t xml:space="preserve">. [online] </w:t>
      </w:r>
      <w:proofErr w:type="spellStart"/>
      <w:r>
        <w:t>doi:</w:t>
      </w:r>
      <w:hyperlink r:id="rId54">
        <w:r w:rsidR="00DE0959">
          <w:rPr>
            <w:color w:val="1155CC"/>
            <w:u w:val="single"/>
          </w:rPr>
          <w:t>https</w:t>
        </w:r>
        <w:proofErr w:type="spellEnd"/>
        <w:r w:rsidR="00DE0959">
          <w:rPr>
            <w:color w:val="1155CC"/>
            <w:u w:val="single"/>
          </w:rPr>
          <w:t>://doi.org/1015423443/uDdTCPiQ8moQ08OY5AM</w:t>
        </w:r>
      </w:hyperlink>
      <w:r>
        <w:t xml:space="preserve">. </w:t>
      </w:r>
    </w:p>
    <w:p w14:paraId="3CE747D5" w14:textId="77777777" w:rsidR="00DE0959" w:rsidRDefault="00000000" w:rsidP="00C870A2">
      <w:pPr>
        <w:spacing w:after="240"/>
      </w:pPr>
      <w:r>
        <w:t xml:space="preserve">Lynch, P. (2021). </w:t>
      </w:r>
      <w:r>
        <w:rPr>
          <w:i/>
          <w:iCs/>
        </w:rPr>
        <w:t>Optimum capital structure</w:t>
      </w:r>
      <w:r>
        <w:t xml:space="preserve">. [online] Accaglobal.com. Available at: </w:t>
      </w:r>
      <w:hyperlink r:id="rId55">
        <w:r w:rsidR="00DE0959">
          <w:rPr>
            <w:color w:val="1155CC"/>
            <w:u w:val="single"/>
          </w:rPr>
          <w:t>https://www.accaglobal.com/gb/en/student/exam-support-resources/fundamentals-exams-study-resources/f9/technical-articles/optimum-capital-structure.html</w:t>
        </w:r>
      </w:hyperlink>
      <w:r>
        <w:t xml:space="preserve">. </w:t>
      </w:r>
    </w:p>
    <w:p w14:paraId="0FBB81D6" w14:textId="77777777" w:rsidR="00DE0959" w:rsidRDefault="00000000" w:rsidP="00C870A2">
      <w:pPr>
        <w:spacing w:after="240"/>
      </w:pPr>
      <w:r>
        <w:t xml:space="preserve">Mansour, K. (2024). Working capital efficiency and capital structure decisions in Egypt: the effect of foreign currency exchange risk exposure under IAS 21. </w:t>
      </w:r>
      <w:r>
        <w:rPr>
          <w:i/>
          <w:iCs/>
        </w:rPr>
        <w:t>Asian Journal of Accounting Research</w:t>
      </w:r>
      <w:r>
        <w:t xml:space="preserve">. </w:t>
      </w:r>
      <w:proofErr w:type="spellStart"/>
      <w:r>
        <w:t>doi:</w:t>
      </w:r>
      <w:hyperlink r:id="rId56">
        <w:r w:rsidR="00DE0959">
          <w:rPr>
            <w:color w:val="1155CC"/>
            <w:u w:val="single"/>
          </w:rPr>
          <w:t>https</w:t>
        </w:r>
        <w:proofErr w:type="spellEnd"/>
        <w:r w:rsidR="00DE0959">
          <w:rPr>
            <w:color w:val="1155CC"/>
            <w:u w:val="single"/>
          </w:rPr>
          <w:t>://doi.org/10.1108/ajar-12-2023-0411</w:t>
        </w:r>
      </w:hyperlink>
      <w:r>
        <w:t xml:space="preserve">. </w:t>
      </w:r>
    </w:p>
    <w:p w14:paraId="27709ED9" w14:textId="77777777" w:rsidR="00DE0959" w:rsidRDefault="00000000" w:rsidP="00C870A2">
      <w:pPr>
        <w:spacing w:after="240"/>
      </w:pPr>
      <w:r>
        <w:t xml:space="preserve">Nguyen, A.T.L., Nguyen, D.V. and Nguyen, N.H. (2022). The relationship between financial decisions and equity risk. </w:t>
      </w:r>
      <w:proofErr w:type="spellStart"/>
      <w:r>
        <w:rPr>
          <w:i/>
          <w:iCs/>
        </w:rPr>
        <w:t>Heliyon</w:t>
      </w:r>
      <w:proofErr w:type="spellEnd"/>
      <w:r>
        <w:t xml:space="preserve">, [online] 8(8), p.e10036. </w:t>
      </w:r>
      <w:proofErr w:type="spellStart"/>
      <w:r>
        <w:t>doi:</w:t>
      </w:r>
      <w:hyperlink r:id="rId57">
        <w:r w:rsidR="00DE0959">
          <w:rPr>
            <w:color w:val="1155CC"/>
            <w:u w:val="single"/>
          </w:rPr>
          <w:t>https</w:t>
        </w:r>
        <w:proofErr w:type="spellEnd"/>
        <w:r w:rsidR="00DE0959">
          <w:rPr>
            <w:color w:val="1155CC"/>
            <w:u w:val="single"/>
          </w:rPr>
          <w:t>://doi.org/10.1016/j.heliyon.2022.e10036</w:t>
        </w:r>
      </w:hyperlink>
      <w:r>
        <w:t xml:space="preserve">. </w:t>
      </w:r>
    </w:p>
    <w:p w14:paraId="268AB5D6" w14:textId="77777777" w:rsidR="00DE0959" w:rsidRDefault="00000000" w:rsidP="00C870A2">
      <w:pPr>
        <w:spacing w:after="240"/>
      </w:pPr>
      <w:r>
        <w:lastRenderedPageBreak/>
        <w:t xml:space="preserve">Patel, K. (2024). </w:t>
      </w:r>
      <w:r>
        <w:rPr>
          <w:i/>
          <w:iCs/>
        </w:rPr>
        <w:t>Capital Raising: A Comprehensive Guide</w:t>
      </w:r>
      <w:r>
        <w:t xml:space="preserve">. [online] dealroom.net. Available at: </w:t>
      </w:r>
      <w:hyperlink r:id="rId58">
        <w:r w:rsidR="00DE0959">
          <w:rPr>
            <w:color w:val="1155CC"/>
            <w:u w:val="single"/>
          </w:rPr>
          <w:t>https://dealroom.net/blog/capital-raising</w:t>
        </w:r>
      </w:hyperlink>
      <w:r>
        <w:t xml:space="preserve">. </w:t>
      </w:r>
    </w:p>
    <w:p w14:paraId="326EA5C4" w14:textId="77777777" w:rsidR="00DE0959" w:rsidRDefault="00000000" w:rsidP="00C870A2">
      <w:pPr>
        <w:spacing w:after="240"/>
      </w:pPr>
      <w:r>
        <w:t xml:space="preserve">Poonawalla Fincorp. (2023). </w:t>
      </w:r>
      <w:r>
        <w:rPr>
          <w:i/>
          <w:iCs/>
        </w:rPr>
        <w:t>Overdraft vs Cash Credit: The Ultimate Guide to Smarter Borrowing</w:t>
      </w:r>
      <w:r>
        <w:t xml:space="preserve">. [online] Available at: </w:t>
      </w:r>
      <w:hyperlink r:id="rId59">
        <w:r w:rsidR="00DE0959">
          <w:rPr>
            <w:color w:val="1155CC"/>
            <w:u w:val="single"/>
          </w:rPr>
          <w:t>https://poonawallafincorp.com/blogs/financial-insights/overdraft-vs-cash-credit</w:t>
        </w:r>
      </w:hyperlink>
      <w:r>
        <w:t xml:space="preserve"> </w:t>
      </w:r>
    </w:p>
    <w:p w14:paraId="59DA0D91" w14:textId="77777777" w:rsidR="00DE0959" w:rsidRDefault="00000000" w:rsidP="00C870A2">
      <w:pPr>
        <w:spacing w:after="240"/>
      </w:pPr>
      <w:r>
        <w:t xml:space="preserve">Potnis, V., Acharya, A.B. and Lakhera, V. (2025). Revenue Multiple Valuation of Early-Stage of Startups in India. </w:t>
      </w:r>
      <w:r>
        <w:rPr>
          <w:i/>
          <w:iCs/>
        </w:rPr>
        <w:t>Navigating Strategic Partnerships for Sustainable Startup Growth</w:t>
      </w:r>
      <w:r>
        <w:t xml:space="preserve">, [online] pp.131–158. </w:t>
      </w:r>
      <w:proofErr w:type="spellStart"/>
      <w:r>
        <w:t>doi:</w:t>
      </w:r>
      <w:hyperlink r:id="rId60">
        <w:r w:rsidR="00DE0959">
          <w:rPr>
            <w:color w:val="1155CC"/>
            <w:u w:val="single"/>
          </w:rPr>
          <w:t>https</w:t>
        </w:r>
        <w:proofErr w:type="spellEnd"/>
        <w:r w:rsidR="00DE0959">
          <w:rPr>
            <w:color w:val="1155CC"/>
            <w:u w:val="single"/>
          </w:rPr>
          <w:t>://doi.org/10.4018/979-8-3693-4066-0.ch006</w:t>
        </w:r>
      </w:hyperlink>
      <w:r>
        <w:t xml:space="preserve">. </w:t>
      </w:r>
    </w:p>
    <w:p w14:paraId="1D476AD0" w14:textId="77777777" w:rsidR="00DE0959" w:rsidRDefault="00000000" w:rsidP="00C870A2">
      <w:pPr>
        <w:spacing w:after="240"/>
      </w:pPr>
      <w:r>
        <w:t xml:space="preserve">Prudential Private Capital (2023). </w:t>
      </w:r>
      <w:r>
        <w:rPr>
          <w:i/>
          <w:iCs/>
        </w:rPr>
        <w:t>The Benefits of Long-Term vs. Short-Term Financing</w:t>
      </w:r>
      <w:r>
        <w:t xml:space="preserve">. [online] www.prudentialprivatecapital.com. Available at: </w:t>
      </w:r>
      <w:hyperlink r:id="rId61">
        <w:r w:rsidR="00DE0959">
          <w:rPr>
            <w:color w:val="1155CC"/>
            <w:u w:val="single"/>
          </w:rPr>
          <w:t>https://www.prudentialprivatecapital.com/perspectives/the-benefits-of-long-term-vs-short-term-financing</w:t>
        </w:r>
      </w:hyperlink>
      <w:r>
        <w:t xml:space="preserve">. </w:t>
      </w:r>
    </w:p>
    <w:p w14:paraId="57D9800F" w14:textId="77777777" w:rsidR="00DE0959" w:rsidRDefault="00000000" w:rsidP="00C870A2">
      <w:pPr>
        <w:spacing w:after="240"/>
      </w:pPr>
      <w:r>
        <w:t xml:space="preserve">Reid, R. (2024). </w:t>
      </w:r>
      <w:r>
        <w:rPr>
          <w:i/>
          <w:iCs/>
        </w:rPr>
        <w:t>What is Import Tax?</w:t>
      </w:r>
      <w:r>
        <w:t xml:space="preserve"> [online] </w:t>
      </w:r>
      <w:proofErr w:type="spellStart"/>
      <w:r>
        <w:t>TecEx</w:t>
      </w:r>
      <w:proofErr w:type="spellEnd"/>
      <w:r>
        <w:t xml:space="preserve">. Available at: </w:t>
      </w:r>
      <w:hyperlink r:id="rId62">
        <w:r w:rsidR="00DE0959">
          <w:rPr>
            <w:color w:val="1155CC"/>
            <w:u w:val="single"/>
          </w:rPr>
          <w:t>https://tecex.com/what-is-import-tax/</w:t>
        </w:r>
      </w:hyperlink>
      <w:r>
        <w:t xml:space="preserve"> </w:t>
      </w:r>
    </w:p>
    <w:p w14:paraId="4E1298C3" w14:textId="77777777" w:rsidR="00DE0959" w:rsidRDefault="00000000" w:rsidP="00C870A2">
      <w:pPr>
        <w:spacing w:after="240"/>
      </w:pPr>
      <w:r>
        <w:t xml:space="preserve">Sap.com. (2025). </w:t>
      </w:r>
      <w:r>
        <w:rPr>
          <w:i/>
          <w:iCs/>
        </w:rPr>
        <w:t xml:space="preserve">10 proven strategies to reduce procurement costs and enhance </w:t>
      </w:r>
      <w:proofErr w:type="gramStart"/>
      <w:r>
        <w:rPr>
          <w:i/>
          <w:iCs/>
        </w:rPr>
        <w:t>spend</w:t>
      </w:r>
      <w:proofErr w:type="gramEnd"/>
      <w:r>
        <w:rPr>
          <w:i/>
          <w:iCs/>
        </w:rPr>
        <w:t xml:space="preserve"> efficiency</w:t>
      </w:r>
      <w:r>
        <w:t xml:space="preserve">. [online] Available at: </w:t>
      </w:r>
      <w:hyperlink r:id="rId63">
        <w:r w:rsidR="00DE0959">
          <w:rPr>
            <w:color w:val="1155CC"/>
            <w:u w:val="single"/>
          </w:rPr>
          <w:t>https://www.sap.com/norway/resources/procurement-cost-savings-strategies</w:t>
        </w:r>
      </w:hyperlink>
      <w:r>
        <w:t xml:space="preserve"> </w:t>
      </w:r>
    </w:p>
    <w:p w14:paraId="3A7B5E76" w14:textId="77777777" w:rsidR="00DE0959" w:rsidRDefault="00000000" w:rsidP="00C870A2">
      <w:pPr>
        <w:spacing w:after="240"/>
      </w:pPr>
      <w:r>
        <w:t xml:space="preserve">Sheng, X. and An, Y. (2024). The nonlinear impact of financial flexibility on corporate sustainability: Empirical evidence from the Chinese manufacturing industry. </w:t>
      </w:r>
      <w:proofErr w:type="spellStart"/>
      <w:r>
        <w:rPr>
          <w:i/>
          <w:iCs/>
        </w:rPr>
        <w:t>Heliyon</w:t>
      </w:r>
      <w:proofErr w:type="spellEnd"/>
      <w:r>
        <w:t xml:space="preserve">, [online] 10(6), </w:t>
      </w:r>
      <w:proofErr w:type="gramStart"/>
      <w:r>
        <w:t>pp.e</w:t>
      </w:r>
      <w:proofErr w:type="gramEnd"/>
      <w:r>
        <w:t xml:space="preserve">27825–e27825. </w:t>
      </w:r>
      <w:proofErr w:type="spellStart"/>
      <w:r>
        <w:t>doi:</w:t>
      </w:r>
      <w:hyperlink r:id="rId64">
        <w:r w:rsidR="00DE0959">
          <w:rPr>
            <w:color w:val="1155CC"/>
            <w:u w:val="single"/>
          </w:rPr>
          <w:t>https</w:t>
        </w:r>
        <w:proofErr w:type="spellEnd"/>
        <w:r w:rsidR="00DE0959">
          <w:rPr>
            <w:color w:val="1155CC"/>
            <w:u w:val="single"/>
          </w:rPr>
          <w:t>://doi.org/10.1016/j.heliyon.2024.e27825</w:t>
        </w:r>
      </w:hyperlink>
      <w:r>
        <w:t xml:space="preserve">. </w:t>
      </w:r>
    </w:p>
    <w:p w14:paraId="29E3A4BE" w14:textId="77777777" w:rsidR="00DE0959" w:rsidRDefault="00000000" w:rsidP="00C870A2">
      <w:pPr>
        <w:spacing w:after="240"/>
      </w:pPr>
      <w:r>
        <w:t xml:space="preserve">Shukaili, S.A., Jamaluddin, Z. and Zulkifli, N. (2023). The impact of strategic inventory management on logistics organization’s performance. </w:t>
      </w:r>
      <w:r>
        <w:rPr>
          <w:i/>
          <w:iCs/>
        </w:rPr>
        <w:t>International Journal of Business and Technology Management</w:t>
      </w:r>
      <w:r>
        <w:t xml:space="preserve">, [online] 5(3). Available at: </w:t>
      </w:r>
      <w:hyperlink r:id="rId65">
        <w:r w:rsidR="00DE0959">
          <w:rPr>
            <w:color w:val="1155CC"/>
            <w:u w:val="single"/>
          </w:rPr>
          <w:t>https://www.semanticscholar.org/paper/The-Impact-of-Strategic-Inventory-Management-on/cc5395bd57c67528b7bb76dd46d9eaf6a16e709e</w:t>
        </w:r>
      </w:hyperlink>
      <w:r>
        <w:t xml:space="preserve">. </w:t>
      </w:r>
    </w:p>
    <w:p w14:paraId="1D33D8A1" w14:textId="77777777" w:rsidR="00DE0959" w:rsidRDefault="00000000" w:rsidP="00C870A2">
      <w:pPr>
        <w:spacing w:after="240"/>
      </w:pPr>
      <w:r>
        <w:lastRenderedPageBreak/>
        <w:t xml:space="preserve">Singhal, B. (2024). </w:t>
      </w:r>
      <w:r>
        <w:rPr>
          <w:i/>
          <w:iCs/>
        </w:rPr>
        <w:t>Net Present Value vs Internal Rate of Return</w:t>
      </w:r>
      <w:r>
        <w:t xml:space="preserve">. [online] Financial Edge. Available at: </w:t>
      </w:r>
      <w:hyperlink r:id="rId66">
        <w:r w:rsidR="00DE0959">
          <w:rPr>
            <w:color w:val="1155CC"/>
            <w:u w:val="single"/>
          </w:rPr>
          <w:t>https://www.fe.training/free-resources/valuation/net-present-value-vs-internal-rate-of-return/</w:t>
        </w:r>
      </w:hyperlink>
      <w:r>
        <w:t xml:space="preserve">. </w:t>
      </w:r>
    </w:p>
    <w:p w14:paraId="690A5687" w14:textId="77777777" w:rsidR="00DE0959" w:rsidRDefault="00000000" w:rsidP="00C870A2">
      <w:pPr>
        <w:spacing w:after="240"/>
      </w:pPr>
      <w:r>
        <w:t xml:space="preserve">Startup Savant. (2024). </w:t>
      </w:r>
      <w:r>
        <w:rPr>
          <w:i/>
          <w:iCs/>
        </w:rPr>
        <w:t xml:space="preserve">What Is Non-Dilutive Funding? | </w:t>
      </w:r>
      <w:proofErr w:type="spellStart"/>
      <w:r>
        <w:rPr>
          <w:i/>
          <w:iCs/>
        </w:rPr>
        <w:t>TRUiC</w:t>
      </w:r>
      <w:proofErr w:type="spellEnd"/>
      <w:r>
        <w:t xml:space="preserve">. [online] Available at: </w:t>
      </w:r>
      <w:hyperlink r:id="rId67">
        <w:r w:rsidR="00DE0959">
          <w:rPr>
            <w:color w:val="1155CC"/>
            <w:u w:val="single"/>
          </w:rPr>
          <w:t>https://startupsavant.com/startup-finance/what-is-non-dilutive-funding</w:t>
        </w:r>
      </w:hyperlink>
      <w:r>
        <w:t xml:space="preserve"> </w:t>
      </w:r>
    </w:p>
    <w:p w14:paraId="4CA6622B" w14:textId="77777777" w:rsidR="00DE0959" w:rsidRDefault="00000000" w:rsidP="00C870A2">
      <w:pPr>
        <w:spacing w:after="240"/>
      </w:pPr>
      <w:proofErr w:type="spellStart"/>
      <w:r>
        <w:t>Tabachová</w:t>
      </w:r>
      <w:proofErr w:type="spellEnd"/>
      <w:r>
        <w:t xml:space="preserve">, Z., Diem, C., Borsos, A., Burger, C. and Thurner, S. (2024). Estimating the impact of supply chain network contagion on financial stability. </w:t>
      </w:r>
      <w:r>
        <w:rPr>
          <w:i/>
          <w:iCs/>
        </w:rPr>
        <w:t>Journal of Financial Stability</w:t>
      </w:r>
      <w:r>
        <w:t xml:space="preserve">, 75, p.101336. </w:t>
      </w:r>
      <w:proofErr w:type="spellStart"/>
      <w:r>
        <w:t>doi:</w:t>
      </w:r>
      <w:hyperlink r:id="rId68">
        <w:r w:rsidR="00DE0959">
          <w:rPr>
            <w:color w:val="1155CC"/>
            <w:u w:val="single"/>
          </w:rPr>
          <w:t>https</w:t>
        </w:r>
        <w:proofErr w:type="spellEnd"/>
        <w:r w:rsidR="00DE0959">
          <w:rPr>
            <w:color w:val="1155CC"/>
            <w:u w:val="single"/>
          </w:rPr>
          <w:t>://doi.org/10.1016/j.jfs.2024.101336</w:t>
        </w:r>
      </w:hyperlink>
      <w:r>
        <w:t xml:space="preserve">. </w:t>
      </w:r>
    </w:p>
    <w:p w14:paraId="2610DF65" w14:textId="77777777" w:rsidR="00DE0959" w:rsidRDefault="00000000" w:rsidP="00C870A2">
      <w:pPr>
        <w:spacing w:after="240"/>
      </w:pPr>
      <w:r>
        <w:t xml:space="preserve">Vipond, T. (2024). </w:t>
      </w:r>
      <w:r>
        <w:rPr>
          <w:i/>
          <w:iCs/>
        </w:rPr>
        <w:t>Profitability Ratios</w:t>
      </w:r>
      <w:r>
        <w:t xml:space="preserve">. [online] Corporate Finance Institute. Available at: </w:t>
      </w:r>
      <w:hyperlink r:id="rId69">
        <w:r w:rsidR="00DE0959">
          <w:rPr>
            <w:color w:val="1155CC"/>
            <w:u w:val="single"/>
          </w:rPr>
          <w:t>https://corporatefinanceinstitute.com/resources/accounting/profitability-ratios/</w:t>
        </w:r>
      </w:hyperlink>
      <w:r>
        <w:t xml:space="preserve">. </w:t>
      </w:r>
    </w:p>
    <w:p w14:paraId="7056DC03" w14:textId="77777777" w:rsidR="00DE0959" w:rsidRDefault="00000000" w:rsidP="00C870A2">
      <w:pPr>
        <w:spacing w:after="240"/>
      </w:pPr>
      <w:r>
        <w:t xml:space="preserve">Vipond, T. (2025). </w:t>
      </w:r>
      <w:r>
        <w:rPr>
          <w:i/>
          <w:iCs/>
        </w:rPr>
        <w:t>ARR - Accounting Rate of Return</w:t>
      </w:r>
      <w:r>
        <w:t xml:space="preserve">. [online] Corporate Finance Institute. Available at: </w:t>
      </w:r>
      <w:hyperlink r:id="rId70">
        <w:r w:rsidR="00DE0959">
          <w:rPr>
            <w:color w:val="1155CC"/>
            <w:u w:val="single"/>
          </w:rPr>
          <w:t>https://corporatefinanceinstitute.com/resources/accounting/arr-accounting-rate-of-return/</w:t>
        </w:r>
      </w:hyperlink>
      <w:r>
        <w:t xml:space="preserve">. </w:t>
      </w:r>
    </w:p>
    <w:p w14:paraId="4F435361" w14:textId="77777777" w:rsidR="00DE0959" w:rsidRDefault="00000000" w:rsidP="00C870A2">
      <w:pPr>
        <w:spacing w:after="240"/>
      </w:pPr>
      <w:r>
        <w:t xml:space="preserve">Wall Street Prep (2024). </w:t>
      </w:r>
      <w:r>
        <w:rPr>
          <w:i/>
          <w:iCs/>
        </w:rPr>
        <w:t>Payback Period: Formula and Discounted Method Example</w:t>
      </w:r>
      <w:r>
        <w:t xml:space="preserve">. [online] Wall Street Prep. Available at: </w:t>
      </w:r>
      <w:hyperlink r:id="rId71">
        <w:r w:rsidR="00DE0959">
          <w:rPr>
            <w:color w:val="1155CC"/>
            <w:u w:val="single"/>
          </w:rPr>
          <w:t>https://www.wallstreetprep.com/knowledge/payback-period/</w:t>
        </w:r>
      </w:hyperlink>
      <w:r>
        <w:t xml:space="preserve">. </w:t>
      </w:r>
    </w:p>
    <w:p w14:paraId="64E2867B" w14:textId="77777777" w:rsidR="00DE0959" w:rsidRDefault="00000000" w:rsidP="00C870A2">
      <w:pPr>
        <w:spacing w:after="240"/>
      </w:pPr>
      <w:r>
        <w:t xml:space="preserve">Wall Street Prep. (2025). </w:t>
      </w:r>
      <w:r>
        <w:rPr>
          <w:i/>
          <w:iCs/>
        </w:rPr>
        <w:t>Solvency</w:t>
      </w:r>
      <w:r>
        <w:t xml:space="preserve">. [online] Available at: </w:t>
      </w:r>
      <w:hyperlink r:id="rId72">
        <w:r w:rsidR="00DE0959">
          <w:rPr>
            <w:color w:val="1155CC"/>
            <w:u w:val="single"/>
          </w:rPr>
          <w:t>https://www.wallstreetprep.com/knowledge/solvency/</w:t>
        </w:r>
      </w:hyperlink>
      <w:r>
        <w:t xml:space="preserve">. </w:t>
      </w:r>
    </w:p>
    <w:p w14:paraId="614DF925" w14:textId="77777777" w:rsidR="00DE0959" w:rsidRDefault="00000000" w:rsidP="00C870A2">
      <w:pPr>
        <w:spacing w:after="240"/>
      </w:pPr>
      <w:proofErr w:type="spellStart"/>
      <w:r>
        <w:t>Xiuguo</w:t>
      </w:r>
      <w:proofErr w:type="spellEnd"/>
      <w:r>
        <w:t xml:space="preserve">, W. and </w:t>
      </w:r>
      <w:proofErr w:type="spellStart"/>
      <w:r>
        <w:t>Shengyong</w:t>
      </w:r>
      <w:proofErr w:type="spellEnd"/>
      <w:r>
        <w:t xml:space="preserve">, D. (2022). An Analysis on Financial Statement Fraud Detection for Chinese Listed Companies Using Deep Learning. </w:t>
      </w:r>
      <w:r>
        <w:rPr>
          <w:i/>
          <w:iCs/>
        </w:rPr>
        <w:t>IEEE Access</w:t>
      </w:r>
      <w:r>
        <w:t xml:space="preserve">, 10, pp.22516–22532. </w:t>
      </w:r>
      <w:proofErr w:type="spellStart"/>
      <w:r>
        <w:t>doi:</w:t>
      </w:r>
      <w:hyperlink r:id="rId73">
        <w:r w:rsidR="00DE0959">
          <w:rPr>
            <w:color w:val="1155CC"/>
            <w:u w:val="single"/>
          </w:rPr>
          <w:t>https</w:t>
        </w:r>
        <w:proofErr w:type="spellEnd"/>
        <w:r w:rsidR="00DE0959">
          <w:rPr>
            <w:color w:val="1155CC"/>
            <w:u w:val="single"/>
          </w:rPr>
          <w:t>://doi.org/10.1109/access.2022.3153478</w:t>
        </w:r>
      </w:hyperlink>
      <w:r>
        <w:t xml:space="preserve">. </w:t>
      </w:r>
    </w:p>
    <w:p w14:paraId="075BDFD4" w14:textId="4D2774D2" w:rsidR="00C870A2" w:rsidRDefault="00000000" w:rsidP="00C870A2">
      <w:pPr>
        <w:spacing w:after="240"/>
      </w:pPr>
      <w:r>
        <w:t xml:space="preserve">Zehri, C. and Iben Ammar, L.S. (2023). Managing capital flow reversals. </w:t>
      </w:r>
      <w:r>
        <w:rPr>
          <w:i/>
          <w:iCs/>
        </w:rPr>
        <w:t>Economic and Political Studies</w:t>
      </w:r>
      <w:r>
        <w:t xml:space="preserve">, pp.1–22. </w:t>
      </w:r>
      <w:proofErr w:type="spellStart"/>
      <w:r>
        <w:t>doi:</w:t>
      </w:r>
      <w:hyperlink r:id="rId74">
        <w:r w:rsidR="00C870A2">
          <w:rPr>
            <w:color w:val="1155CC"/>
            <w:u w:val="single"/>
          </w:rPr>
          <w:t>https</w:t>
        </w:r>
        <w:proofErr w:type="spellEnd"/>
        <w:r w:rsidR="00C870A2">
          <w:rPr>
            <w:color w:val="1155CC"/>
            <w:u w:val="single"/>
          </w:rPr>
          <w:t>://doi.org/10.1080/20954816.2022.2163602</w:t>
        </w:r>
      </w:hyperlink>
      <w:r>
        <w:t xml:space="preserve">. </w:t>
      </w:r>
    </w:p>
    <w:p w14:paraId="7DB987CF" w14:textId="77777777" w:rsidR="00C870A2" w:rsidRDefault="00C870A2" w:rsidP="00C870A2">
      <w:r>
        <w:br w:type="page"/>
      </w:r>
    </w:p>
    <w:p w14:paraId="6661B346" w14:textId="77A03FC6" w:rsidR="00DE0959" w:rsidRDefault="00C870A2" w:rsidP="00C870A2">
      <w:pPr>
        <w:pStyle w:val="Heading1"/>
      </w:pPr>
      <w:r>
        <w:lastRenderedPageBreak/>
        <w:t>Appendix</w:t>
      </w:r>
    </w:p>
    <w:p w14:paraId="077E0180" w14:textId="2BF56089" w:rsidR="00C870A2" w:rsidRDefault="00C870A2" w:rsidP="00C870A2">
      <w:pPr>
        <w:rPr>
          <w:b/>
          <w:bCs/>
        </w:rPr>
      </w:pPr>
      <w:r w:rsidRPr="00C870A2">
        <w:rPr>
          <w:b/>
          <w:bCs/>
        </w:rPr>
        <w:t>Ratio Calculation</w:t>
      </w:r>
    </w:p>
    <w:tbl>
      <w:tblPr>
        <w:tblW w:w="5000" w:type="pct"/>
        <w:tblLook w:val="04A0" w:firstRow="1" w:lastRow="0" w:firstColumn="1" w:lastColumn="0" w:noHBand="0" w:noVBand="1"/>
      </w:tblPr>
      <w:tblGrid>
        <w:gridCol w:w="2574"/>
        <w:gridCol w:w="1320"/>
        <w:gridCol w:w="1320"/>
        <w:gridCol w:w="1320"/>
        <w:gridCol w:w="1403"/>
        <w:gridCol w:w="1403"/>
      </w:tblGrid>
      <w:tr w:rsidR="00C870A2" w:rsidRPr="00C870A2" w14:paraId="512FD7B9" w14:textId="77777777" w:rsidTr="00C870A2">
        <w:trPr>
          <w:trHeight w:val="324"/>
        </w:trPr>
        <w:tc>
          <w:tcPr>
            <w:tcW w:w="5000" w:type="pct"/>
            <w:gridSpan w:val="6"/>
            <w:tcBorders>
              <w:top w:val="single" w:sz="8" w:space="0" w:color="auto"/>
              <w:left w:val="single" w:sz="8" w:space="0" w:color="auto"/>
              <w:bottom w:val="single" w:sz="8" w:space="0" w:color="auto"/>
              <w:right w:val="single" w:sz="8" w:space="0" w:color="000000"/>
            </w:tcBorders>
            <w:noWrap/>
            <w:vAlign w:val="center"/>
            <w:hideMark/>
          </w:tcPr>
          <w:p w14:paraId="72736D2A" w14:textId="77777777" w:rsidR="00C870A2" w:rsidRPr="00C870A2" w:rsidRDefault="00C870A2" w:rsidP="00C870A2">
            <w:pPr>
              <w:spacing w:after="0"/>
              <w:jc w:val="center"/>
              <w:rPr>
                <w:b/>
                <w:bCs/>
                <w:color w:val="000000"/>
                <w:lang w:val="en-IN"/>
              </w:rPr>
            </w:pPr>
            <w:r w:rsidRPr="00C870A2">
              <w:rPr>
                <w:b/>
                <w:bCs/>
                <w:color w:val="000000"/>
                <w:lang w:val="en-IN"/>
              </w:rPr>
              <w:t>Profitability Ratios</w:t>
            </w:r>
          </w:p>
        </w:tc>
      </w:tr>
      <w:tr w:rsidR="00C870A2" w:rsidRPr="00C870A2" w14:paraId="11569085"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3373AA9A" w14:textId="77777777" w:rsidR="00C870A2" w:rsidRPr="00C870A2" w:rsidRDefault="00C870A2" w:rsidP="00C870A2">
            <w:pPr>
              <w:spacing w:after="0"/>
              <w:jc w:val="center"/>
              <w:rPr>
                <w:b/>
                <w:bCs/>
                <w:color w:val="000000"/>
                <w:lang w:val="en-IN"/>
              </w:rPr>
            </w:pPr>
            <w:r w:rsidRPr="00C870A2">
              <w:rPr>
                <w:b/>
                <w:bCs/>
                <w:color w:val="000000"/>
                <w:lang w:val="en-IN"/>
              </w:rPr>
              <w:t>Particulars</w:t>
            </w:r>
          </w:p>
        </w:tc>
        <w:tc>
          <w:tcPr>
            <w:tcW w:w="684" w:type="pct"/>
            <w:tcBorders>
              <w:top w:val="nil"/>
              <w:left w:val="nil"/>
              <w:bottom w:val="single" w:sz="4" w:space="0" w:color="auto"/>
              <w:right w:val="single" w:sz="4" w:space="0" w:color="auto"/>
            </w:tcBorders>
            <w:noWrap/>
            <w:vAlign w:val="center"/>
            <w:hideMark/>
          </w:tcPr>
          <w:p w14:paraId="776499FA" w14:textId="77777777" w:rsidR="00C870A2" w:rsidRPr="00C870A2" w:rsidRDefault="00C870A2" w:rsidP="00C870A2">
            <w:pPr>
              <w:spacing w:after="0"/>
              <w:jc w:val="center"/>
              <w:rPr>
                <w:b/>
                <w:bCs/>
                <w:color w:val="000000"/>
                <w:lang w:val="en-IN"/>
              </w:rPr>
            </w:pPr>
            <w:r w:rsidRPr="00C870A2">
              <w:rPr>
                <w:b/>
                <w:bCs/>
                <w:color w:val="000000"/>
                <w:lang w:val="en-IN"/>
              </w:rPr>
              <w:t>2020</w:t>
            </w:r>
          </w:p>
        </w:tc>
        <w:tc>
          <w:tcPr>
            <w:tcW w:w="684" w:type="pct"/>
            <w:tcBorders>
              <w:top w:val="nil"/>
              <w:left w:val="nil"/>
              <w:bottom w:val="single" w:sz="4" w:space="0" w:color="auto"/>
              <w:right w:val="single" w:sz="4" w:space="0" w:color="auto"/>
            </w:tcBorders>
            <w:noWrap/>
            <w:vAlign w:val="center"/>
            <w:hideMark/>
          </w:tcPr>
          <w:p w14:paraId="69740953" w14:textId="77777777" w:rsidR="00C870A2" w:rsidRPr="00C870A2" w:rsidRDefault="00C870A2" w:rsidP="00C870A2">
            <w:pPr>
              <w:spacing w:after="0"/>
              <w:jc w:val="center"/>
              <w:rPr>
                <w:b/>
                <w:bCs/>
                <w:color w:val="000000"/>
                <w:lang w:val="en-IN"/>
              </w:rPr>
            </w:pPr>
            <w:r w:rsidRPr="00C870A2">
              <w:rPr>
                <w:b/>
                <w:bCs/>
                <w:color w:val="000000"/>
                <w:lang w:val="en-IN"/>
              </w:rPr>
              <w:t>2021</w:t>
            </w:r>
          </w:p>
        </w:tc>
        <w:tc>
          <w:tcPr>
            <w:tcW w:w="684" w:type="pct"/>
            <w:tcBorders>
              <w:top w:val="nil"/>
              <w:left w:val="nil"/>
              <w:bottom w:val="single" w:sz="4" w:space="0" w:color="auto"/>
              <w:right w:val="single" w:sz="4" w:space="0" w:color="auto"/>
            </w:tcBorders>
            <w:noWrap/>
            <w:vAlign w:val="center"/>
            <w:hideMark/>
          </w:tcPr>
          <w:p w14:paraId="23969896" w14:textId="77777777" w:rsidR="00C870A2" w:rsidRPr="00C870A2" w:rsidRDefault="00C870A2" w:rsidP="00C870A2">
            <w:pPr>
              <w:spacing w:after="0"/>
              <w:jc w:val="center"/>
              <w:rPr>
                <w:b/>
                <w:bCs/>
                <w:color w:val="000000"/>
                <w:lang w:val="en-IN"/>
              </w:rPr>
            </w:pPr>
            <w:r w:rsidRPr="00C870A2">
              <w:rPr>
                <w:b/>
                <w:bCs/>
                <w:color w:val="000000"/>
                <w:lang w:val="en-IN"/>
              </w:rPr>
              <w:t>2022</w:t>
            </w:r>
          </w:p>
        </w:tc>
        <w:tc>
          <w:tcPr>
            <w:tcW w:w="735" w:type="pct"/>
            <w:tcBorders>
              <w:top w:val="nil"/>
              <w:left w:val="nil"/>
              <w:bottom w:val="single" w:sz="4" w:space="0" w:color="auto"/>
              <w:right w:val="single" w:sz="4" w:space="0" w:color="auto"/>
            </w:tcBorders>
            <w:noWrap/>
            <w:vAlign w:val="center"/>
            <w:hideMark/>
          </w:tcPr>
          <w:p w14:paraId="63686764" w14:textId="77777777" w:rsidR="00C870A2" w:rsidRPr="00C870A2" w:rsidRDefault="00C870A2" w:rsidP="00C870A2">
            <w:pPr>
              <w:spacing w:after="0"/>
              <w:jc w:val="center"/>
              <w:rPr>
                <w:b/>
                <w:bCs/>
                <w:color w:val="000000"/>
                <w:lang w:val="en-IN"/>
              </w:rPr>
            </w:pPr>
            <w:r w:rsidRPr="00C870A2">
              <w:rPr>
                <w:b/>
                <w:bCs/>
                <w:color w:val="000000"/>
                <w:lang w:val="en-IN"/>
              </w:rPr>
              <w:t>2023</w:t>
            </w:r>
          </w:p>
        </w:tc>
        <w:tc>
          <w:tcPr>
            <w:tcW w:w="735" w:type="pct"/>
            <w:tcBorders>
              <w:top w:val="nil"/>
              <w:left w:val="nil"/>
              <w:bottom w:val="single" w:sz="4" w:space="0" w:color="auto"/>
              <w:right w:val="single" w:sz="8" w:space="0" w:color="auto"/>
            </w:tcBorders>
            <w:noWrap/>
            <w:vAlign w:val="center"/>
            <w:hideMark/>
          </w:tcPr>
          <w:p w14:paraId="37534A4F" w14:textId="77777777" w:rsidR="00C870A2" w:rsidRPr="00C870A2" w:rsidRDefault="00C870A2" w:rsidP="00C870A2">
            <w:pPr>
              <w:spacing w:after="0"/>
              <w:jc w:val="center"/>
              <w:rPr>
                <w:b/>
                <w:bCs/>
                <w:color w:val="000000"/>
                <w:lang w:val="en-IN"/>
              </w:rPr>
            </w:pPr>
            <w:r w:rsidRPr="00C870A2">
              <w:rPr>
                <w:b/>
                <w:bCs/>
                <w:color w:val="000000"/>
                <w:lang w:val="en-IN"/>
              </w:rPr>
              <w:t>2024</w:t>
            </w:r>
          </w:p>
        </w:tc>
      </w:tr>
      <w:tr w:rsidR="00C870A2" w:rsidRPr="00C870A2" w14:paraId="719E6BBF"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40F2ED4C" w14:textId="77777777" w:rsidR="00C870A2" w:rsidRPr="00C870A2" w:rsidRDefault="00C870A2" w:rsidP="00C870A2">
            <w:pPr>
              <w:spacing w:after="0"/>
              <w:jc w:val="left"/>
              <w:rPr>
                <w:color w:val="000000"/>
                <w:lang w:val="en-IN"/>
              </w:rPr>
            </w:pPr>
            <w:r w:rsidRPr="00C870A2">
              <w:rPr>
                <w:color w:val="000000"/>
                <w:lang w:val="en-IN"/>
              </w:rPr>
              <w:t>Revenue (£m)</w:t>
            </w:r>
          </w:p>
        </w:tc>
        <w:tc>
          <w:tcPr>
            <w:tcW w:w="684" w:type="pct"/>
            <w:tcBorders>
              <w:top w:val="nil"/>
              <w:left w:val="nil"/>
              <w:bottom w:val="single" w:sz="4" w:space="0" w:color="auto"/>
              <w:right w:val="single" w:sz="4" w:space="0" w:color="auto"/>
            </w:tcBorders>
            <w:noWrap/>
            <w:vAlign w:val="center"/>
            <w:hideMark/>
          </w:tcPr>
          <w:p w14:paraId="4286522D" w14:textId="77777777" w:rsidR="00C870A2" w:rsidRPr="00C870A2" w:rsidRDefault="00C870A2" w:rsidP="00C870A2">
            <w:pPr>
              <w:spacing w:after="0"/>
              <w:jc w:val="center"/>
              <w:rPr>
                <w:color w:val="000000"/>
                <w:lang w:val="en-IN"/>
              </w:rPr>
            </w:pPr>
            <w:r w:rsidRPr="00C870A2">
              <w:rPr>
                <w:color w:val="000000"/>
                <w:lang w:val="en-IN"/>
              </w:rPr>
              <w:t xml:space="preserve">   6,14,680.00 </w:t>
            </w:r>
          </w:p>
        </w:tc>
        <w:tc>
          <w:tcPr>
            <w:tcW w:w="684" w:type="pct"/>
            <w:tcBorders>
              <w:top w:val="nil"/>
              <w:left w:val="nil"/>
              <w:bottom w:val="single" w:sz="4" w:space="0" w:color="auto"/>
              <w:right w:val="single" w:sz="4" w:space="0" w:color="auto"/>
            </w:tcBorders>
            <w:noWrap/>
            <w:vAlign w:val="center"/>
            <w:hideMark/>
          </w:tcPr>
          <w:p w14:paraId="360B72D2" w14:textId="77777777" w:rsidR="00C870A2" w:rsidRPr="00C870A2" w:rsidRDefault="00C870A2" w:rsidP="00C870A2">
            <w:pPr>
              <w:spacing w:after="0"/>
              <w:jc w:val="center"/>
              <w:rPr>
                <w:color w:val="000000"/>
                <w:lang w:val="en-IN"/>
              </w:rPr>
            </w:pPr>
            <w:r w:rsidRPr="00C870A2">
              <w:rPr>
                <w:color w:val="000000"/>
                <w:lang w:val="en-IN"/>
              </w:rPr>
              <w:t xml:space="preserve">   6,01,602.00 </w:t>
            </w:r>
          </w:p>
        </w:tc>
        <w:tc>
          <w:tcPr>
            <w:tcW w:w="684" w:type="pct"/>
            <w:tcBorders>
              <w:top w:val="nil"/>
              <w:left w:val="nil"/>
              <w:bottom w:val="single" w:sz="4" w:space="0" w:color="auto"/>
              <w:right w:val="single" w:sz="4" w:space="0" w:color="auto"/>
            </w:tcBorders>
            <w:noWrap/>
            <w:vAlign w:val="center"/>
            <w:hideMark/>
          </w:tcPr>
          <w:p w14:paraId="7040C065" w14:textId="77777777" w:rsidR="00C870A2" w:rsidRPr="00C870A2" w:rsidRDefault="00C870A2" w:rsidP="00C870A2">
            <w:pPr>
              <w:spacing w:after="0"/>
              <w:jc w:val="center"/>
              <w:rPr>
                <w:color w:val="000000"/>
                <w:lang w:val="en-IN"/>
              </w:rPr>
            </w:pPr>
            <w:r w:rsidRPr="00C870A2">
              <w:rPr>
                <w:color w:val="000000"/>
                <w:lang w:val="en-IN"/>
              </w:rPr>
              <w:t xml:space="preserve">   5,42,751.00 </w:t>
            </w:r>
          </w:p>
        </w:tc>
        <w:tc>
          <w:tcPr>
            <w:tcW w:w="735" w:type="pct"/>
            <w:tcBorders>
              <w:top w:val="nil"/>
              <w:left w:val="nil"/>
              <w:bottom w:val="single" w:sz="4" w:space="0" w:color="auto"/>
              <w:right w:val="single" w:sz="4" w:space="0" w:color="auto"/>
            </w:tcBorders>
            <w:noWrap/>
            <w:vAlign w:val="center"/>
            <w:hideMark/>
          </w:tcPr>
          <w:p w14:paraId="7F21E849" w14:textId="77777777" w:rsidR="00C870A2" w:rsidRPr="00C870A2" w:rsidRDefault="00C870A2" w:rsidP="00C870A2">
            <w:pPr>
              <w:spacing w:after="0"/>
              <w:jc w:val="center"/>
              <w:rPr>
                <w:color w:val="000000"/>
                <w:lang w:val="en-IN"/>
              </w:rPr>
            </w:pPr>
            <w:r w:rsidRPr="00C870A2">
              <w:rPr>
                <w:color w:val="000000"/>
                <w:lang w:val="en-IN"/>
              </w:rPr>
              <w:t xml:space="preserve">   4,20,457.00 </w:t>
            </w:r>
          </w:p>
        </w:tc>
        <w:tc>
          <w:tcPr>
            <w:tcW w:w="735" w:type="pct"/>
            <w:tcBorders>
              <w:top w:val="nil"/>
              <w:left w:val="nil"/>
              <w:bottom w:val="single" w:sz="4" w:space="0" w:color="auto"/>
              <w:right w:val="single" w:sz="8" w:space="0" w:color="auto"/>
            </w:tcBorders>
            <w:noWrap/>
            <w:vAlign w:val="center"/>
            <w:hideMark/>
          </w:tcPr>
          <w:p w14:paraId="52D933A0" w14:textId="77777777" w:rsidR="00C870A2" w:rsidRPr="00C870A2" w:rsidRDefault="00C870A2" w:rsidP="00C870A2">
            <w:pPr>
              <w:spacing w:after="0"/>
              <w:jc w:val="center"/>
              <w:rPr>
                <w:color w:val="000000"/>
                <w:lang w:val="en-IN"/>
              </w:rPr>
            </w:pPr>
            <w:r w:rsidRPr="00C870A2">
              <w:rPr>
                <w:color w:val="000000"/>
                <w:lang w:val="en-IN"/>
              </w:rPr>
              <w:t xml:space="preserve">   3,94,879.00 </w:t>
            </w:r>
          </w:p>
        </w:tc>
      </w:tr>
      <w:tr w:rsidR="00C870A2" w:rsidRPr="00C870A2" w14:paraId="5303B141"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65986A6E" w14:textId="77777777" w:rsidR="00C870A2" w:rsidRPr="00C870A2" w:rsidRDefault="00C870A2" w:rsidP="00C870A2">
            <w:pPr>
              <w:spacing w:after="0"/>
              <w:jc w:val="left"/>
              <w:rPr>
                <w:color w:val="000000"/>
                <w:lang w:val="en-IN"/>
              </w:rPr>
            </w:pPr>
            <w:r w:rsidRPr="00C870A2">
              <w:rPr>
                <w:color w:val="000000"/>
                <w:lang w:val="en-IN"/>
              </w:rPr>
              <w:t>Operating Profit/(Loss) (£m)</w:t>
            </w:r>
          </w:p>
        </w:tc>
        <w:tc>
          <w:tcPr>
            <w:tcW w:w="684" w:type="pct"/>
            <w:tcBorders>
              <w:top w:val="nil"/>
              <w:left w:val="nil"/>
              <w:bottom w:val="single" w:sz="4" w:space="0" w:color="auto"/>
              <w:right w:val="single" w:sz="4" w:space="0" w:color="auto"/>
            </w:tcBorders>
            <w:noWrap/>
            <w:vAlign w:val="center"/>
            <w:hideMark/>
          </w:tcPr>
          <w:p w14:paraId="2337FB78" w14:textId="77777777" w:rsidR="00C870A2" w:rsidRPr="00C870A2" w:rsidRDefault="00C870A2" w:rsidP="00C870A2">
            <w:pPr>
              <w:spacing w:after="0"/>
              <w:jc w:val="center"/>
              <w:rPr>
                <w:color w:val="000000"/>
                <w:lang w:val="en-IN"/>
              </w:rPr>
            </w:pPr>
            <w:r w:rsidRPr="00C870A2">
              <w:rPr>
                <w:color w:val="000000"/>
                <w:lang w:val="en-IN"/>
              </w:rPr>
              <w:t xml:space="preserve">      37,267.00 </w:t>
            </w:r>
          </w:p>
        </w:tc>
        <w:tc>
          <w:tcPr>
            <w:tcW w:w="684" w:type="pct"/>
            <w:tcBorders>
              <w:top w:val="nil"/>
              <w:left w:val="nil"/>
              <w:bottom w:val="single" w:sz="4" w:space="0" w:color="auto"/>
              <w:right w:val="single" w:sz="4" w:space="0" w:color="auto"/>
            </w:tcBorders>
            <w:noWrap/>
            <w:vAlign w:val="center"/>
            <w:hideMark/>
          </w:tcPr>
          <w:p w14:paraId="35B6E796" w14:textId="77777777" w:rsidR="00C870A2" w:rsidRPr="00C870A2" w:rsidRDefault="00C870A2" w:rsidP="00C870A2">
            <w:pPr>
              <w:spacing w:after="0"/>
              <w:jc w:val="center"/>
              <w:rPr>
                <w:color w:val="000000"/>
                <w:lang w:val="en-IN"/>
              </w:rPr>
            </w:pPr>
            <w:r w:rsidRPr="00C870A2">
              <w:rPr>
                <w:color w:val="000000"/>
                <w:lang w:val="en-IN"/>
              </w:rPr>
              <w:t xml:space="preserve">      23,253.00 </w:t>
            </w:r>
          </w:p>
        </w:tc>
        <w:tc>
          <w:tcPr>
            <w:tcW w:w="684" w:type="pct"/>
            <w:tcBorders>
              <w:top w:val="nil"/>
              <w:left w:val="nil"/>
              <w:bottom w:val="single" w:sz="4" w:space="0" w:color="auto"/>
              <w:right w:val="single" w:sz="4" w:space="0" w:color="auto"/>
            </w:tcBorders>
            <w:noWrap/>
            <w:vAlign w:val="center"/>
            <w:hideMark/>
          </w:tcPr>
          <w:p w14:paraId="44DF39C9" w14:textId="77777777" w:rsidR="00C870A2" w:rsidRPr="00C870A2" w:rsidRDefault="00C870A2" w:rsidP="00C870A2">
            <w:pPr>
              <w:spacing w:after="0"/>
              <w:jc w:val="center"/>
              <w:rPr>
                <w:color w:val="000000"/>
                <w:lang w:val="en-IN"/>
              </w:rPr>
            </w:pPr>
            <w:r w:rsidRPr="00C870A2">
              <w:rPr>
                <w:color w:val="000000"/>
                <w:lang w:val="en-IN"/>
              </w:rPr>
              <w:t xml:space="preserve">      14,548.00 </w:t>
            </w:r>
          </w:p>
        </w:tc>
        <w:tc>
          <w:tcPr>
            <w:tcW w:w="735" w:type="pct"/>
            <w:tcBorders>
              <w:top w:val="nil"/>
              <w:left w:val="nil"/>
              <w:bottom w:val="single" w:sz="4" w:space="0" w:color="auto"/>
              <w:right w:val="single" w:sz="4" w:space="0" w:color="auto"/>
            </w:tcBorders>
            <w:noWrap/>
            <w:vAlign w:val="center"/>
            <w:hideMark/>
          </w:tcPr>
          <w:p w14:paraId="42B8BB1F" w14:textId="77777777" w:rsidR="00C870A2" w:rsidRPr="00C870A2" w:rsidRDefault="00C870A2" w:rsidP="00C870A2">
            <w:pPr>
              <w:spacing w:after="0"/>
              <w:jc w:val="center"/>
              <w:rPr>
                <w:color w:val="000000"/>
                <w:lang w:val="en-IN"/>
              </w:rPr>
            </w:pPr>
            <w:r w:rsidRPr="00C870A2">
              <w:rPr>
                <w:color w:val="000000"/>
                <w:lang w:val="en-IN"/>
              </w:rPr>
              <w:t xml:space="preserve">     (85,301.00)</w:t>
            </w:r>
          </w:p>
        </w:tc>
        <w:tc>
          <w:tcPr>
            <w:tcW w:w="735" w:type="pct"/>
            <w:tcBorders>
              <w:top w:val="nil"/>
              <w:left w:val="nil"/>
              <w:bottom w:val="single" w:sz="4" w:space="0" w:color="auto"/>
              <w:right w:val="single" w:sz="8" w:space="0" w:color="auto"/>
            </w:tcBorders>
            <w:noWrap/>
            <w:vAlign w:val="center"/>
            <w:hideMark/>
          </w:tcPr>
          <w:p w14:paraId="43EF6BB4" w14:textId="77777777" w:rsidR="00C870A2" w:rsidRPr="00C870A2" w:rsidRDefault="00C870A2" w:rsidP="00C870A2">
            <w:pPr>
              <w:spacing w:after="0"/>
              <w:jc w:val="center"/>
              <w:rPr>
                <w:color w:val="000000"/>
                <w:lang w:val="en-IN"/>
              </w:rPr>
            </w:pPr>
            <w:r w:rsidRPr="00C870A2">
              <w:rPr>
                <w:color w:val="000000"/>
                <w:lang w:val="en-IN"/>
              </w:rPr>
              <w:t xml:space="preserve">     (15,297.00)</w:t>
            </w:r>
          </w:p>
        </w:tc>
      </w:tr>
      <w:tr w:rsidR="00C870A2" w:rsidRPr="00C870A2" w14:paraId="0DF5191F"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4FB3F4C9" w14:textId="77777777" w:rsidR="00C870A2" w:rsidRPr="00C870A2" w:rsidRDefault="00C870A2" w:rsidP="00C870A2">
            <w:pPr>
              <w:spacing w:after="0"/>
              <w:jc w:val="left"/>
              <w:rPr>
                <w:color w:val="000000"/>
                <w:lang w:val="en-IN"/>
              </w:rPr>
            </w:pPr>
            <w:r w:rsidRPr="00C870A2">
              <w:rPr>
                <w:color w:val="000000"/>
                <w:lang w:val="en-IN"/>
              </w:rPr>
              <w:t>Net Profit/(Loss) (£m)</w:t>
            </w:r>
          </w:p>
        </w:tc>
        <w:tc>
          <w:tcPr>
            <w:tcW w:w="684" w:type="pct"/>
            <w:tcBorders>
              <w:top w:val="nil"/>
              <w:left w:val="nil"/>
              <w:bottom w:val="single" w:sz="4" w:space="0" w:color="auto"/>
              <w:right w:val="single" w:sz="4" w:space="0" w:color="auto"/>
            </w:tcBorders>
            <w:noWrap/>
            <w:vAlign w:val="center"/>
            <w:hideMark/>
          </w:tcPr>
          <w:p w14:paraId="45C2AB9F" w14:textId="77777777" w:rsidR="00C870A2" w:rsidRPr="00C870A2" w:rsidRDefault="00C870A2" w:rsidP="00C870A2">
            <w:pPr>
              <w:spacing w:after="0"/>
              <w:jc w:val="right"/>
              <w:rPr>
                <w:color w:val="000000"/>
                <w:lang w:val="en-IN"/>
              </w:rPr>
            </w:pPr>
            <w:r w:rsidRPr="00C870A2">
              <w:rPr>
                <w:color w:val="000000"/>
                <w:lang w:val="en-IN"/>
              </w:rPr>
              <w:t>38,572</w:t>
            </w:r>
          </w:p>
        </w:tc>
        <w:tc>
          <w:tcPr>
            <w:tcW w:w="684" w:type="pct"/>
            <w:tcBorders>
              <w:top w:val="nil"/>
              <w:left w:val="nil"/>
              <w:bottom w:val="single" w:sz="4" w:space="0" w:color="auto"/>
              <w:right w:val="single" w:sz="4" w:space="0" w:color="auto"/>
            </w:tcBorders>
            <w:noWrap/>
            <w:vAlign w:val="center"/>
            <w:hideMark/>
          </w:tcPr>
          <w:p w14:paraId="583EBC1E" w14:textId="77777777" w:rsidR="00C870A2" w:rsidRPr="00C870A2" w:rsidRDefault="00C870A2" w:rsidP="00C870A2">
            <w:pPr>
              <w:spacing w:after="0"/>
              <w:jc w:val="right"/>
              <w:rPr>
                <w:color w:val="000000"/>
                <w:lang w:val="en-IN"/>
              </w:rPr>
            </w:pPr>
            <w:r w:rsidRPr="00C870A2">
              <w:rPr>
                <w:color w:val="000000"/>
                <w:lang w:val="en-IN"/>
              </w:rPr>
              <w:t>5,301</w:t>
            </w:r>
          </w:p>
        </w:tc>
        <w:tc>
          <w:tcPr>
            <w:tcW w:w="684" w:type="pct"/>
            <w:tcBorders>
              <w:top w:val="nil"/>
              <w:left w:val="nil"/>
              <w:bottom w:val="single" w:sz="4" w:space="0" w:color="auto"/>
              <w:right w:val="single" w:sz="4" w:space="0" w:color="auto"/>
            </w:tcBorders>
            <w:noWrap/>
            <w:vAlign w:val="center"/>
            <w:hideMark/>
          </w:tcPr>
          <w:p w14:paraId="79C39E11" w14:textId="77777777" w:rsidR="00C870A2" w:rsidRPr="00C870A2" w:rsidRDefault="00C870A2" w:rsidP="00C870A2">
            <w:pPr>
              <w:spacing w:after="0"/>
              <w:jc w:val="right"/>
              <w:rPr>
                <w:color w:val="000000"/>
                <w:lang w:val="en-IN"/>
              </w:rPr>
            </w:pPr>
            <w:r w:rsidRPr="00C870A2">
              <w:rPr>
                <w:color w:val="000000"/>
                <w:lang w:val="en-IN"/>
              </w:rPr>
              <w:t>407</w:t>
            </w:r>
          </w:p>
        </w:tc>
        <w:tc>
          <w:tcPr>
            <w:tcW w:w="735" w:type="pct"/>
            <w:tcBorders>
              <w:top w:val="nil"/>
              <w:left w:val="nil"/>
              <w:bottom w:val="single" w:sz="4" w:space="0" w:color="auto"/>
              <w:right w:val="single" w:sz="4" w:space="0" w:color="auto"/>
            </w:tcBorders>
            <w:noWrap/>
            <w:vAlign w:val="center"/>
            <w:hideMark/>
          </w:tcPr>
          <w:p w14:paraId="6093E3D7" w14:textId="77777777" w:rsidR="00C870A2" w:rsidRPr="00C870A2" w:rsidRDefault="00C870A2" w:rsidP="00C870A2">
            <w:pPr>
              <w:spacing w:after="0"/>
              <w:jc w:val="right"/>
              <w:rPr>
                <w:color w:val="000000"/>
                <w:lang w:val="en-IN"/>
              </w:rPr>
            </w:pPr>
            <w:r w:rsidRPr="00C870A2">
              <w:rPr>
                <w:color w:val="000000"/>
                <w:lang w:val="en-IN"/>
              </w:rPr>
              <w:t>-98,238</w:t>
            </w:r>
          </w:p>
        </w:tc>
        <w:tc>
          <w:tcPr>
            <w:tcW w:w="735" w:type="pct"/>
            <w:tcBorders>
              <w:top w:val="nil"/>
              <w:left w:val="nil"/>
              <w:bottom w:val="single" w:sz="4" w:space="0" w:color="auto"/>
              <w:right w:val="single" w:sz="8" w:space="0" w:color="auto"/>
            </w:tcBorders>
            <w:noWrap/>
            <w:vAlign w:val="center"/>
            <w:hideMark/>
          </w:tcPr>
          <w:p w14:paraId="24989E14" w14:textId="77777777" w:rsidR="00C870A2" w:rsidRPr="00C870A2" w:rsidRDefault="00C870A2" w:rsidP="00C870A2">
            <w:pPr>
              <w:spacing w:after="0"/>
              <w:jc w:val="right"/>
              <w:rPr>
                <w:color w:val="000000"/>
                <w:lang w:val="en-IN"/>
              </w:rPr>
            </w:pPr>
            <w:r w:rsidRPr="00C870A2">
              <w:rPr>
                <w:color w:val="000000"/>
                <w:lang w:val="en-IN"/>
              </w:rPr>
              <w:t>-24,029</w:t>
            </w:r>
          </w:p>
        </w:tc>
      </w:tr>
      <w:tr w:rsidR="00C870A2" w:rsidRPr="00C870A2" w14:paraId="65FC379B"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0ED1620D" w14:textId="77777777" w:rsidR="00C870A2" w:rsidRPr="00C870A2" w:rsidRDefault="00C870A2" w:rsidP="00C870A2">
            <w:pPr>
              <w:spacing w:after="0"/>
              <w:jc w:val="left"/>
              <w:rPr>
                <w:color w:val="000000"/>
                <w:lang w:val="en-IN"/>
              </w:rPr>
            </w:pPr>
            <w:r w:rsidRPr="00C870A2">
              <w:rPr>
                <w:color w:val="000000"/>
                <w:lang w:val="en-IN"/>
              </w:rPr>
              <w:t>Total Assets (£m)</w:t>
            </w:r>
          </w:p>
        </w:tc>
        <w:tc>
          <w:tcPr>
            <w:tcW w:w="684" w:type="pct"/>
            <w:tcBorders>
              <w:top w:val="nil"/>
              <w:left w:val="nil"/>
              <w:bottom w:val="single" w:sz="4" w:space="0" w:color="auto"/>
              <w:right w:val="single" w:sz="4" w:space="0" w:color="auto"/>
            </w:tcBorders>
            <w:noWrap/>
            <w:vAlign w:val="bottom"/>
            <w:hideMark/>
          </w:tcPr>
          <w:p w14:paraId="11AB5183" w14:textId="77777777" w:rsidR="00C870A2" w:rsidRPr="00C870A2" w:rsidRDefault="00C870A2" w:rsidP="00C870A2">
            <w:pPr>
              <w:spacing w:after="0"/>
              <w:jc w:val="right"/>
              <w:rPr>
                <w:color w:val="000000"/>
                <w:lang w:val="en-IN"/>
              </w:rPr>
            </w:pPr>
            <w:r w:rsidRPr="00C870A2">
              <w:rPr>
                <w:color w:val="000000"/>
                <w:lang w:val="en-IN"/>
              </w:rPr>
              <w:t>5,10,290</w:t>
            </w:r>
          </w:p>
        </w:tc>
        <w:tc>
          <w:tcPr>
            <w:tcW w:w="684" w:type="pct"/>
            <w:tcBorders>
              <w:top w:val="nil"/>
              <w:left w:val="nil"/>
              <w:bottom w:val="single" w:sz="4" w:space="0" w:color="auto"/>
              <w:right w:val="single" w:sz="4" w:space="0" w:color="auto"/>
            </w:tcBorders>
            <w:noWrap/>
            <w:vAlign w:val="bottom"/>
            <w:hideMark/>
          </w:tcPr>
          <w:p w14:paraId="7462B852" w14:textId="77777777" w:rsidR="00C870A2" w:rsidRPr="00C870A2" w:rsidRDefault="00C870A2" w:rsidP="00C870A2">
            <w:pPr>
              <w:spacing w:after="0"/>
              <w:jc w:val="right"/>
              <w:rPr>
                <w:color w:val="000000"/>
                <w:lang w:val="en-IN"/>
              </w:rPr>
            </w:pPr>
            <w:r w:rsidRPr="00C870A2">
              <w:rPr>
                <w:color w:val="000000"/>
                <w:lang w:val="en-IN"/>
              </w:rPr>
              <w:t>5,10,348</w:t>
            </w:r>
          </w:p>
        </w:tc>
        <w:tc>
          <w:tcPr>
            <w:tcW w:w="684" w:type="pct"/>
            <w:tcBorders>
              <w:top w:val="nil"/>
              <w:left w:val="nil"/>
              <w:bottom w:val="single" w:sz="4" w:space="0" w:color="auto"/>
              <w:right w:val="single" w:sz="4" w:space="0" w:color="auto"/>
            </w:tcBorders>
            <w:noWrap/>
            <w:vAlign w:val="bottom"/>
            <w:hideMark/>
          </w:tcPr>
          <w:p w14:paraId="0A4628AA" w14:textId="77777777" w:rsidR="00C870A2" w:rsidRPr="00C870A2" w:rsidRDefault="00C870A2" w:rsidP="00C870A2">
            <w:pPr>
              <w:spacing w:after="0"/>
              <w:jc w:val="right"/>
              <w:rPr>
                <w:color w:val="000000"/>
                <w:lang w:val="en-IN"/>
              </w:rPr>
            </w:pPr>
            <w:r w:rsidRPr="00C870A2">
              <w:rPr>
                <w:color w:val="000000"/>
                <w:lang w:val="en-IN"/>
              </w:rPr>
              <w:t>5,04,163</w:t>
            </w:r>
          </w:p>
        </w:tc>
        <w:tc>
          <w:tcPr>
            <w:tcW w:w="735" w:type="pct"/>
            <w:tcBorders>
              <w:top w:val="nil"/>
              <w:left w:val="nil"/>
              <w:bottom w:val="single" w:sz="4" w:space="0" w:color="auto"/>
              <w:right w:val="single" w:sz="4" w:space="0" w:color="auto"/>
            </w:tcBorders>
            <w:noWrap/>
            <w:vAlign w:val="bottom"/>
            <w:hideMark/>
          </w:tcPr>
          <w:p w14:paraId="4092B370" w14:textId="77777777" w:rsidR="00C870A2" w:rsidRPr="00C870A2" w:rsidRDefault="00C870A2" w:rsidP="00C870A2">
            <w:pPr>
              <w:spacing w:after="0"/>
              <w:jc w:val="right"/>
              <w:rPr>
                <w:color w:val="000000"/>
                <w:lang w:val="en-IN"/>
              </w:rPr>
            </w:pPr>
            <w:r w:rsidRPr="00C870A2">
              <w:rPr>
                <w:color w:val="000000"/>
                <w:lang w:val="en-IN"/>
              </w:rPr>
              <w:t>3,55,872</w:t>
            </w:r>
          </w:p>
        </w:tc>
        <w:tc>
          <w:tcPr>
            <w:tcW w:w="735" w:type="pct"/>
            <w:tcBorders>
              <w:top w:val="nil"/>
              <w:left w:val="nil"/>
              <w:bottom w:val="single" w:sz="4" w:space="0" w:color="auto"/>
              <w:right w:val="single" w:sz="8" w:space="0" w:color="auto"/>
            </w:tcBorders>
            <w:noWrap/>
            <w:vAlign w:val="bottom"/>
            <w:hideMark/>
          </w:tcPr>
          <w:p w14:paraId="56FA9392" w14:textId="77777777" w:rsidR="00C870A2" w:rsidRPr="00C870A2" w:rsidRDefault="00C870A2" w:rsidP="00C870A2">
            <w:pPr>
              <w:spacing w:after="0"/>
              <w:jc w:val="right"/>
              <w:rPr>
                <w:color w:val="000000"/>
                <w:lang w:val="en-IN"/>
              </w:rPr>
            </w:pPr>
            <w:r w:rsidRPr="00C870A2">
              <w:rPr>
                <w:color w:val="000000"/>
                <w:lang w:val="en-IN"/>
              </w:rPr>
              <w:t>3,23,354</w:t>
            </w:r>
          </w:p>
        </w:tc>
      </w:tr>
      <w:tr w:rsidR="00C870A2" w:rsidRPr="00C870A2" w14:paraId="07554791" w14:textId="77777777" w:rsidTr="00C870A2">
        <w:trPr>
          <w:trHeight w:val="324"/>
        </w:trPr>
        <w:tc>
          <w:tcPr>
            <w:tcW w:w="1477" w:type="pct"/>
            <w:tcBorders>
              <w:top w:val="nil"/>
              <w:left w:val="single" w:sz="8" w:space="0" w:color="auto"/>
              <w:bottom w:val="nil"/>
              <w:right w:val="single" w:sz="4" w:space="0" w:color="auto"/>
            </w:tcBorders>
            <w:noWrap/>
            <w:vAlign w:val="center"/>
            <w:hideMark/>
          </w:tcPr>
          <w:p w14:paraId="17EE20E9" w14:textId="77777777" w:rsidR="00C870A2" w:rsidRPr="00C870A2" w:rsidRDefault="00C870A2" w:rsidP="00C870A2">
            <w:pPr>
              <w:spacing w:after="0"/>
              <w:jc w:val="left"/>
              <w:rPr>
                <w:color w:val="000000"/>
                <w:lang w:val="en-IN"/>
              </w:rPr>
            </w:pPr>
            <w:r w:rsidRPr="00C870A2">
              <w:rPr>
                <w:color w:val="000000"/>
                <w:lang w:val="en-IN"/>
              </w:rPr>
              <w:t>Current Liabilities (£m)</w:t>
            </w:r>
          </w:p>
        </w:tc>
        <w:tc>
          <w:tcPr>
            <w:tcW w:w="684" w:type="pct"/>
            <w:tcBorders>
              <w:top w:val="nil"/>
              <w:left w:val="nil"/>
              <w:bottom w:val="nil"/>
              <w:right w:val="single" w:sz="4" w:space="0" w:color="auto"/>
            </w:tcBorders>
            <w:noWrap/>
            <w:vAlign w:val="bottom"/>
            <w:hideMark/>
          </w:tcPr>
          <w:p w14:paraId="257137D4" w14:textId="77777777" w:rsidR="00C870A2" w:rsidRPr="00C870A2" w:rsidRDefault="00C870A2" w:rsidP="00C870A2">
            <w:pPr>
              <w:spacing w:after="0"/>
              <w:jc w:val="right"/>
              <w:rPr>
                <w:color w:val="000000"/>
                <w:lang w:val="en-IN"/>
              </w:rPr>
            </w:pPr>
            <w:r w:rsidRPr="00C870A2">
              <w:rPr>
                <w:color w:val="000000"/>
                <w:lang w:val="en-IN"/>
              </w:rPr>
              <w:t>1,79,510</w:t>
            </w:r>
          </w:p>
        </w:tc>
        <w:tc>
          <w:tcPr>
            <w:tcW w:w="684" w:type="pct"/>
            <w:tcBorders>
              <w:top w:val="nil"/>
              <w:left w:val="nil"/>
              <w:bottom w:val="nil"/>
              <w:right w:val="single" w:sz="4" w:space="0" w:color="auto"/>
            </w:tcBorders>
            <w:noWrap/>
            <w:vAlign w:val="bottom"/>
            <w:hideMark/>
          </w:tcPr>
          <w:p w14:paraId="037787CD" w14:textId="77777777" w:rsidR="00C870A2" w:rsidRPr="00C870A2" w:rsidRDefault="00C870A2" w:rsidP="00C870A2">
            <w:pPr>
              <w:spacing w:after="0"/>
              <w:jc w:val="right"/>
              <w:rPr>
                <w:color w:val="000000"/>
                <w:lang w:val="en-IN"/>
              </w:rPr>
            </w:pPr>
            <w:r w:rsidRPr="00C870A2">
              <w:rPr>
                <w:color w:val="000000"/>
                <w:lang w:val="en-IN"/>
              </w:rPr>
              <w:t>2,16,787</w:t>
            </w:r>
          </w:p>
        </w:tc>
        <w:tc>
          <w:tcPr>
            <w:tcW w:w="684" w:type="pct"/>
            <w:tcBorders>
              <w:top w:val="nil"/>
              <w:left w:val="nil"/>
              <w:bottom w:val="nil"/>
              <w:right w:val="single" w:sz="4" w:space="0" w:color="auto"/>
            </w:tcBorders>
            <w:noWrap/>
            <w:vAlign w:val="bottom"/>
            <w:hideMark/>
          </w:tcPr>
          <w:p w14:paraId="1BA17767" w14:textId="77777777" w:rsidR="00C870A2" w:rsidRPr="00C870A2" w:rsidRDefault="00C870A2" w:rsidP="00C870A2">
            <w:pPr>
              <w:spacing w:after="0"/>
              <w:jc w:val="right"/>
              <w:rPr>
                <w:color w:val="000000"/>
                <w:lang w:val="en-IN"/>
              </w:rPr>
            </w:pPr>
            <w:r w:rsidRPr="00C870A2">
              <w:rPr>
                <w:color w:val="000000"/>
                <w:lang w:val="en-IN"/>
              </w:rPr>
              <w:t>2,16,473</w:t>
            </w:r>
          </w:p>
        </w:tc>
        <w:tc>
          <w:tcPr>
            <w:tcW w:w="735" w:type="pct"/>
            <w:tcBorders>
              <w:top w:val="nil"/>
              <w:left w:val="nil"/>
              <w:bottom w:val="nil"/>
              <w:right w:val="single" w:sz="4" w:space="0" w:color="auto"/>
            </w:tcBorders>
            <w:noWrap/>
            <w:vAlign w:val="bottom"/>
            <w:hideMark/>
          </w:tcPr>
          <w:p w14:paraId="1C6E592D" w14:textId="77777777" w:rsidR="00C870A2" w:rsidRPr="00C870A2" w:rsidRDefault="00C870A2" w:rsidP="00C870A2">
            <w:pPr>
              <w:spacing w:after="0"/>
              <w:jc w:val="right"/>
              <w:rPr>
                <w:color w:val="000000"/>
                <w:lang w:val="en-IN"/>
              </w:rPr>
            </w:pPr>
            <w:r w:rsidRPr="00C870A2">
              <w:rPr>
                <w:color w:val="000000"/>
                <w:lang w:val="en-IN"/>
              </w:rPr>
              <w:t>1,61,148</w:t>
            </w:r>
          </w:p>
        </w:tc>
        <w:tc>
          <w:tcPr>
            <w:tcW w:w="735" w:type="pct"/>
            <w:tcBorders>
              <w:top w:val="nil"/>
              <w:left w:val="nil"/>
              <w:bottom w:val="nil"/>
              <w:right w:val="single" w:sz="8" w:space="0" w:color="auto"/>
            </w:tcBorders>
            <w:noWrap/>
            <w:vAlign w:val="bottom"/>
            <w:hideMark/>
          </w:tcPr>
          <w:p w14:paraId="505FD403" w14:textId="77777777" w:rsidR="00C870A2" w:rsidRPr="00C870A2" w:rsidRDefault="00C870A2" w:rsidP="00C870A2">
            <w:pPr>
              <w:spacing w:after="0"/>
              <w:jc w:val="right"/>
              <w:rPr>
                <w:color w:val="000000"/>
                <w:lang w:val="en-IN"/>
              </w:rPr>
            </w:pPr>
            <w:r w:rsidRPr="00C870A2">
              <w:rPr>
                <w:color w:val="000000"/>
                <w:lang w:val="en-IN"/>
              </w:rPr>
              <w:t>1,58,291</w:t>
            </w:r>
          </w:p>
        </w:tc>
      </w:tr>
      <w:tr w:rsidR="00C870A2" w:rsidRPr="00C870A2" w14:paraId="3641D38B" w14:textId="77777777" w:rsidTr="00C870A2">
        <w:trPr>
          <w:trHeight w:val="324"/>
        </w:trPr>
        <w:tc>
          <w:tcPr>
            <w:tcW w:w="1477" w:type="pct"/>
            <w:tcBorders>
              <w:top w:val="single" w:sz="8" w:space="0" w:color="auto"/>
              <w:left w:val="single" w:sz="8" w:space="0" w:color="auto"/>
              <w:bottom w:val="single" w:sz="8" w:space="0" w:color="auto"/>
              <w:right w:val="single" w:sz="4" w:space="0" w:color="auto"/>
            </w:tcBorders>
            <w:noWrap/>
            <w:vAlign w:val="center"/>
            <w:hideMark/>
          </w:tcPr>
          <w:p w14:paraId="6DA73C4C" w14:textId="77777777" w:rsidR="00C870A2" w:rsidRPr="00C870A2" w:rsidRDefault="00C870A2" w:rsidP="00C870A2">
            <w:pPr>
              <w:spacing w:after="0"/>
              <w:jc w:val="left"/>
              <w:rPr>
                <w:b/>
                <w:bCs/>
                <w:color w:val="000000"/>
                <w:lang w:val="en-IN"/>
              </w:rPr>
            </w:pPr>
            <w:r w:rsidRPr="00C870A2">
              <w:rPr>
                <w:b/>
                <w:bCs/>
                <w:color w:val="000000"/>
                <w:lang w:val="en-IN"/>
              </w:rPr>
              <w:t>Net Margin</w:t>
            </w:r>
          </w:p>
        </w:tc>
        <w:tc>
          <w:tcPr>
            <w:tcW w:w="684" w:type="pct"/>
            <w:tcBorders>
              <w:top w:val="single" w:sz="8" w:space="0" w:color="auto"/>
              <w:left w:val="nil"/>
              <w:bottom w:val="single" w:sz="8" w:space="0" w:color="auto"/>
              <w:right w:val="single" w:sz="4" w:space="0" w:color="auto"/>
            </w:tcBorders>
            <w:noWrap/>
            <w:vAlign w:val="center"/>
            <w:hideMark/>
          </w:tcPr>
          <w:p w14:paraId="43C11969" w14:textId="77777777" w:rsidR="00C870A2" w:rsidRPr="00C870A2" w:rsidRDefault="00C870A2" w:rsidP="00C870A2">
            <w:pPr>
              <w:spacing w:after="0"/>
              <w:jc w:val="center"/>
              <w:rPr>
                <w:b/>
                <w:bCs/>
                <w:color w:val="000000"/>
                <w:lang w:val="en-IN"/>
              </w:rPr>
            </w:pPr>
            <w:r w:rsidRPr="00C870A2">
              <w:rPr>
                <w:b/>
                <w:bCs/>
                <w:color w:val="000000"/>
                <w:lang w:val="en-IN"/>
              </w:rPr>
              <w:t>6.28%</w:t>
            </w:r>
          </w:p>
        </w:tc>
        <w:tc>
          <w:tcPr>
            <w:tcW w:w="684" w:type="pct"/>
            <w:tcBorders>
              <w:top w:val="single" w:sz="8" w:space="0" w:color="auto"/>
              <w:left w:val="nil"/>
              <w:bottom w:val="single" w:sz="8" w:space="0" w:color="auto"/>
              <w:right w:val="single" w:sz="4" w:space="0" w:color="auto"/>
            </w:tcBorders>
            <w:noWrap/>
            <w:vAlign w:val="center"/>
            <w:hideMark/>
          </w:tcPr>
          <w:p w14:paraId="61F896E7" w14:textId="77777777" w:rsidR="00C870A2" w:rsidRPr="00C870A2" w:rsidRDefault="00C870A2" w:rsidP="00C870A2">
            <w:pPr>
              <w:spacing w:after="0"/>
              <w:jc w:val="center"/>
              <w:rPr>
                <w:b/>
                <w:bCs/>
                <w:color w:val="000000"/>
                <w:lang w:val="en-IN"/>
              </w:rPr>
            </w:pPr>
            <w:r w:rsidRPr="00C870A2">
              <w:rPr>
                <w:b/>
                <w:bCs/>
                <w:color w:val="000000"/>
                <w:lang w:val="en-IN"/>
              </w:rPr>
              <w:t>0.88%</w:t>
            </w:r>
          </w:p>
        </w:tc>
        <w:tc>
          <w:tcPr>
            <w:tcW w:w="684" w:type="pct"/>
            <w:tcBorders>
              <w:top w:val="single" w:sz="8" w:space="0" w:color="auto"/>
              <w:left w:val="nil"/>
              <w:bottom w:val="single" w:sz="8" w:space="0" w:color="auto"/>
              <w:right w:val="single" w:sz="4" w:space="0" w:color="auto"/>
            </w:tcBorders>
            <w:noWrap/>
            <w:vAlign w:val="center"/>
            <w:hideMark/>
          </w:tcPr>
          <w:p w14:paraId="18C1F9E1" w14:textId="77777777" w:rsidR="00C870A2" w:rsidRPr="00C870A2" w:rsidRDefault="00C870A2" w:rsidP="00C870A2">
            <w:pPr>
              <w:spacing w:after="0"/>
              <w:jc w:val="center"/>
              <w:rPr>
                <w:b/>
                <w:bCs/>
                <w:color w:val="000000"/>
                <w:lang w:val="en-IN"/>
              </w:rPr>
            </w:pPr>
            <w:r w:rsidRPr="00C870A2">
              <w:rPr>
                <w:b/>
                <w:bCs/>
                <w:color w:val="000000"/>
                <w:lang w:val="en-IN"/>
              </w:rPr>
              <w:t>0.07%</w:t>
            </w:r>
          </w:p>
        </w:tc>
        <w:tc>
          <w:tcPr>
            <w:tcW w:w="735" w:type="pct"/>
            <w:tcBorders>
              <w:top w:val="single" w:sz="8" w:space="0" w:color="auto"/>
              <w:left w:val="nil"/>
              <w:bottom w:val="single" w:sz="8" w:space="0" w:color="auto"/>
              <w:right w:val="single" w:sz="4" w:space="0" w:color="auto"/>
            </w:tcBorders>
            <w:noWrap/>
            <w:vAlign w:val="center"/>
            <w:hideMark/>
          </w:tcPr>
          <w:p w14:paraId="649BFE09" w14:textId="77777777" w:rsidR="00C870A2" w:rsidRPr="00C870A2" w:rsidRDefault="00C870A2" w:rsidP="00C870A2">
            <w:pPr>
              <w:spacing w:after="0"/>
              <w:jc w:val="center"/>
              <w:rPr>
                <w:b/>
                <w:bCs/>
                <w:color w:val="000000"/>
                <w:lang w:val="en-IN"/>
              </w:rPr>
            </w:pPr>
            <w:r w:rsidRPr="00C870A2">
              <w:rPr>
                <w:b/>
                <w:bCs/>
                <w:color w:val="000000"/>
                <w:lang w:val="en-IN"/>
              </w:rPr>
              <w:t>-23.36%</w:t>
            </w:r>
          </w:p>
        </w:tc>
        <w:tc>
          <w:tcPr>
            <w:tcW w:w="735" w:type="pct"/>
            <w:tcBorders>
              <w:top w:val="single" w:sz="8" w:space="0" w:color="auto"/>
              <w:left w:val="nil"/>
              <w:bottom w:val="single" w:sz="8" w:space="0" w:color="auto"/>
              <w:right w:val="single" w:sz="8" w:space="0" w:color="auto"/>
            </w:tcBorders>
            <w:noWrap/>
            <w:vAlign w:val="center"/>
            <w:hideMark/>
          </w:tcPr>
          <w:p w14:paraId="4F6D7C2E" w14:textId="77777777" w:rsidR="00C870A2" w:rsidRPr="00C870A2" w:rsidRDefault="00C870A2" w:rsidP="00C870A2">
            <w:pPr>
              <w:spacing w:after="0"/>
              <w:jc w:val="center"/>
              <w:rPr>
                <w:b/>
                <w:bCs/>
                <w:color w:val="000000"/>
                <w:lang w:val="en-IN"/>
              </w:rPr>
            </w:pPr>
            <w:r w:rsidRPr="00C870A2">
              <w:rPr>
                <w:b/>
                <w:bCs/>
                <w:color w:val="000000"/>
                <w:lang w:val="en-IN"/>
              </w:rPr>
              <w:t>-6.09%</w:t>
            </w:r>
          </w:p>
        </w:tc>
      </w:tr>
      <w:tr w:rsidR="00C870A2" w:rsidRPr="00C870A2" w14:paraId="25B05CBF" w14:textId="77777777" w:rsidTr="00C870A2">
        <w:trPr>
          <w:trHeight w:val="759"/>
        </w:trPr>
        <w:tc>
          <w:tcPr>
            <w:tcW w:w="1477" w:type="pct"/>
            <w:tcBorders>
              <w:top w:val="nil"/>
              <w:left w:val="single" w:sz="8" w:space="0" w:color="auto"/>
              <w:bottom w:val="single" w:sz="8" w:space="0" w:color="auto"/>
              <w:right w:val="single" w:sz="4" w:space="0" w:color="auto"/>
            </w:tcBorders>
            <w:vAlign w:val="center"/>
            <w:hideMark/>
          </w:tcPr>
          <w:p w14:paraId="165D4561" w14:textId="77777777" w:rsidR="00C870A2" w:rsidRPr="00C870A2" w:rsidRDefault="00C870A2" w:rsidP="00C870A2">
            <w:pPr>
              <w:spacing w:after="0"/>
              <w:jc w:val="left"/>
              <w:rPr>
                <w:b/>
                <w:bCs/>
                <w:color w:val="000000"/>
                <w:lang w:val="en-IN"/>
              </w:rPr>
            </w:pPr>
            <w:r w:rsidRPr="00C870A2">
              <w:rPr>
                <w:b/>
                <w:bCs/>
                <w:color w:val="000000"/>
                <w:lang w:val="en-IN"/>
              </w:rPr>
              <w:t>Return on Capital Employed (ROCE)</w:t>
            </w:r>
          </w:p>
        </w:tc>
        <w:tc>
          <w:tcPr>
            <w:tcW w:w="684" w:type="pct"/>
            <w:tcBorders>
              <w:top w:val="nil"/>
              <w:left w:val="nil"/>
              <w:bottom w:val="single" w:sz="8" w:space="0" w:color="auto"/>
              <w:right w:val="single" w:sz="4" w:space="0" w:color="auto"/>
            </w:tcBorders>
            <w:noWrap/>
            <w:vAlign w:val="center"/>
            <w:hideMark/>
          </w:tcPr>
          <w:p w14:paraId="133B5177" w14:textId="77777777" w:rsidR="00C870A2" w:rsidRPr="00C870A2" w:rsidRDefault="00C870A2" w:rsidP="00C870A2">
            <w:pPr>
              <w:spacing w:after="0"/>
              <w:jc w:val="center"/>
              <w:rPr>
                <w:b/>
                <w:bCs/>
                <w:color w:val="000000"/>
                <w:lang w:val="en-IN"/>
              </w:rPr>
            </w:pPr>
            <w:r w:rsidRPr="00C870A2">
              <w:rPr>
                <w:b/>
                <w:bCs/>
                <w:color w:val="000000"/>
                <w:lang w:val="en-IN"/>
              </w:rPr>
              <w:t>11.27%</w:t>
            </w:r>
          </w:p>
        </w:tc>
        <w:tc>
          <w:tcPr>
            <w:tcW w:w="684" w:type="pct"/>
            <w:tcBorders>
              <w:top w:val="nil"/>
              <w:left w:val="nil"/>
              <w:bottom w:val="single" w:sz="8" w:space="0" w:color="auto"/>
              <w:right w:val="single" w:sz="4" w:space="0" w:color="auto"/>
            </w:tcBorders>
            <w:noWrap/>
            <w:vAlign w:val="center"/>
            <w:hideMark/>
          </w:tcPr>
          <w:p w14:paraId="65B0F0AF" w14:textId="77777777" w:rsidR="00C870A2" w:rsidRPr="00C870A2" w:rsidRDefault="00C870A2" w:rsidP="00C870A2">
            <w:pPr>
              <w:spacing w:after="0"/>
              <w:jc w:val="center"/>
              <w:rPr>
                <w:b/>
                <w:bCs/>
                <w:color w:val="000000"/>
                <w:lang w:val="en-IN"/>
              </w:rPr>
            </w:pPr>
            <w:r w:rsidRPr="00C870A2">
              <w:rPr>
                <w:b/>
                <w:bCs/>
                <w:color w:val="000000"/>
                <w:lang w:val="en-IN"/>
              </w:rPr>
              <w:t>7.92%</w:t>
            </w:r>
          </w:p>
        </w:tc>
        <w:tc>
          <w:tcPr>
            <w:tcW w:w="684" w:type="pct"/>
            <w:tcBorders>
              <w:top w:val="nil"/>
              <w:left w:val="nil"/>
              <w:bottom w:val="single" w:sz="8" w:space="0" w:color="auto"/>
              <w:right w:val="single" w:sz="4" w:space="0" w:color="auto"/>
            </w:tcBorders>
            <w:noWrap/>
            <w:vAlign w:val="center"/>
            <w:hideMark/>
          </w:tcPr>
          <w:p w14:paraId="500E5B17" w14:textId="77777777" w:rsidR="00C870A2" w:rsidRPr="00C870A2" w:rsidRDefault="00C870A2" w:rsidP="00C870A2">
            <w:pPr>
              <w:spacing w:after="0"/>
              <w:jc w:val="center"/>
              <w:rPr>
                <w:b/>
                <w:bCs/>
                <w:color w:val="000000"/>
                <w:lang w:val="en-IN"/>
              </w:rPr>
            </w:pPr>
            <w:r w:rsidRPr="00C870A2">
              <w:rPr>
                <w:b/>
                <w:bCs/>
                <w:color w:val="000000"/>
                <w:lang w:val="en-IN"/>
              </w:rPr>
              <w:t>5.06%</w:t>
            </w:r>
          </w:p>
        </w:tc>
        <w:tc>
          <w:tcPr>
            <w:tcW w:w="735" w:type="pct"/>
            <w:tcBorders>
              <w:top w:val="nil"/>
              <w:left w:val="nil"/>
              <w:bottom w:val="single" w:sz="8" w:space="0" w:color="auto"/>
              <w:right w:val="single" w:sz="4" w:space="0" w:color="auto"/>
            </w:tcBorders>
            <w:noWrap/>
            <w:vAlign w:val="center"/>
            <w:hideMark/>
          </w:tcPr>
          <w:p w14:paraId="51C96250" w14:textId="77777777" w:rsidR="00C870A2" w:rsidRPr="00C870A2" w:rsidRDefault="00C870A2" w:rsidP="00C870A2">
            <w:pPr>
              <w:spacing w:after="0"/>
              <w:jc w:val="center"/>
              <w:rPr>
                <w:b/>
                <w:bCs/>
                <w:color w:val="000000"/>
                <w:lang w:val="en-IN"/>
              </w:rPr>
            </w:pPr>
            <w:r w:rsidRPr="00C870A2">
              <w:rPr>
                <w:b/>
                <w:bCs/>
                <w:color w:val="000000"/>
                <w:lang w:val="en-IN"/>
              </w:rPr>
              <w:t>-43.81%</w:t>
            </w:r>
          </w:p>
        </w:tc>
        <w:tc>
          <w:tcPr>
            <w:tcW w:w="735" w:type="pct"/>
            <w:tcBorders>
              <w:top w:val="nil"/>
              <w:left w:val="nil"/>
              <w:bottom w:val="single" w:sz="8" w:space="0" w:color="auto"/>
              <w:right w:val="single" w:sz="8" w:space="0" w:color="auto"/>
            </w:tcBorders>
            <w:noWrap/>
            <w:vAlign w:val="center"/>
            <w:hideMark/>
          </w:tcPr>
          <w:p w14:paraId="35CD728D" w14:textId="77777777" w:rsidR="00C870A2" w:rsidRPr="00C870A2" w:rsidRDefault="00C870A2" w:rsidP="00C870A2">
            <w:pPr>
              <w:spacing w:after="0"/>
              <w:jc w:val="center"/>
              <w:rPr>
                <w:b/>
                <w:bCs/>
                <w:color w:val="000000"/>
                <w:lang w:val="en-IN"/>
              </w:rPr>
            </w:pPr>
            <w:r w:rsidRPr="00C870A2">
              <w:rPr>
                <w:b/>
                <w:bCs/>
                <w:color w:val="000000"/>
                <w:lang w:val="en-IN"/>
              </w:rPr>
              <w:t>-9.27%</w:t>
            </w:r>
          </w:p>
        </w:tc>
      </w:tr>
      <w:tr w:rsidR="00C870A2" w:rsidRPr="00C870A2" w14:paraId="569AEFC6" w14:textId="77777777" w:rsidTr="00C870A2">
        <w:trPr>
          <w:trHeight w:val="312"/>
        </w:trPr>
        <w:tc>
          <w:tcPr>
            <w:tcW w:w="1477" w:type="pct"/>
            <w:tcBorders>
              <w:top w:val="nil"/>
              <w:left w:val="nil"/>
              <w:bottom w:val="nil"/>
              <w:right w:val="nil"/>
            </w:tcBorders>
            <w:noWrap/>
            <w:vAlign w:val="center"/>
            <w:hideMark/>
          </w:tcPr>
          <w:p w14:paraId="79E2D6D6" w14:textId="77777777" w:rsidR="00C870A2" w:rsidRPr="00C870A2" w:rsidRDefault="00C870A2" w:rsidP="00C870A2">
            <w:pPr>
              <w:spacing w:after="0"/>
              <w:jc w:val="center"/>
              <w:rPr>
                <w:b/>
                <w:bCs/>
                <w:color w:val="000000"/>
                <w:lang w:val="en-IN"/>
              </w:rPr>
            </w:pPr>
          </w:p>
        </w:tc>
        <w:tc>
          <w:tcPr>
            <w:tcW w:w="684" w:type="pct"/>
            <w:tcBorders>
              <w:top w:val="nil"/>
              <w:left w:val="nil"/>
              <w:bottom w:val="nil"/>
              <w:right w:val="nil"/>
            </w:tcBorders>
            <w:noWrap/>
            <w:vAlign w:val="center"/>
            <w:hideMark/>
          </w:tcPr>
          <w:p w14:paraId="0E58CC93" w14:textId="77777777" w:rsidR="00C870A2" w:rsidRPr="00C870A2" w:rsidRDefault="00C870A2" w:rsidP="00C870A2">
            <w:pPr>
              <w:spacing w:after="0"/>
              <w:jc w:val="center"/>
              <w:rPr>
                <w:sz w:val="20"/>
                <w:szCs w:val="20"/>
                <w:lang w:val="en-IN"/>
              </w:rPr>
            </w:pPr>
          </w:p>
        </w:tc>
        <w:tc>
          <w:tcPr>
            <w:tcW w:w="684" w:type="pct"/>
            <w:tcBorders>
              <w:top w:val="nil"/>
              <w:left w:val="nil"/>
              <w:bottom w:val="nil"/>
              <w:right w:val="nil"/>
            </w:tcBorders>
            <w:noWrap/>
            <w:vAlign w:val="center"/>
            <w:hideMark/>
          </w:tcPr>
          <w:p w14:paraId="7FACEE8D" w14:textId="77777777" w:rsidR="00C870A2" w:rsidRPr="00C870A2" w:rsidRDefault="00C870A2" w:rsidP="00C870A2">
            <w:pPr>
              <w:spacing w:after="0"/>
              <w:jc w:val="center"/>
              <w:rPr>
                <w:sz w:val="20"/>
                <w:szCs w:val="20"/>
                <w:lang w:val="en-IN"/>
              </w:rPr>
            </w:pPr>
          </w:p>
        </w:tc>
        <w:tc>
          <w:tcPr>
            <w:tcW w:w="684" w:type="pct"/>
            <w:tcBorders>
              <w:top w:val="nil"/>
              <w:left w:val="nil"/>
              <w:bottom w:val="nil"/>
              <w:right w:val="nil"/>
            </w:tcBorders>
            <w:noWrap/>
            <w:vAlign w:val="center"/>
            <w:hideMark/>
          </w:tcPr>
          <w:p w14:paraId="28489E8C" w14:textId="77777777" w:rsidR="00C870A2" w:rsidRPr="00C870A2" w:rsidRDefault="00C870A2" w:rsidP="00C870A2">
            <w:pPr>
              <w:spacing w:after="0"/>
              <w:jc w:val="center"/>
              <w:rPr>
                <w:sz w:val="20"/>
                <w:szCs w:val="20"/>
                <w:lang w:val="en-IN"/>
              </w:rPr>
            </w:pPr>
          </w:p>
        </w:tc>
        <w:tc>
          <w:tcPr>
            <w:tcW w:w="735" w:type="pct"/>
            <w:tcBorders>
              <w:top w:val="nil"/>
              <w:left w:val="nil"/>
              <w:bottom w:val="nil"/>
              <w:right w:val="nil"/>
            </w:tcBorders>
            <w:noWrap/>
            <w:vAlign w:val="center"/>
            <w:hideMark/>
          </w:tcPr>
          <w:p w14:paraId="04F71623" w14:textId="77777777" w:rsidR="00C870A2" w:rsidRPr="00C870A2" w:rsidRDefault="00C870A2" w:rsidP="00C870A2">
            <w:pPr>
              <w:spacing w:after="0"/>
              <w:jc w:val="center"/>
              <w:rPr>
                <w:sz w:val="20"/>
                <w:szCs w:val="20"/>
                <w:lang w:val="en-IN"/>
              </w:rPr>
            </w:pPr>
          </w:p>
        </w:tc>
        <w:tc>
          <w:tcPr>
            <w:tcW w:w="735" w:type="pct"/>
            <w:tcBorders>
              <w:top w:val="nil"/>
              <w:left w:val="nil"/>
              <w:bottom w:val="nil"/>
              <w:right w:val="nil"/>
            </w:tcBorders>
            <w:noWrap/>
            <w:vAlign w:val="center"/>
            <w:hideMark/>
          </w:tcPr>
          <w:p w14:paraId="1618F5D0" w14:textId="77777777" w:rsidR="00C870A2" w:rsidRPr="00C870A2" w:rsidRDefault="00C870A2" w:rsidP="00C870A2">
            <w:pPr>
              <w:spacing w:after="0"/>
              <w:jc w:val="center"/>
              <w:rPr>
                <w:sz w:val="20"/>
                <w:szCs w:val="20"/>
                <w:lang w:val="en-IN"/>
              </w:rPr>
            </w:pPr>
          </w:p>
        </w:tc>
      </w:tr>
      <w:tr w:rsidR="00C870A2" w:rsidRPr="00C870A2" w14:paraId="7C0EB3C3" w14:textId="77777777" w:rsidTr="00C870A2">
        <w:trPr>
          <w:trHeight w:val="324"/>
        </w:trPr>
        <w:tc>
          <w:tcPr>
            <w:tcW w:w="5000" w:type="pct"/>
            <w:gridSpan w:val="6"/>
            <w:tcBorders>
              <w:top w:val="single" w:sz="8" w:space="0" w:color="auto"/>
              <w:left w:val="single" w:sz="8" w:space="0" w:color="auto"/>
              <w:bottom w:val="single" w:sz="8" w:space="0" w:color="auto"/>
              <w:right w:val="single" w:sz="8" w:space="0" w:color="000000"/>
            </w:tcBorders>
            <w:noWrap/>
            <w:vAlign w:val="center"/>
            <w:hideMark/>
          </w:tcPr>
          <w:p w14:paraId="10ED5626" w14:textId="77777777" w:rsidR="00C870A2" w:rsidRPr="00C870A2" w:rsidRDefault="00C870A2" w:rsidP="00C870A2">
            <w:pPr>
              <w:spacing w:after="0"/>
              <w:jc w:val="center"/>
              <w:rPr>
                <w:b/>
                <w:bCs/>
                <w:color w:val="000000"/>
                <w:lang w:val="en-IN"/>
              </w:rPr>
            </w:pPr>
            <w:r w:rsidRPr="00C870A2">
              <w:rPr>
                <w:b/>
                <w:bCs/>
                <w:color w:val="000000"/>
                <w:lang w:val="en-IN"/>
              </w:rPr>
              <w:t>Liquidity Ratios</w:t>
            </w:r>
          </w:p>
        </w:tc>
      </w:tr>
      <w:tr w:rsidR="00C870A2" w:rsidRPr="00C870A2" w14:paraId="38125519"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5B133660" w14:textId="77777777" w:rsidR="00C870A2" w:rsidRPr="00C870A2" w:rsidRDefault="00C870A2" w:rsidP="00C870A2">
            <w:pPr>
              <w:spacing w:after="0"/>
              <w:jc w:val="center"/>
              <w:rPr>
                <w:b/>
                <w:bCs/>
                <w:color w:val="000000"/>
                <w:lang w:val="en-IN"/>
              </w:rPr>
            </w:pPr>
            <w:r w:rsidRPr="00C870A2">
              <w:rPr>
                <w:b/>
                <w:bCs/>
                <w:color w:val="000000"/>
                <w:lang w:val="en-IN"/>
              </w:rPr>
              <w:t>Particulars</w:t>
            </w:r>
          </w:p>
        </w:tc>
        <w:tc>
          <w:tcPr>
            <w:tcW w:w="684" w:type="pct"/>
            <w:tcBorders>
              <w:top w:val="nil"/>
              <w:left w:val="nil"/>
              <w:bottom w:val="single" w:sz="4" w:space="0" w:color="auto"/>
              <w:right w:val="single" w:sz="4" w:space="0" w:color="auto"/>
            </w:tcBorders>
            <w:noWrap/>
            <w:vAlign w:val="center"/>
            <w:hideMark/>
          </w:tcPr>
          <w:p w14:paraId="0B19E881" w14:textId="77777777" w:rsidR="00C870A2" w:rsidRPr="00C870A2" w:rsidRDefault="00C870A2" w:rsidP="00C870A2">
            <w:pPr>
              <w:spacing w:after="0"/>
              <w:jc w:val="center"/>
              <w:rPr>
                <w:b/>
                <w:bCs/>
                <w:color w:val="000000"/>
                <w:lang w:val="en-IN"/>
              </w:rPr>
            </w:pPr>
            <w:r w:rsidRPr="00C870A2">
              <w:rPr>
                <w:b/>
                <w:bCs/>
                <w:color w:val="000000"/>
                <w:lang w:val="en-IN"/>
              </w:rPr>
              <w:t>2020</w:t>
            </w:r>
          </w:p>
        </w:tc>
        <w:tc>
          <w:tcPr>
            <w:tcW w:w="684" w:type="pct"/>
            <w:tcBorders>
              <w:top w:val="nil"/>
              <w:left w:val="nil"/>
              <w:bottom w:val="single" w:sz="4" w:space="0" w:color="auto"/>
              <w:right w:val="single" w:sz="4" w:space="0" w:color="auto"/>
            </w:tcBorders>
            <w:noWrap/>
            <w:vAlign w:val="center"/>
            <w:hideMark/>
          </w:tcPr>
          <w:p w14:paraId="7BF9585A" w14:textId="77777777" w:rsidR="00C870A2" w:rsidRPr="00C870A2" w:rsidRDefault="00C870A2" w:rsidP="00C870A2">
            <w:pPr>
              <w:spacing w:after="0"/>
              <w:jc w:val="center"/>
              <w:rPr>
                <w:b/>
                <w:bCs/>
                <w:color w:val="000000"/>
                <w:lang w:val="en-IN"/>
              </w:rPr>
            </w:pPr>
            <w:r w:rsidRPr="00C870A2">
              <w:rPr>
                <w:b/>
                <w:bCs/>
                <w:color w:val="000000"/>
                <w:lang w:val="en-IN"/>
              </w:rPr>
              <w:t>2021</w:t>
            </w:r>
          </w:p>
        </w:tc>
        <w:tc>
          <w:tcPr>
            <w:tcW w:w="684" w:type="pct"/>
            <w:tcBorders>
              <w:top w:val="nil"/>
              <w:left w:val="nil"/>
              <w:bottom w:val="single" w:sz="4" w:space="0" w:color="auto"/>
              <w:right w:val="single" w:sz="4" w:space="0" w:color="auto"/>
            </w:tcBorders>
            <w:noWrap/>
            <w:vAlign w:val="center"/>
            <w:hideMark/>
          </w:tcPr>
          <w:p w14:paraId="27BF7D71" w14:textId="77777777" w:rsidR="00C870A2" w:rsidRPr="00C870A2" w:rsidRDefault="00C870A2" w:rsidP="00C870A2">
            <w:pPr>
              <w:spacing w:after="0"/>
              <w:jc w:val="center"/>
              <w:rPr>
                <w:b/>
                <w:bCs/>
                <w:color w:val="000000"/>
                <w:lang w:val="en-IN"/>
              </w:rPr>
            </w:pPr>
            <w:r w:rsidRPr="00C870A2">
              <w:rPr>
                <w:b/>
                <w:bCs/>
                <w:color w:val="000000"/>
                <w:lang w:val="en-IN"/>
              </w:rPr>
              <w:t>2022</w:t>
            </w:r>
          </w:p>
        </w:tc>
        <w:tc>
          <w:tcPr>
            <w:tcW w:w="735" w:type="pct"/>
            <w:tcBorders>
              <w:top w:val="nil"/>
              <w:left w:val="nil"/>
              <w:bottom w:val="single" w:sz="4" w:space="0" w:color="auto"/>
              <w:right w:val="single" w:sz="4" w:space="0" w:color="auto"/>
            </w:tcBorders>
            <w:noWrap/>
            <w:vAlign w:val="center"/>
            <w:hideMark/>
          </w:tcPr>
          <w:p w14:paraId="783C1E8E" w14:textId="77777777" w:rsidR="00C870A2" w:rsidRPr="00C870A2" w:rsidRDefault="00C870A2" w:rsidP="00C870A2">
            <w:pPr>
              <w:spacing w:after="0"/>
              <w:jc w:val="center"/>
              <w:rPr>
                <w:b/>
                <w:bCs/>
                <w:color w:val="000000"/>
                <w:lang w:val="en-IN"/>
              </w:rPr>
            </w:pPr>
            <w:r w:rsidRPr="00C870A2">
              <w:rPr>
                <w:b/>
                <w:bCs/>
                <w:color w:val="000000"/>
                <w:lang w:val="en-IN"/>
              </w:rPr>
              <w:t>2023</w:t>
            </w:r>
          </w:p>
        </w:tc>
        <w:tc>
          <w:tcPr>
            <w:tcW w:w="735" w:type="pct"/>
            <w:tcBorders>
              <w:top w:val="nil"/>
              <w:left w:val="nil"/>
              <w:bottom w:val="single" w:sz="4" w:space="0" w:color="auto"/>
              <w:right w:val="single" w:sz="8" w:space="0" w:color="auto"/>
            </w:tcBorders>
            <w:noWrap/>
            <w:vAlign w:val="center"/>
            <w:hideMark/>
          </w:tcPr>
          <w:p w14:paraId="356D2ADE" w14:textId="77777777" w:rsidR="00C870A2" w:rsidRPr="00C870A2" w:rsidRDefault="00C870A2" w:rsidP="00C870A2">
            <w:pPr>
              <w:spacing w:after="0"/>
              <w:jc w:val="center"/>
              <w:rPr>
                <w:b/>
                <w:bCs/>
                <w:color w:val="000000"/>
                <w:lang w:val="en-IN"/>
              </w:rPr>
            </w:pPr>
            <w:r w:rsidRPr="00C870A2">
              <w:rPr>
                <w:b/>
                <w:bCs/>
                <w:color w:val="000000"/>
                <w:lang w:val="en-IN"/>
              </w:rPr>
              <w:t>2024</w:t>
            </w:r>
          </w:p>
        </w:tc>
      </w:tr>
      <w:tr w:rsidR="00C870A2" w:rsidRPr="00C870A2" w14:paraId="5169FE59"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325780BE" w14:textId="77777777" w:rsidR="00C870A2" w:rsidRPr="00C870A2" w:rsidRDefault="00C870A2" w:rsidP="00C870A2">
            <w:pPr>
              <w:spacing w:after="0"/>
              <w:jc w:val="left"/>
              <w:rPr>
                <w:color w:val="000000"/>
                <w:lang w:val="en-IN"/>
              </w:rPr>
            </w:pPr>
            <w:r w:rsidRPr="00C870A2">
              <w:rPr>
                <w:color w:val="000000"/>
                <w:lang w:val="en-IN"/>
              </w:rPr>
              <w:t>Current Assets (£m)</w:t>
            </w:r>
          </w:p>
        </w:tc>
        <w:tc>
          <w:tcPr>
            <w:tcW w:w="684" w:type="pct"/>
            <w:tcBorders>
              <w:top w:val="nil"/>
              <w:left w:val="nil"/>
              <w:bottom w:val="single" w:sz="4" w:space="0" w:color="auto"/>
              <w:right w:val="single" w:sz="4" w:space="0" w:color="auto"/>
            </w:tcBorders>
            <w:noWrap/>
            <w:vAlign w:val="bottom"/>
            <w:hideMark/>
          </w:tcPr>
          <w:p w14:paraId="61F2B8A3" w14:textId="77777777" w:rsidR="00C870A2" w:rsidRPr="00C870A2" w:rsidRDefault="00C870A2" w:rsidP="00C870A2">
            <w:pPr>
              <w:spacing w:after="0"/>
              <w:jc w:val="right"/>
              <w:rPr>
                <w:color w:val="000000"/>
                <w:lang w:val="en-IN"/>
              </w:rPr>
            </w:pPr>
            <w:r w:rsidRPr="00C870A2">
              <w:rPr>
                <w:color w:val="000000"/>
                <w:lang w:val="en-IN"/>
              </w:rPr>
              <w:t>3,26,843</w:t>
            </w:r>
          </w:p>
        </w:tc>
        <w:tc>
          <w:tcPr>
            <w:tcW w:w="684" w:type="pct"/>
            <w:tcBorders>
              <w:top w:val="nil"/>
              <w:left w:val="nil"/>
              <w:bottom w:val="single" w:sz="4" w:space="0" w:color="auto"/>
              <w:right w:val="single" w:sz="4" w:space="0" w:color="auto"/>
            </w:tcBorders>
            <w:noWrap/>
            <w:vAlign w:val="bottom"/>
            <w:hideMark/>
          </w:tcPr>
          <w:p w14:paraId="37A22739" w14:textId="77777777" w:rsidR="00C870A2" w:rsidRPr="00C870A2" w:rsidRDefault="00C870A2" w:rsidP="00C870A2">
            <w:pPr>
              <w:spacing w:after="0"/>
              <w:jc w:val="right"/>
              <w:rPr>
                <w:color w:val="000000"/>
                <w:lang w:val="en-IN"/>
              </w:rPr>
            </w:pPr>
            <w:r w:rsidRPr="00C870A2">
              <w:rPr>
                <w:color w:val="000000"/>
                <w:lang w:val="en-IN"/>
              </w:rPr>
              <w:t>3,37,146</w:t>
            </w:r>
          </w:p>
        </w:tc>
        <w:tc>
          <w:tcPr>
            <w:tcW w:w="684" w:type="pct"/>
            <w:tcBorders>
              <w:top w:val="nil"/>
              <w:left w:val="nil"/>
              <w:bottom w:val="single" w:sz="4" w:space="0" w:color="auto"/>
              <w:right w:val="single" w:sz="4" w:space="0" w:color="auto"/>
            </w:tcBorders>
            <w:noWrap/>
            <w:vAlign w:val="bottom"/>
            <w:hideMark/>
          </w:tcPr>
          <w:p w14:paraId="62C77FA9" w14:textId="77777777" w:rsidR="00C870A2" w:rsidRPr="00C870A2" w:rsidRDefault="00C870A2" w:rsidP="00C870A2">
            <w:pPr>
              <w:spacing w:after="0"/>
              <w:jc w:val="right"/>
              <w:rPr>
                <w:color w:val="000000"/>
                <w:lang w:val="en-IN"/>
              </w:rPr>
            </w:pPr>
            <w:r w:rsidRPr="00C870A2">
              <w:rPr>
                <w:color w:val="000000"/>
                <w:lang w:val="en-IN"/>
              </w:rPr>
              <w:t>3,38,040</w:t>
            </w:r>
          </w:p>
        </w:tc>
        <w:tc>
          <w:tcPr>
            <w:tcW w:w="735" w:type="pct"/>
            <w:tcBorders>
              <w:top w:val="nil"/>
              <w:left w:val="nil"/>
              <w:bottom w:val="single" w:sz="4" w:space="0" w:color="auto"/>
              <w:right w:val="single" w:sz="4" w:space="0" w:color="auto"/>
            </w:tcBorders>
            <w:noWrap/>
            <w:vAlign w:val="bottom"/>
            <w:hideMark/>
          </w:tcPr>
          <w:p w14:paraId="1A795AF3" w14:textId="77777777" w:rsidR="00C870A2" w:rsidRPr="00C870A2" w:rsidRDefault="00C870A2" w:rsidP="00C870A2">
            <w:pPr>
              <w:spacing w:after="0"/>
              <w:jc w:val="right"/>
              <w:rPr>
                <w:color w:val="000000"/>
                <w:lang w:val="en-IN"/>
              </w:rPr>
            </w:pPr>
            <w:r w:rsidRPr="00C870A2">
              <w:rPr>
                <w:color w:val="000000"/>
                <w:lang w:val="en-IN"/>
              </w:rPr>
              <w:t>2,58,851</w:t>
            </w:r>
          </w:p>
        </w:tc>
        <w:tc>
          <w:tcPr>
            <w:tcW w:w="735" w:type="pct"/>
            <w:tcBorders>
              <w:top w:val="nil"/>
              <w:left w:val="nil"/>
              <w:bottom w:val="single" w:sz="4" w:space="0" w:color="auto"/>
              <w:right w:val="single" w:sz="8" w:space="0" w:color="auto"/>
            </w:tcBorders>
            <w:noWrap/>
            <w:vAlign w:val="bottom"/>
            <w:hideMark/>
          </w:tcPr>
          <w:p w14:paraId="3CA2ECFA" w14:textId="77777777" w:rsidR="00C870A2" w:rsidRPr="00C870A2" w:rsidRDefault="00C870A2" w:rsidP="00C870A2">
            <w:pPr>
              <w:spacing w:after="0"/>
              <w:jc w:val="right"/>
              <w:rPr>
                <w:color w:val="000000"/>
                <w:lang w:val="en-IN"/>
              </w:rPr>
            </w:pPr>
            <w:r w:rsidRPr="00C870A2">
              <w:rPr>
                <w:color w:val="000000"/>
                <w:lang w:val="en-IN"/>
              </w:rPr>
              <w:t>2,42,494</w:t>
            </w:r>
          </w:p>
        </w:tc>
      </w:tr>
      <w:tr w:rsidR="00C870A2" w:rsidRPr="00C870A2" w14:paraId="265959F5"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6A4F79C4" w14:textId="77777777" w:rsidR="00C870A2" w:rsidRPr="00C870A2" w:rsidRDefault="00C870A2" w:rsidP="00C870A2">
            <w:pPr>
              <w:spacing w:after="0"/>
              <w:jc w:val="left"/>
              <w:rPr>
                <w:color w:val="000000"/>
                <w:lang w:val="en-IN"/>
              </w:rPr>
            </w:pPr>
            <w:r w:rsidRPr="00C870A2">
              <w:rPr>
                <w:color w:val="000000"/>
                <w:lang w:val="en-IN"/>
              </w:rPr>
              <w:t>Inventories (£m)</w:t>
            </w:r>
          </w:p>
        </w:tc>
        <w:tc>
          <w:tcPr>
            <w:tcW w:w="684" w:type="pct"/>
            <w:tcBorders>
              <w:top w:val="nil"/>
              <w:left w:val="nil"/>
              <w:bottom w:val="single" w:sz="4" w:space="0" w:color="auto"/>
              <w:right w:val="single" w:sz="4" w:space="0" w:color="auto"/>
            </w:tcBorders>
            <w:noWrap/>
            <w:vAlign w:val="bottom"/>
            <w:hideMark/>
          </w:tcPr>
          <w:p w14:paraId="05FF4174" w14:textId="77777777" w:rsidR="00C870A2" w:rsidRPr="00C870A2" w:rsidRDefault="00C870A2" w:rsidP="00C870A2">
            <w:pPr>
              <w:spacing w:after="0"/>
              <w:jc w:val="right"/>
              <w:rPr>
                <w:color w:val="000000"/>
                <w:lang w:val="en-IN"/>
              </w:rPr>
            </w:pPr>
            <w:r w:rsidRPr="00C870A2">
              <w:rPr>
                <w:color w:val="000000"/>
                <w:lang w:val="en-IN"/>
              </w:rPr>
              <w:t>1,20,430</w:t>
            </w:r>
          </w:p>
        </w:tc>
        <w:tc>
          <w:tcPr>
            <w:tcW w:w="684" w:type="pct"/>
            <w:tcBorders>
              <w:top w:val="nil"/>
              <w:left w:val="nil"/>
              <w:bottom w:val="single" w:sz="4" w:space="0" w:color="auto"/>
              <w:right w:val="single" w:sz="4" w:space="0" w:color="auto"/>
            </w:tcBorders>
            <w:noWrap/>
            <w:vAlign w:val="bottom"/>
            <w:hideMark/>
          </w:tcPr>
          <w:p w14:paraId="2C7EAC2D" w14:textId="77777777" w:rsidR="00C870A2" w:rsidRPr="00C870A2" w:rsidRDefault="00C870A2" w:rsidP="00C870A2">
            <w:pPr>
              <w:spacing w:after="0"/>
              <w:jc w:val="right"/>
              <w:rPr>
                <w:color w:val="000000"/>
                <w:lang w:val="en-IN"/>
              </w:rPr>
            </w:pPr>
            <w:r w:rsidRPr="00C870A2">
              <w:rPr>
                <w:color w:val="000000"/>
                <w:lang w:val="en-IN"/>
              </w:rPr>
              <w:t>1,34,469</w:t>
            </w:r>
          </w:p>
        </w:tc>
        <w:tc>
          <w:tcPr>
            <w:tcW w:w="684" w:type="pct"/>
            <w:tcBorders>
              <w:top w:val="nil"/>
              <w:left w:val="nil"/>
              <w:bottom w:val="single" w:sz="4" w:space="0" w:color="auto"/>
              <w:right w:val="single" w:sz="4" w:space="0" w:color="auto"/>
            </w:tcBorders>
            <w:noWrap/>
            <w:vAlign w:val="bottom"/>
            <w:hideMark/>
          </w:tcPr>
          <w:p w14:paraId="129FF432" w14:textId="77777777" w:rsidR="00C870A2" w:rsidRPr="00C870A2" w:rsidRDefault="00C870A2" w:rsidP="00C870A2">
            <w:pPr>
              <w:spacing w:after="0"/>
              <w:jc w:val="right"/>
              <w:rPr>
                <w:color w:val="000000"/>
                <w:lang w:val="en-IN"/>
              </w:rPr>
            </w:pPr>
            <w:r w:rsidRPr="00C870A2">
              <w:rPr>
                <w:color w:val="000000"/>
                <w:lang w:val="en-IN"/>
              </w:rPr>
              <w:t>1,40,181</w:t>
            </w:r>
          </w:p>
        </w:tc>
        <w:tc>
          <w:tcPr>
            <w:tcW w:w="735" w:type="pct"/>
            <w:tcBorders>
              <w:top w:val="nil"/>
              <w:left w:val="nil"/>
              <w:bottom w:val="single" w:sz="4" w:space="0" w:color="auto"/>
              <w:right w:val="single" w:sz="4" w:space="0" w:color="auto"/>
            </w:tcBorders>
            <w:noWrap/>
            <w:vAlign w:val="bottom"/>
            <w:hideMark/>
          </w:tcPr>
          <w:p w14:paraId="1D67DE55" w14:textId="77777777" w:rsidR="00C870A2" w:rsidRPr="00C870A2" w:rsidRDefault="00C870A2" w:rsidP="00C870A2">
            <w:pPr>
              <w:spacing w:after="0"/>
              <w:jc w:val="right"/>
              <w:rPr>
                <w:color w:val="000000"/>
                <w:lang w:val="en-IN"/>
              </w:rPr>
            </w:pPr>
            <w:r w:rsidRPr="00C870A2">
              <w:rPr>
                <w:color w:val="000000"/>
                <w:lang w:val="en-IN"/>
              </w:rPr>
              <w:t>88,273</w:t>
            </w:r>
          </w:p>
        </w:tc>
        <w:tc>
          <w:tcPr>
            <w:tcW w:w="735" w:type="pct"/>
            <w:tcBorders>
              <w:top w:val="nil"/>
              <w:left w:val="nil"/>
              <w:bottom w:val="single" w:sz="4" w:space="0" w:color="auto"/>
              <w:right w:val="single" w:sz="8" w:space="0" w:color="auto"/>
            </w:tcBorders>
            <w:noWrap/>
            <w:vAlign w:val="bottom"/>
            <w:hideMark/>
          </w:tcPr>
          <w:p w14:paraId="34C93740" w14:textId="77777777" w:rsidR="00C870A2" w:rsidRPr="00C870A2" w:rsidRDefault="00C870A2" w:rsidP="00C870A2">
            <w:pPr>
              <w:spacing w:after="0"/>
              <w:jc w:val="right"/>
              <w:rPr>
                <w:color w:val="000000"/>
                <w:lang w:val="en-IN"/>
              </w:rPr>
            </w:pPr>
            <w:r w:rsidRPr="00C870A2">
              <w:rPr>
                <w:color w:val="000000"/>
                <w:lang w:val="en-IN"/>
              </w:rPr>
              <w:t>79,355</w:t>
            </w:r>
          </w:p>
        </w:tc>
      </w:tr>
      <w:tr w:rsidR="00C870A2" w:rsidRPr="00C870A2" w14:paraId="4B9616CB"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4CDCDF53" w14:textId="77777777" w:rsidR="00C870A2" w:rsidRPr="00C870A2" w:rsidRDefault="00C870A2" w:rsidP="00C870A2">
            <w:pPr>
              <w:spacing w:after="0"/>
              <w:jc w:val="left"/>
              <w:rPr>
                <w:color w:val="000000"/>
                <w:lang w:val="en-IN"/>
              </w:rPr>
            </w:pPr>
            <w:r w:rsidRPr="00C870A2">
              <w:rPr>
                <w:color w:val="000000"/>
                <w:lang w:val="en-IN"/>
              </w:rPr>
              <w:t>Current Liabilities (£m)</w:t>
            </w:r>
          </w:p>
        </w:tc>
        <w:tc>
          <w:tcPr>
            <w:tcW w:w="684" w:type="pct"/>
            <w:tcBorders>
              <w:top w:val="nil"/>
              <w:left w:val="nil"/>
              <w:bottom w:val="single" w:sz="4" w:space="0" w:color="auto"/>
              <w:right w:val="single" w:sz="4" w:space="0" w:color="auto"/>
            </w:tcBorders>
            <w:noWrap/>
            <w:vAlign w:val="bottom"/>
            <w:hideMark/>
          </w:tcPr>
          <w:p w14:paraId="50704C64" w14:textId="77777777" w:rsidR="00C870A2" w:rsidRPr="00C870A2" w:rsidRDefault="00C870A2" w:rsidP="00C870A2">
            <w:pPr>
              <w:spacing w:after="0"/>
              <w:jc w:val="right"/>
              <w:rPr>
                <w:color w:val="000000"/>
                <w:lang w:val="en-IN"/>
              </w:rPr>
            </w:pPr>
            <w:r w:rsidRPr="00C870A2">
              <w:rPr>
                <w:color w:val="000000"/>
                <w:lang w:val="en-IN"/>
              </w:rPr>
              <w:t>1,79,510</w:t>
            </w:r>
          </w:p>
        </w:tc>
        <w:tc>
          <w:tcPr>
            <w:tcW w:w="684" w:type="pct"/>
            <w:tcBorders>
              <w:top w:val="nil"/>
              <w:left w:val="nil"/>
              <w:bottom w:val="single" w:sz="4" w:space="0" w:color="auto"/>
              <w:right w:val="single" w:sz="4" w:space="0" w:color="auto"/>
            </w:tcBorders>
            <w:noWrap/>
            <w:vAlign w:val="bottom"/>
            <w:hideMark/>
          </w:tcPr>
          <w:p w14:paraId="7F2F7EFA" w14:textId="77777777" w:rsidR="00C870A2" w:rsidRPr="00C870A2" w:rsidRDefault="00C870A2" w:rsidP="00C870A2">
            <w:pPr>
              <w:spacing w:after="0"/>
              <w:jc w:val="right"/>
              <w:rPr>
                <w:color w:val="000000"/>
                <w:lang w:val="en-IN"/>
              </w:rPr>
            </w:pPr>
            <w:r w:rsidRPr="00C870A2">
              <w:rPr>
                <w:color w:val="000000"/>
                <w:lang w:val="en-IN"/>
              </w:rPr>
              <w:t>2,16,787</w:t>
            </w:r>
          </w:p>
        </w:tc>
        <w:tc>
          <w:tcPr>
            <w:tcW w:w="684" w:type="pct"/>
            <w:tcBorders>
              <w:top w:val="nil"/>
              <w:left w:val="nil"/>
              <w:bottom w:val="single" w:sz="4" w:space="0" w:color="auto"/>
              <w:right w:val="single" w:sz="4" w:space="0" w:color="auto"/>
            </w:tcBorders>
            <w:noWrap/>
            <w:vAlign w:val="bottom"/>
            <w:hideMark/>
          </w:tcPr>
          <w:p w14:paraId="5C27372D" w14:textId="77777777" w:rsidR="00C870A2" w:rsidRPr="00C870A2" w:rsidRDefault="00C870A2" w:rsidP="00C870A2">
            <w:pPr>
              <w:spacing w:after="0"/>
              <w:jc w:val="right"/>
              <w:rPr>
                <w:color w:val="000000"/>
                <w:lang w:val="en-IN"/>
              </w:rPr>
            </w:pPr>
            <w:r w:rsidRPr="00C870A2">
              <w:rPr>
                <w:color w:val="000000"/>
                <w:lang w:val="en-IN"/>
              </w:rPr>
              <w:t>2,16,473</w:t>
            </w:r>
          </w:p>
        </w:tc>
        <w:tc>
          <w:tcPr>
            <w:tcW w:w="735" w:type="pct"/>
            <w:tcBorders>
              <w:top w:val="nil"/>
              <w:left w:val="nil"/>
              <w:bottom w:val="single" w:sz="4" w:space="0" w:color="auto"/>
              <w:right w:val="single" w:sz="4" w:space="0" w:color="auto"/>
            </w:tcBorders>
            <w:noWrap/>
            <w:vAlign w:val="bottom"/>
            <w:hideMark/>
          </w:tcPr>
          <w:p w14:paraId="677CAB03" w14:textId="77777777" w:rsidR="00C870A2" w:rsidRPr="00C870A2" w:rsidRDefault="00C870A2" w:rsidP="00C870A2">
            <w:pPr>
              <w:spacing w:after="0"/>
              <w:jc w:val="right"/>
              <w:rPr>
                <w:color w:val="000000"/>
                <w:lang w:val="en-IN"/>
              </w:rPr>
            </w:pPr>
            <w:r w:rsidRPr="00C870A2">
              <w:rPr>
                <w:color w:val="000000"/>
                <w:lang w:val="en-IN"/>
              </w:rPr>
              <w:t>1,61,148</w:t>
            </w:r>
          </w:p>
        </w:tc>
        <w:tc>
          <w:tcPr>
            <w:tcW w:w="735" w:type="pct"/>
            <w:tcBorders>
              <w:top w:val="nil"/>
              <w:left w:val="nil"/>
              <w:bottom w:val="single" w:sz="4" w:space="0" w:color="auto"/>
              <w:right w:val="single" w:sz="8" w:space="0" w:color="auto"/>
            </w:tcBorders>
            <w:noWrap/>
            <w:vAlign w:val="bottom"/>
            <w:hideMark/>
          </w:tcPr>
          <w:p w14:paraId="34B980FC" w14:textId="77777777" w:rsidR="00C870A2" w:rsidRPr="00C870A2" w:rsidRDefault="00C870A2" w:rsidP="00C870A2">
            <w:pPr>
              <w:spacing w:after="0"/>
              <w:jc w:val="right"/>
              <w:rPr>
                <w:color w:val="000000"/>
                <w:lang w:val="en-IN"/>
              </w:rPr>
            </w:pPr>
            <w:r w:rsidRPr="00C870A2">
              <w:rPr>
                <w:color w:val="000000"/>
                <w:lang w:val="en-IN"/>
              </w:rPr>
              <w:t>1,58,291</w:t>
            </w:r>
          </w:p>
        </w:tc>
      </w:tr>
      <w:tr w:rsidR="00C870A2" w:rsidRPr="00C870A2" w14:paraId="1F6EB24C"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57F53C04" w14:textId="77777777" w:rsidR="00C870A2" w:rsidRPr="00C870A2" w:rsidRDefault="00C870A2" w:rsidP="00C870A2">
            <w:pPr>
              <w:spacing w:after="0"/>
              <w:jc w:val="left"/>
              <w:rPr>
                <w:b/>
                <w:bCs/>
                <w:color w:val="000000"/>
                <w:lang w:val="en-IN"/>
              </w:rPr>
            </w:pPr>
            <w:r w:rsidRPr="00C870A2">
              <w:rPr>
                <w:b/>
                <w:bCs/>
                <w:color w:val="000000"/>
                <w:lang w:val="en-IN"/>
              </w:rPr>
              <w:t>Current Ratio</w:t>
            </w:r>
          </w:p>
        </w:tc>
        <w:tc>
          <w:tcPr>
            <w:tcW w:w="684" w:type="pct"/>
            <w:tcBorders>
              <w:top w:val="nil"/>
              <w:left w:val="nil"/>
              <w:bottom w:val="single" w:sz="4" w:space="0" w:color="auto"/>
              <w:right w:val="single" w:sz="4" w:space="0" w:color="auto"/>
            </w:tcBorders>
            <w:noWrap/>
            <w:vAlign w:val="center"/>
            <w:hideMark/>
          </w:tcPr>
          <w:p w14:paraId="760C5039" w14:textId="77777777" w:rsidR="00C870A2" w:rsidRPr="00C870A2" w:rsidRDefault="00C870A2" w:rsidP="00C870A2">
            <w:pPr>
              <w:spacing w:after="0"/>
              <w:jc w:val="center"/>
              <w:rPr>
                <w:b/>
                <w:bCs/>
                <w:color w:val="000000"/>
                <w:lang w:val="en-IN"/>
              </w:rPr>
            </w:pPr>
            <w:r w:rsidRPr="00C870A2">
              <w:rPr>
                <w:b/>
                <w:bCs/>
                <w:color w:val="000000"/>
                <w:lang w:val="en-IN"/>
              </w:rPr>
              <w:t xml:space="preserve">               1.82 </w:t>
            </w:r>
          </w:p>
        </w:tc>
        <w:tc>
          <w:tcPr>
            <w:tcW w:w="684" w:type="pct"/>
            <w:tcBorders>
              <w:top w:val="nil"/>
              <w:left w:val="nil"/>
              <w:bottom w:val="single" w:sz="4" w:space="0" w:color="auto"/>
              <w:right w:val="single" w:sz="4" w:space="0" w:color="auto"/>
            </w:tcBorders>
            <w:noWrap/>
            <w:vAlign w:val="center"/>
            <w:hideMark/>
          </w:tcPr>
          <w:p w14:paraId="516E94B1" w14:textId="77777777" w:rsidR="00C870A2" w:rsidRPr="00C870A2" w:rsidRDefault="00C870A2" w:rsidP="00C870A2">
            <w:pPr>
              <w:spacing w:after="0"/>
              <w:jc w:val="center"/>
              <w:rPr>
                <w:b/>
                <w:bCs/>
                <w:color w:val="000000"/>
                <w:lang w:val="en-IN"/>
              </w:rPr>
            </w:pPr>
            <w:r w:rsidRPr="00C870A2">
              <w:rPr>
                <w:b/>
                <w:bCs/>
                <w:color w:val="000000"/>
                <w:lang w:val="en-IN"/>
              </w:rPr>
              <w:t xml:space="preserve">               1.56 </w:t>
            </w:r>
          </w:p>
        </w:tc>
        <w:tc>
          <w:tcPr>
            <w:tcW w:w="684" w:type="pct"/>
            <w:tcBorders>
              <w:top w:val="nil"/>
              <w:left w:val="nil"/>
              <w:bottom w:val="single" w:sz="4" w:space="0" w:color="auto"/>
              <w:right w:val="single" w:sz="4" w:space="0" w:color="auto"/>
            </w:tcBorders>
            <w:noWrap/>
            <w:vAlign w:val="center"/>
            <w:hideMark/>
          </w:tcPr>
          <w:p w14:paraId="1A4B190E" w14:textId="77777777" w:rsidR="00C870A2" w:rsidRPr="00C870A2" w:rsidRDefault="00C870A2" w:rsidP="00C870A2">
            <w:pPr>
              <w:spacing w:after="0"/>
              <w:jc w:val="center"/>
              <w:rPr>
                <w:b/>
                <w:bCs/>
                <w:color w:val="000000"/>
                <w:lang w:val="en-IN"/>
              </w:rPr>
            </w:pPr>
            <w:r w:rsidRPr="00C870A2">
              <w:rPr>
                <w:b/>
                <w:bCs/>
                <w:color w:val="000000"/>
                <w:lang w:val="en-IN"/>
              </w:rPr>
              <w:t xml:space="preserve">               1.56 </w:t>
            </w:r>
          </w:p>
        </w:tc>
        <w:tc>
          <w:tcPr>
            <w:tcW w:w="735" w:type="pct"/>
            <w:tcBorders>
              <w:top w:val="nil"/>
              <w:left w:val="nil"/>
              <w:bottom w:val="single" w:sz="4" w:space="0" w:color="auto"/>
              <w:right w:val="single" w:sz="4" w:space="0" w:color="auto"/>
            </w:tcBorders>
            <w:noWrap/>
            <w:vAlign w:val="center"/>
            <w:hideMark/>
          </w:tcPr>
          <w:p w14:paraId="4E0CDDE4" w14:textId="77777777" w:rsidR="00C870A2" w:rsidRPr="00C870A2" w:rsidRDefault="00C870A2" w:rsidP="00C870A2">
            <w:pPr>
              <w:spacing w:after="0"/>
              <w:jc w:val="center"/>
              <w:rPr>
                <w:b/>
                <w:bCs/>
                <w:color w:val="000000"/>
                <w:lang w:val="en-IN"/>
              </w:rPr>
            </w:pPr>
            <w:r w:rsidRPr="00C870A2">
              <w:rPr>
                <w:b/>
                <w:bCs/>
                <w:color w:val="000000"/>
                <w:lang w:val="en-IN"/>
              </w:rPr>
              <w:t xml:space="preserve">               1.61 </w:t>
            </w:r>
          </w:p>
        </w:tc>
        <w:tc>
          <w:tcPr>
            <w:tcW w:w="735" w:type="pct"/>
            <w:tcBorders>
              <w:top w:val="nil"/>
              <w:left w:val="nil"/>
              <w:bottom w:val="single" w:sz="4" w:space="0" w:color="auto"/>
              <w:right w:val="single" w:sz="8" w:space="0" w:color="auto"/>
            </w:tcBorders>
            <w:noWrap/>
            <w:vAlign w:val="center"/>
            <w:hideMark/>
          </w:tcPr>
          <w:p w14:paraId="5EA94952" w14:textId="77777777" w:rsidR="00C870A2" w:rsidRPr="00C870A2" w:rsidRDefault="00C870A2" w:rsidP="00C870A2">
            <w:pPr>
              <w:spacing w:after="0"/>
              <w:jc w:val="center"/>
              <w:rPr>
                <w:b/>
                <w:bCs/>
                <w:color w:val="000000"/>
                <w:lang w:val="en-IN"/>
              </w:rPr>
            </w:pPr>
            <w:r w:rsidRPr="00C870A2">
              <w:rPr>
                <w:b/>
                <w:bCs/>
                <w:color w:val="000000"/>
                <w:lang w:val="en-IN"/>
              </w:rPr>
              <w:t xml:space="preserve">               1.53 </w:t>
            </w:r>
          </w:p>
        </w:tc>
      </w:tr>
      <w:tr w:rsidR="00C870A2" w:rsidRPr="00C870A2" w14:paraId="0DB5836F" w14:textId="77777777" w:rsidTr="00C870A2">
        <w:trPr>
          <w:trHeight w:val="324"/>
        </w:trPr>
        <w:tc>
          <w:tcPr>
            <w:tcW w:w="1477" w:type="pct"/>
            <w:tcBorders>
              <w:top w:val="nil"/>
              <w:left w:val="single" w:sz="8" w:space="0" w:color="auto"/>
              <w:bottom w:val="single" w:sz="8" w:space="0" w:color="auto"/>
              <w:right w:val="single" w:sz="4" w:space="0" w:color="auto"/>
            </w:tcBorders>
            <w:noWrap/>
            <w:vAlign w:val="center"/>
            <w:hideMark/>
          </w:tcPr>
          <w:p w14:paraId="74BAC979" w14:textId="77777777" w:rsidR="00C870A2" w:rsidRPr="00C870A2" w:rsidRDefault="00C870A2" w:rsidP="00C870A2">
            <w:pPr>
              <w:spacing w:after="0"/>
              <w:jc w:val="left"/>
              <w:rPr>
                <w:b/>
                <w:bCs/>
                <w:color w:val="000000"/>
                <w:lang w:val="en-IN"/>
              </w:rPr>
            </w:pPr>
            <w:r w:rsidRPr="00C870A2">
              <w:rPr>
                <w:b/>
                <w:bCs/>
                <w:color w:val="000000"/>
                <w:lang w:val="en-IN"/>
              </w:rPr>
              <w:t>Quick Ratio</w:t>
            </w:r>
          </w:p>
        </w:tc>
        <w:tc>
          <w:tcPr>
            <w:tcW w:w="684" w:type="pct"/>
            <w:tcBorders>
              <w:top w:val="nil"/>
              <w:left w:val="nil"/>
              <w:bottom w:val="single" w:sz="8" w:space="0" w:color="auto"/>
              <w:right w:val="single" w:sz="4" w:space="0" w:color="auto"/>
            </w:tcBorders>
            <w:noWrap/>
            <w:vAlign w:val="center"/>
            <w:hideMark/>
          </w:tcPr>
          <w:p w14:paraId="3CD02C2E" w14:textId="77777777" w:rsidR="00C870A2" w:rsidRPr="00C870A2" w:rsidRDefault="00C870A2" w:rsidP="00C870A2">
            <w:pPr>
              <w:spacing w:after="0"/>
              <w:jc w:val="center"/>
              <w:rPr>
                <w:b/>
                <w:bCs/>
                <w:color w:val="000000"/>
                <w:lang w:val="en-IN"/>
              </w:rPr>
            </w:pPr>
            <w:r w:rsidRPr="00C870A2">
              <w:rPr>
                <w:b/>
                <w:bCs/>
                <w:color w:val="000000"/>
                <w:lang w:val="en-IN"/>
              </w:rPr>
              <w:t xml:space="preserve">               1.15 </w:t>
            </w:r>
          </w:p>
        </w:tc>
        <w:tc>
          <w:tcPr>
            <w:tcW w:w="684" w:type="pct"/>
            <w:tcBorders>
              <w:top w:val="nil"/>
              <w:left w:val="nil"/>
              <w:bottom w:val="single" w:sz="8" w:space="0" w:color="auto"/>
              <w:right w:val="single" w:sz="4" w:space="0" w:color="auto"/>
            </w:tcBorders>
            <w:noWrap/>
            <w:vAlign w:val="center"/>
            <w:hideMark/>
          </w:tcPr>
          <w:p w14:paraId="193BB90E" w14:textId="77777777" w:rsidR="00C870A2" w:rsidRPr="00C870A2" w:rsidRDefault="00C870A2" w:rsidP="00C870A2">
            <w:pPr>
              <w:spacing w:after="0"/>
              <w:jc w:val="center"/>
              <w:rPr>
                <w:b/>
                <w:bCs/>
                <w:color w:val="000000"/>
                <w:lang w:val="en-IN"/>
              </w:rPr>
            </w:pPr>
            <w:r w:rsidRPr="00C870A2">
              <w:rPr>
                <w:b/>
                <w:bCs/>
                <w:color w:val="000000"/>
                <w:lang w:val="en-IN"/>
              </w:rPr>
              <w:t xml:space="preserve">               0.93 </w:t>
            </w:r>
          </w:p>
        </w:tc>
        <w:tc>
          <w:tcPr>
            <w:tcW w:w="684" w:type="pct"/>
            <w:tcBorders>
              <w:top w:val="nil"/>
              <w:left w:val="nil"/>
              <w:bottom w:val="single" w:sz="8" w:space="0" w:color="auto"/>
              <w:right w:val="single" w:sz="4" w:space="0" w:color="auto"/>
            </w:tcBorders>
            <w:noWrap/>
            <w:vAlign w:val="center"/>
            <w:hideMark/>
          </w:tcPr>
          <w:p w14:paraId="2337077C" w14:textId="77777777" w:rsidR="00C870A2" w:rsidRPr="00C870A2" w:rsidRDefault="00C870A2" w:rsidP="00C870A2">
            <w:pPr>
              <w:spacing w:after="0"/>
              <w:jc w:val="center"/>
              <w:rPr>
                <w:b/>
                <w:bCs/>
                <w:color w:val="000000"/>
                <w:lang w:val="en-IN"/>
              </w:rPr>
            </w:pPr>
            <w:r w:rsidRPr="00C870A2">
              <w:rPr>
                <w:b/>
                <w:bCs/>
                <w:color w:val="000000"/>
                <w:lang w:val="en-IN"/>
              </w:rPr>
              <w:t xml:space="preserve">               0.91 </w:t>
            </w:r>
          </w:p>
        </w:tc>
        <w:tc>
          <w:tcPr>
            <w:tcW w:w="735" w:type="pct"/>
            <w:tcBorders>
              <w:top w:val="nil"/>
              <w:left w:val="nil"/>
              <w:bottom w:val="single" w:sz="8" w:space="0" w:color="auto"/>
              <w:right w:val="single" w:sz="4" w:space="0" w:color="auto"/>
            </w:tcBorders>
            <w:noWrap/>
            <w:vAlign w:val="center"/>
            <w:hideMark/>
          </w:tcPr>
          <w:p w14:paraId="1126D8C5" w14:textId="77777777" w:rsidR="00C870A2" w:rsidRPr="00C870A2" w:rsidRDefault="00C870A2" w:rsidP="00C870A2">
            <w:pPr>
              <w:spacing w:after="0"/>
              <w:jc w:val="center"/>
              <w:rPr>
                <w:b/>
                <w:bCs/>
                <w:color w:val="000000"/>
                <w:lang w:val="en-IN"/>
              </w:rPr>
            </w:pPr>
            <w:r w:rsidRPr="00C870A2">
              <w:rPr>
                <w:b/>
                <w:bCs/>
                <w:color w:val="000000"/>
                <w:lang w:val="en-IN"/>
              </w:rPr>
              <w:t xml:space="preserve">               1.06 </w:t>
            </w:r>
          </w:p>
        </w:tc>
        <w:tc>
          <w:tcPr>
            <w:tcW w:w="735" w:type="pct"/>
            <w:tcBorders>
              <w:top w:val="nil"/>
              <w:left w:val="nil"/>
              <w:bottom w:val="single" w:sz="8" w:space="0" w:color="auto"/>
              <w:right w:val="single" w:sz="8" w:space="0" w:color="auto"/>
            </w:tcBorders>
            <w:noWrap/>
            <w:vAlign w:val="center"/>
            <w:hideMark/>
          </w:tcPr>
          <w:p w14:paraId="1A56C44D" w14:textId="77777777" w:rsidR="00C870A2" w:rsidRPr="00C870A2" w:rsidRDefault="00C870A2" w:rsidP="00C870A2">
            <w:pPr>
              <w:spacing w:after="0"/>
              <w:jc w:val="center"/>
              <w:rPr>
                <w:b/>
                <w:bCs/>
                <w:color w:val="000000"/>
                <w:lang w:val="en-IN"/>
              </w:rPr>
            </w:pPr>
            <w:r w:rsidRPr="00C870A2">
              <w:rPr>
                <w:b/>
                <w:bCs/>
                <w:color w:val="000000"/>
                <w:lang w:val="en-IN"/>
              </w:rPr>
              <w:t xml:space="preserve">               1.03 </w:t>
            </w:r>
          </w:p>
        </w:tc>
      </w:tr>
      <w:tr w:rsidR="00C870A2" w:rsidRPr="00C870A2" w14:paraId="7B071675" w14:textId="77777777" w:rsidTr="00C870A2">
        <w:trPr>
          <w:trHeight w:val="312"/>
        </w:trPr>
        <w:tc>
          <w:tcPr>
            <w:tcW w:w="1477" w:type="pct"/>
            <w:tcBorders>
              <w:top w:val="nil"/>
              <w:left w:val="nil"/>
              <w:bottom w:val="nil"/>
              <w:right w:val="nil"/>
            </w:tcBorders>
            <w:noWrap/>
            <w:vAlign w:val="center"/>
            <w:hideMark/>
          </w:tcPr>
          <w:p w14:paraId="077FFB6A" w14:textId="77777777" w:rsidR="00C870A2" w:rsidRPr="00C870A2" w:rsidRDefault="00C870A2" w:rsidP="00C870A2">
            <w:pPr>
              <w:spacing w:after="0"/>
              <w:jc w:val="center"/>
              <w:rPr>
                <w:b/>
                <w:bCs/>
                <w:color w:val="000000"/>
                <w:lang w:val="en-IN"/>
              </w:rPr>
            </w:pPr>
          </w:p>
        </w:tc>
        <w:tc>
          <w:tcPr>
            <w:tcW w:w="684" w:type="pct"/>
            <w:tcBorders>
              <w:top w:val="nil"/>
              <w:left w:val="nil"/>
              <w:bottom w:val="nil"/>
              <w:right w:val="nil"/>
            </w:tcBorders>
            <w:noWrap/>
            <w:vAlign w:val="center"/>
            <w:hideMark/>
          </w:tcPr>
          <w:p w14:paraId="53DCCCED" w14:textId="77777777" w:rsidR="00C870A2" w:rsidRPr="00C870A2" w:rsidRDefault="00C870A2" w:rsidP="00C870A2">
            <w:pPr>
              <w:spacing w:after="0"/>
              <w:jc w:val="center"/>
              <w:rPr>
                <w:sz w:val="20"/>
                <w:szCs w:val="20"/>
                <w:lang w:val="en-IN"/>
              </w:rPr>
            </w:pPr>
          </w:p>
        </w:tc>
        <w:tc>
          <w:tcPr>
            <w:tcW w:w="684" w:type="pct"/>
            <w:tcBorders>
              <w:top w:val="nil"/>
              <w:left w:val="nil"/>
              <w:bottom w:val="nil"/>
              <w:right w:val="nil"/>
            </w:tcBorders>
            <w:noWrap/>
            <w:vAlign w:val="center"/>
            <w:hideMark/>
          </w:tcPr>
          <w:p w14:paraId="58AE7B82" w14:textId="77777777" w:rsidR="00C870A2" w:rsidRPr="00C870A2" w:rsidRDefault="00C870A2" w:rsidP="00C870A2">
            <w:pPr>
              <w:spacing w:after="0"/>
              <w:jc w:val="center"/>
              <w:rPr>
                <w:sz w:val="20"/>
                <w:szCs w:val="20"/>
                <w:lang w:val="en-IN"/>
              </w:rPr>
            </w:pPr>
          </w:p>
        </w:tc>
        <w:tc>
          <w:tcPr>
            <w:tcW w:w="684" w:type="pct"/>
            <w:tcBorders>
              <w:top w:val="nil"/>
              <w:left w:val="nil"/>
              <w:bottom w:val="nil"/>
              <w:right w:val="nil"/>
            </w:tcBorders>
            <w:noWrap/>
            <w:vAlign w:val="center"/>
            <w:hideMark/>
          </w:tcPr>
          <w:p w14:paraId="38C51B25" w14:textId="77777777" w:rsidR="00C870A2" w:rsidRPr="00C870A2" w:rsidRDefault="00C870A2" w:rsidP="00C870A2">
            <w:pPr>
              <w:spacing w:after="0"/>
              <w:jc w:val="center"/>
              <w:rPr>
                <w:sz w:val="20"/>
                <w:szCs w:val="20"/>
                <w:lang w:val="en-IN"/>
              </w:rPr>
            </w:pPr>
          </w:p>
        </w:tc>
        <w:tc>
          <w:tcPr>
            <w:tcW w:w="735" w:type="pct"/>
            <w:tcBorders>
              <w:top w:val="nil"/>
              <w:left w:val="nil"/>
              <w:bottom w:val="nil"/>
              <w:right w:val="nil"/>
            </w:tcBorders>
            <w:noWrap/>
            <w:vAlign w:val="center"/>
            <w:hideMark/>
          </w:tcPr>
          <w:p w14:paraId="7CAF2A03" w14:textId="77777777" w:rsidR="00C870A2" w:rsidRPr="00C870A2" w:rsidRDefault="00C870A2" w:rsidP="00C870A2">
            <w:pPr>
              <w:spacing w:after="0"/>
              <w:jc w:val="center"/>
              <w:rPr>
                <w:sz w:val="20"/>
                <w:szCs w:val="20"/>
                <w:lang w:val="en-IN"/>
              </w:rPr>
            </w:pPr>
          </w:p>
        </w:tc>
        <w:tc>
          <w:tcPr>
            <w:tcW w:w="735" w:type="pct"/>
            <w:tcBorders>
              <w:top w:val="nil"/>
              <w:left w:val="nil"/>
              <w:bottom w:val="nil"/>
              <w:right w:val="nil"/>
            </w:tcBorders>
            <w:noWrap/>
            <w:vAlign w:val="center"/>
            <w:hideMark/>
          </w:tcPr>
          <w:p w14:paraId="66EBB18B" w14:textId="77777777" w:rsidR="00C870A2" w:rsidRPr="00C870A2" w:rsidRDefault="00C870A2" w:rsidP="00C870A2">
            <w:pPr>
              <w:spacing w:after="0"/>
              <w:jc w:val="center"/>
              <w:rPr>
                <w:sz w:val="20"/>
                <w:szCs w:val="20"/>
                <w:lang w:val="en-IN"/>
              </w:rPr>
            </w:pPr>
          </w:p>
        </w:tc>
      </w:tr>
      <w:tr w:rsidR="00C870A2" w:rsidRPr="00C870A2" w14:paraId="389A1DD1" w14:textId="77777777" w:rsidTr="00C870A2">
        <w:trPr>
          <w:trHeight w:val="324"/>
        </w:trPr>
        <w:tc>
          <w:tcPr>
            <w:tcW w:w="5000" w:type="pct"/>
            <w:gridSpan w:val="6"/>
            <w:tcBorders>
              <w:top w:val="single" w:sz="8" w:space="0" w:color="auto"/>
              <w:left w:val="single" w:sz="8" w:space="0" w:color="auto"/>
              <w:bottom w:val="single" w:sz="8" w:space="0" w:color="auto"/>
              <w:right w:val="single" w:sz="8" w:space="0" w:color="000000"/>
            </w:tcBorders>
            <w:noWrap/>
            <w:vAlign w:val="center"/>
            <w:hideMark/>
          </w:tcPr>
          <w:p w14:paraId="59F57519" w14:textId="77777777" w:rsidR="00C870A2" w:rsidRPr="00C870A2" w:rsidRDefault="00C870A2" w:rsidP="00C870A2">
            <w:pPr>
              <w:spacing w:after="0"/>
              <w:jc w:val="center"/>
              <w:rPr>
                <w:b/>
                <w:bCs/>
                <w:color w:val="000000"/>
                <w:lang w:val="en-IN"/>
              </w:rPr>
            </w:pPr>
            <w:r w:rsidRPr="00C870A2">
              <w:rPr>
                <w:b/>
                <w:bCs/>
                <w:color w:val="000000"/>
                <w:lang w:val="en-IN"/>
              </w:rPr>
              <w:t>Gearing Ratios</w:t>
            </w:r>
          </w:p>
        </w:tc>
      </w:tr>
      <w:tr w:rsidR="00C870A2" w:rsidRPr="00C870A2" w14:paraId="7C09C2A8"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0B76BDAF" w14:textId="77777777" w:rsidR="00C870A2" w:rsidRPr="00C870A2" w:rsidRDefault="00C870A2" w:rsidP="00C870A2">
            <w:pPr>
              <w:spacing w:after="0"/>
              <w:jc w:val="center"/>
              <w:rPr>
                <w:b/>
                <w:bCs/>
                <w:color w:val="000000"/>
                <w:lang w:val="en-IN"/>
              </w:rPr>
            </w:pPr>
            <w:r w:rsidRPr="00C870A2">
              <w:rPr>
                <w:b/>
                <w:bCs/>
                <w:color w:val="000000"/>
                <w:lang w:val="en-IN"/>
              </w:rPr>
              <w:t>Particulars</w:t>
            </w:r>
          </w:p>
        </w:tc>
        <w:tc>
          <w:tcPr>
            <w:tcW w:w="684" w:type="pct"/>
            <w:tcBorders>
              <w:top w:val="nil"/>
              <w:left w:val="nil"/>
              <w:bottom w:val="single" w:sz="4" w:space="0" w:color="auto"/>
              <w:right w:val="single" w:sz="4" w:space="0" w:color="auto"/>
            </w:tcBorders>
            <w:noWrap/>
            <w:vAlign w:val="center"/>
            <w:hideMark/>
          </w:tcPr>
          <w:p w14:paraId="6557A57C" w14:textId="77777777" w:rsidR="00C870A2" w:rsidRPr="00C870A2" w:rsidRDefault="00C870A2" w:rsidP="00C870A2">
            <w:pPr>
              <w:spacing w:after="0"/>
              <w:jc w:val="center"/>
              <w:rPr>
                <w:b/>
                <w:bCs/>
                <w:color w:val="000000"/>
                <w:lang w:val="en-IN"/>
              </w:rPr>
            </w:pPr>
            <w:r w:rsidRPr="00C870A2">
              <w:rPr>
                <w:b/>
                <w:bCs/>
                <w:color w:val="000000"/>
                <w:lang w:val="en-IN"/>
              </w:rPr>
              <w:t>2020</w:t>
            </w:r>
          </w:p>
        </w:tc>
        <w:tc>
          <w:tcPr>
            <w:tcW w:w="684" w:type="pct"/>
            <w:tcBorders>
              <w:top w:val="nil"/>
              <w:left w:val="nil"/>
              <w:bottom w:val="single" w:sz="4" w:space="0" w:color="auto"/>
              <w:right w:val="single" w:sz="4" w:space="0" w:color="auto"/>
            </w:tcBorders>
            <w:noWrap/>
            <w:vAlign w:val="center"/>
            <w:hideMark/>
          </w:tcPr>
          <w:p w14:paraId="6E7467C0" w14:textId="77777777" w:rsidR="00C870A2" w:rsidRPr="00C870A2" w:rsidRDefault="00C870A2" w:rsidP="00C870A2">
            <w:pPr>
              <w:spacing w:after="0"/>
              <w:jc w:val="center"/>
              <w:rPr>
                <w:b/>
                <w:bCs/>
                <w:color w:val="000000"/>
                <w:lang w:val="en-IN"/>
              </w:rPr>
            </w:pPr>
            <w:r w:rsidRPr="00C870A2">
              <w:rPr>
                <w:b/>
                <w:bCs/>
                <w:color w:val="000000"/>
                <w:lang w:val="en-IN"/>
              </w:rPr>
              <w:t>2021</w:t>
            </w:r>
          </w:p>
        </w:tc>
        <w:tc>
          <w:tcPr>
            <w:tcW w:w="684" w:type="pct"/>
            <w:tcBorders>
              <w:top w:val="nil"/>
              <w:left w:val="nil"/>
              <w:bottom w:val="single" w:sz="4" w:space="0" w:color="auto"/>
              <w:right w:val="single" w:sz="4" w:space="0" w:color="auto"/>
            </w:tcBorders>
            <w:noWrap/>
            <w:vAlign w:val="center"/>
            <w:hideMark/>
          </w:tcPr>
          <w:p w14:paraId="02BD2B90" w14:textId="77777777" w:rsidR="00C870A2" w:rsidRPr="00C870A2" w:rsidRDefault="00C870A2" w:rsidP="00C870A2">
            <w:pPr>
              <w:spacing w:after="0"/>
              <w:jc w:val="center"/>
              <w:rPr>
                <w:b/>
                <w:bCs/>
                <w:color w:val="000000"/>
                <w:lang w:val="en-IN"/>
              </w:rPr>
            </w:pPr>
            <w:r w:rsidRPr="00C870A2">
              <w:rPr>
                <w:b/>
                <w:bCs/>
                <w:color w:val="000000"/>
                <w:lang w:val="en-IN"/>
              </w:rPr>
              <w:t>2022</w:t>
            </w:r>
          </w:p>
        </w:tc>
        <w:tc>
          <w:tcPr>
            <w:tcW w:w="735" w:type="pct"/>
            <w:tcBorders>
              <w:top w:val="nil"/>
              <w:left w:val="nil"/>
              <w:bottom w:val="single" w:sz="4" w:space="0" w:color="auto"/>
              <w:right w:val="single" w:sz="4" w:space="0" w:color="auto"/>
            </w:tcBorders>
            <w:noWrap/>
            <w:vAlign w:val="center"/>
            <w:hideMark/>
          </w:tcPr>
          <w:p w14:paraId="2E3CDBB3" w14:textId="77777777" w:rsidR="00C870A2" w:rsidRPr="00C870A2" w:rsidRDefault="00C870A2" w:rsidP="00C870A2">
            <w:pPr>
              <w:spacing w:after="0"/>
              <w:jc w:val="center"/>
              <w:rPr>
                <w:b/>
                <w:bCs/>
                <w:color w:val="000000"/>
                <w:lang w:val="en-IN"/>
              </w:rPr>
            </w:pPr>
            <w:r w:rsidRPr="00C870A2">
              <w:rPr>
                <w:b/>
                <w:bCs/>
                <w:color w:val="000000"/>
                <w:lang w:val="en-IN"/>
              </w:rPr>
              <w:t>2023</w:t>
            </w:r>
          </w:p>
        </w:tc>
        <w:tc>
          <w:tcPr>
            <w:tcW w:w="735" w:type="pct"/>
            <w:tcBorders>
              <w:top w:val="nil"/>
              <w:left w:val="nil"/>
              <w:bottom w:val="single" w:sz="4" w:space="0" w:color="auto"/>
              <w:right w:val="single" w:sz="8" w:space="0" w:color="auto"/>
            </w:tcBorders>
            <w:noWrap/>
            <w:vAlign w:val="center"/>
            <w:hideMark/>
          </w:tcPr>
          <w:p w14:paraId="6FC53832" w14:textId="77777777" w:rsidR="00C870A2" w:rsidRPr="00C870A2" w:rsidRDefault="00C870A2" w:rsidP="00C870A2">
            <w:pPr>
              <w:spacing w:after="0"/>
              <w:jc w:val="center"/>
              <w:rPr>
                <w:b/>
                <w:bCs/>
                <w:color w:val="000000"/>
                <w:lang w:val="en-IN"/>
              </w:rPr>
            </w:pPr>
            <w:r w:rsidRPr="00C870A2">
              <w:rPr>
                <w:b/>
                <w:bCs/>
                <w:color w:val="000000"/>
                <w:lang w:val="en-IN"/>
              </w:rPr>
              <w:t>2024</w:t>
            </w:r>
          </w:p>
        </w:tc>
      </w:tr>
      <w:tr w:rsidR="00C870A2" w:rsidRPr="00C870A2" w14:paraId="7ECA01A6"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1D7DA7D6" w14:textId="77777777" w:rsidR="00C870A2" w:rsidRPr="00C870A2" w:rsidRDefault="00C870A2" w:rsidP="00C870A2">
            <w:pPr>
              <w:spacing w:after="0"/>
              <w:jc w:val="left"/>
              <w:rPr>
                <w:color w:val="000000"/>
                <w:lang w:val="en-IN"/>
              </w:rPr>
            </w:pPr>
            <w:r w:rsidRPr="00C870A2">
              <w:rPr>
                <w:color w:val="000000"/>
                <w:lang w:val="en-IN"/>
              </w:rPr>
              <w:t>Total Liabilities (£m)</w:t>
            </w:r>
          </w:p>
        </w:tc>
        <w:tc>
          <w:tcPr>
            <w:tcW w:w="684" w:type="pct"/>
            <w:tcBorders>
              <w:top w:val="nil"/>
              <w:left w:val="nil"/>
              <w:bottom w:val="single" w:sz="4" w:space="0" w:color="auto"/>
              <w:right w:val="single" w:sz="4" w:space="0" w:color="auto"/>
            </w:tcBorders>
            <w:noWrap/>
            <w:vAlign w:val="bottom"/>
            <w:hideMark/>
          </w:tcPr>
          <w:p w14:paraId="789C7982" w14:textId="77777777" w:rsidR="00C870A2" w:rsidRPr="00C870A2" w:rsidRDefault="00C870A2" w:rsidP="00C870A2">
            <w:pPr>
              <w:spacing w:after="0"/>
              <w:jc w:val="right"/>
              <w:rPr>
                <w:color w:val="000000"/>
                <w:lang w:val="en-IN"/>
              </w:rPr>
            </w:pPr>
            <w:r w:rsidRPr="00C870A2">
              <w:rPr>
                <w:color w:val="000000"/>
                <w:lang w:val="en-IN"/>
              </w:rPr>
              <w:t>1,96,989</w:t>
            </w:r>
          </w:p>
        </w:tc>
        <w:tc>
          <w:tcPr>
            <w:tcW w:w="684" w:type="pct"/>
            <w:tcBorders>
              <w:top w:val="nil"/>
              <w:left w:val="nil"/>
              <w:bottom w:val="single" w:sz="4" w:space="0" w:color="auto"/>
              <w:right w:val="single" w:sz="4" w:space="0" w:color="auto"/>
            </w:tcBorders>
            <w:noWrap/>
            <w:vAlign w:val="bottom"/>
            <w:hideMark/>
          </w:tcPr>
          <w:p w14:paraId="25EE55FB" w14:textId="77777777" w:rsidR="00C870A2" w:rsidRPr="00C870A2" w:rsidRDefault="00C870A2" w:rsidP="00C870A2">
            <w:pPr>
              <w:spacing w:after="0"/>
              <w:jc w:val="right"/>
              <w:rPr>
                <w:color w:val="000000"/>
                <w:lang w:val="en-IN"/>
              </w:rPr>
            </w:pPr>
            <w:r w:rsidRPr="00C870A2">
              <w:rPr>
                <w:color w:val="000000"/>
                <w:lang w:val="en-IN"/>
              </w:rPr>
              <w:t>2,34,399</w:t>
            </w:r>
          </w:p>
        </w:tc>
        <w:tc>
          <w:tcPr>
            <w:tcW w:w="684" w:type="pct"/>
            <w:tcBorders>
              <w:top w:val="nil"/>
              <w:left w:val="nil"/>
              <w:bottom w:val="single" w:sz="4" w:space="0" w:color="auto"/>
              <w:right w:val="single" w:sz="4" w:space="0" w:color="auto"/>
            </w:tcBorders>
            <w:noWrap/>
            <w:vAlign w:val="bottom"/>
            <w:hideMark/>
          </w:tcPr>
          <w:p w14:paraId="43654B6F" w14:textId="77777777" w:rsidR="00C870A2" w:rsidRPr="00C870A2" w:rsidRDefault="00C870A2" w:rsidP="00C870A2">
            <w:pPr>
              <w:spacing w:after="0"/>
              <w:jc w:val="right"/>
              <w:rPr>
                <w:color w:val="000000"/>
                <w:lang w:val="en-IN"/>
              </w:rPr>
            </w:pPr>
            <w:r w:rsidRPr="00C870A2">
              <w:rPr>
                <w:color w:val="000000"/>
                <w:lang w:val="en-IN"/>
              </w:rPr>
              <w:t>2,35,757</w:t>
            </w:r>
          </w:p>
        </w:tc>
        <w:tc>
          <w:tcPr>
            <w:tcW w:w="735" w:type="pct"/>
            <w:tcBorders>
              <w:top w:val="nil"/>
              <w:left w:val="nil"/>
              <w:bottom w:val="single" w:sz="4" w:space="0" w:color="auto"/>
              <w:right w:val="single" w:sz="4" w:space="0" w:color="auto"/>
            </w:tcBorders>
            <w:noWrap/>
            <w:vAlign w:val="bottom"/>
            <w:hideMark/>
          </w:tcPr>
          <w:p w14:paraId="200BC595" w14:textId="77777777" w:rsidR="00C870A2" w:rsidRPr="00C870A2" w:rsidRDefault="00C870A2" w:rsidP="00C870A2">
            <w:pPr>
              <w:spacing w:after="0"/>
              <w:jc w:val="right"/>
              <w:rPr>
                <w:color w:val="000000"/>
                <w:lang w:val="en-IN"/>
              </w:rPr>
            </w:pPr>
            <w:r w:rsidRPr="00C870A2">
              <w:rPr>
                <w:color w:val="000000"/>
                <w:lang w:val="en-IN"/>
              </w:rPr>
              <w:t>1,76,952</w:t>
            </w:r>
          </w:p>
        </w:tc>
        <w:tc>
          <w:tcPr>
            <w:tcW w:w="735" w:type="pct"/>
            <w:tcBorders>
              <w:top w:val="nil"/>
              <w:left w:val="nil"/>
              <w:bottom w:val="single" w:sz="4" w:space="0" w:color="auto"/>
              <w:right w:val="single" w:sz="8" w:space="0" w:color="auto"/>
            </w:tcBorders>
            <w:noWrap/>
            <w:vAlign w:val="bottom"/>
            <w:hideMark/>
          </w:tcPr>
          <w:p w14:paraId="7EA799F3" w14:textId="77777777" w:rsidR="00C870A2" w:rsidRPr="00C870A2" w:rsidRDefault="00C870A2" w:rsidP="00C870A2">
            <w:pPr>
              <w:spacing w:after="0"/>
              <w:jc w:val="right"/>
              <w:rPr>
                <w:color w:val="000000"/>
                <w:lang w:val="en-IN"/>
              </w:rPr>
            </w:pPr>
            <w:r w:rsidRPr="00C870A2">
              <w:rPr>
                <w:color w:val="000000"/>
                <w:lang w:val="en-IN"/>
              </w:rPr>
              <w:t>1,70,249</w:t>
            </w:r>
          </w:p>
        </w:tc>
      </w:tr>
      <w:tr w:rsidR="00C870A2" w:rsidRPr="00C870A2" w14:paraId="5005F12C"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26AE3F9B" w14:textId="77777777" w:rsidR="00C870A2" w:rsidRPr="00C870A2" w:rsidRDefault="00C870A2" w:rsidP="00C870A2">
            <w:pPr>
              <w:spacing w:after="0"/>
              <w:jc w:val="left"/>
              <w:rPr>
                <w:color w:val="000000"/>
                <w:lang w:val="en-IN"/>
              </w:rPr>
            </w:pPr>
            <w:r w:rsidRPr="00C870A2">
              <w:rPr>
                <w:color w:val="000000"/>
                <w:lang w:val="en-IN"/>
              </w:rPr>
              <w:lastRenderedPageBreak/>
              <w:t>Total Equity (£m)</w:t>
            </w:r>
          </w:p>
        </w:tc>
        <w:tc>
          <w:tcPr>
            <w:tcW w:w="684" w:type="pct"/>
            <w:tcBorders>
              <w:top w:val="nil"/>
              <w:left w:val="nil"/>
              <w:bottom w:val="single" w:sz="4" w:space="0" w:color="auto"/>
              <w:right w:val="single" w:sz="4" w:space="0" w:color="auto"/>
            </w:tcBorders>
            <w:noWrap/>
            <w:vAlign w:val="bottom"/>
            <w:hideMark/>
          </w:tcPr>
          <w:p w14:paraId="05CAF25B" w14:textId="77777777" w:rsidR="00C870A2" w:rsidRPr="00C870A2" w:rsidRDefault="00C870A2" w:rsidP="00C870A2">
            <w:pPr>
              <w:spacing w:after="0"/>
              <w:jc w:val="right"/>
              <w:rPr>
                <w:color w:val="000000"/>
                <w:lang w:val="en-IN"/>
              </w:rPr>
            </w:pPr>
            <w:r w:rsidRPr="00C870A2">
              <w:rPr>
                <w:color w:val="000000"/>
                <w:lang w:val="en-IN"/>
              </w:rPr>
              <w:t>3,13,301</w:t>
            </w:r>
          </w:p>
        </w:tc>
        <w:tc>
          <w:tcPr>
            <w:tcW w:w="684" w:type="pct"/>
            <w:tcBorders>
              <w:top w:val="nil"/>
              <w:left w:val="nil"/>
              <w:bottom w:val="single" w:sz="4" w:space="0" w:color="auto"/>
              <w:right w:val="single" w:sz="4" w:space="0" w:color="auto"/>
            </w:tcBorders>
            <w:noWrap/>
            <w:vAlign w:val="bottom"/>
            <w:hideMark/>
          </w:tcPr>
          <w:p w14:paraId="55C046C1" w14:textId="77777777" w:rsidR="00C870A2" w:rsidRPr="00C870A2" w:rsidRDefault="00C870A2" w:rsidP="00C870A2">
            <w:pPr>
              <w:spacing w:after="0"/>
              <w:jc w:val="right"/>
              <w:rPr>
                <w:color w:val="000000"/>
                <w:lang w:val="en-IN"/>
              </w:rPr>
            </w:pPr>
            <w:r w:rsidRPr="00C870A2">
              <w:rPr>
                <w:color w:val="000000"/>
                <w:lang w:val="en-IN"/>
              </w:rPr>
              <w:t>2,75,949</w:t>
            </w:r>
          </w:p>
        </w:tc>
        <w:tc>
          <w:tcPr>
            <w:tcW w:w="684" w:type="pct"/>
            <w:tcBorders>
              <w:top w:val="nil"/>
              <w:left w:val="nil"/>
              <w:bottom w:val="single" w:sz="4" w:space="0" w:color="auto"/>
              <w:right w:val="single" w:sz="4" w:space="0" w:color="auto"/>
            </w:tcBorders>
            <w:noWrap/>
            <w:vAlign w:val="bottom"/>
            <w:hideMark/>
          </w:tcPr>
          <w:p w14:paraId="4C672EB5" w14:textId="77777777" w:rsidR="00C870A2" w:rsidRPr="00C870A2" w:rsidRDefault="00C870A2" w:rsidP="00C870A2">
            <w:pPr>
              <w:spacing w:after="0"/>
              <w:jc w:val="right"/>
              <w:rPr>
                <w:color w:val="000000"/>
                <w:lang w:val="en-IN"/>
              </w:rPr>
            </w:pPr>
            <w:r w:rsidRPr="00C870A2">
              <w:rPr>
                <w:color w:val="000000"/>
                <w:lang w:val="en-IN"/>
              </w:rPr>
              <w:t>2,68,406</w:t>
            </w:r>
          </w:p>
        </w:tc>
        <w:tc>
          <w:tcPr>
            <w:tcW w:w="735" w:type="pct"/>
            <w:tcBorders>
              <w:top w:val="nil"/>
              <w:left w:val="nil"/>
              <w:bottom w:val="single" w:sz="4" w:space="0" w:color="auto"/>
              <w:right w:val="single" w:sz="4" w:space="0" w:color="auto"/>
            </w:tcBorders>
            <w:noWrap/>
            <w:vAlign w:val="bottom"/>
            <w:hideMark/>
          </w:tcPr>
          <w:p w14:paraId="2D77B25E" w14:textId="77777777" w:rsidR="00C870A2" w:rsidRPr="00C870A2" w:rsidRDefault="00C870A2" w:rsidP="00C870A2">
            <w:pPr>
              <w:spacing w:after="0"/>
              <w:jc w:val="right"/>
              <w:rPr>
                <w:color w:val="000000"/>
                <w:lang w:val="en-IN"/>
              </w:rPr>
            </w:pPr>
            <w:r w:rsidRPr="00C870A2">
              <w:rPr>
                <w:color w:val="000000"/>
                <w:lang w:val="en-IN"/>
              </w:rPr>
              <w:t>1,78,920</w:t>
            </w:r>
          </w:p>
        </w:tc>
        <w:tc>
          <w:tcPr>
            <w:tcW w:w="735" w:type="pct"/>
            <w:tcBorders>
              <w:top w:val="nil"/>
              <w:left w:val="nil"/>
              <w:bottom w:val="single" w:sz="4" w:space="0" w:color="auto"/>
              <w:right w:val="single" w:sz="8" w:space="0" w:color="auto"/>
            </w:tcBorders>
            <w:noWrap/>
            <w:vAlign w:val="bottom"/>
            <w:hideMark/>
          </w:tcPr>
          <w:p w14:paraId="6402871B" w14:textId="77777777" w:rsidR="00C870A2" w:rsidRPr="00C870A2" w:rsidRDefault="00C870A2" w:rsidP="00C870A2">
            <w:pPr>
              <w:spacing w:after="0"/>
              <w:jc w:val="right"/>
              <w:rPr>
                <w:color w:val="000000"/>
                <w:lang w:val="en-IN"/>
              </w:rPr>
            </w:pPr>
            <w:r w:rsidRPr="00C870A2">
              <w:rPr>
                <w:color w:val="000000"/>
                <w:lang w:val="en-IN"/>
              </w:rPr>
              <w:t>1,53,105</w:t>
            </w:r>
          </w:p>
        </w:tc>
      </w:tr>
      <w:tr w:rsidR="00C870A2" w:rsidRPr="00C870A2" w14:paraId="3620BF5C"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0F020113" w14:textId="77777777" w:rsidR="00C870A2" w:rsidRPr="00C870A2" w:rsidRDefault="00C870A2" w:rsidP="00C870A2">
            <w:pPr>
              <w:spacing w:after="0"/>
              <w:jc w:val="left"/>
              <w:rPr>
                <w:color w:val="000000"/>
                <w:lang w:val="en-IN"/>
              </w:rPr>
            </w:pPr>
            <w:r w:rsidRPr="00C870A2">
              <w:rPr>
                <w:color w:val="000000"/>
                <w:lang w:val="en-IN"/>
              </w:rPr>
              <w:t>Operating Profit/(Loss) (£m)</w:t>
            </w:r>
          </w:p>
        </w:tc>
        <w:tc>
          <w:tcPr>
            <w:tcW w:w="684" w:type="pct"/>
            <w:tcBorders>
              <w:top w:val="nil"/>
              <w:left w:val="nil"/>
              <w:bottom w:val="single" w:sz="4" w:space="0" w:color="auto"/>
              <w:right w:val="single" w:sz="4" w:space="0" w:color="auto"/>
            </w:tcBorders>
            <w:noWrap/>
            <w:vAlign w:val="center"/>
            <w:hideMark/>
          </w:tcPr>
          <w:p w14:paraId="5AEFF271" w14:textId="77777777" w:rsidR="00C870A2" w:rsidRPr="00C870A2" w:rsidRDefault="00C870A2" w:rsidP="00C870A2">
            <w:pPr>
              <w:spacing w:after="0"/>
              <w:jc w:val="center"/>
              <w:rPr>
                <w:color w:val="000000"/>
                <w:lang w:val="en-IN"/>
              </w:rPr>
            </w:pPr>
            <w:r w:rsidRPr="00C870A2">
              <w:rPr>
                <w:color w:val="000000"/>
                <w:lang w:val="en-IN"/>
              </w:rPr>
              <w:t xml:space="preserve">      37,267.00 </w:t>
            </w:r>
          </w:p>
        </w:tc>
        <w:tc>
          <w:tcPr>
            <w:tcW w:w="684" w:type="pct"/>
            <w:tcBorders>
              <w:top w:val="nil"/>
              <w:left w:val="nil"/>
              <w:bottom w:val="single" w:sz="4" w:space="0" w:color="auto"/>
              <w:right w:val="single" w:sz="4" w:space="0" w:color="auto"/>
            </w:tcBorders>
            <w:noWrap/>
            <w:vAlign w:val="center"/>
            <w:hideMark/>
          </w:tcPr>
          <w:p w14:paraId="4234D043" w14:textId="77777777" w:rsidR="00C870A2" w:rsidRPr="00C870A2" w:rsidRDefault="00C870A2" w:rsidP="00C870A2">
            <w:pPr>
              <w:spacing w:after="0"/>
              <w:jc w:val="center"/>
              <w:rPr>
                <w:color w:val="000000"/>
                <w:lang w:val="en-IN"/>
              </w:rPr>
            </w:pPr>
            <w:r w:rsidRPr="00C870A2">
              <w:rPr>
                <w:color w:val="000000"/>
                <w:lang w:val="en-IN"/>
              </w:rPr>
              <w:t xml:space="preserve">      23,253.00 </w:t>
            </w:r>
          </w:p>
        </w:tc>
        <w:tc>
          <w:tcPr>
            <w:tcW w:w="684" w:type="pct"/>
            <w:tcBorders>
              <w:top w:val="nil"/>
              <w:left w:val="nil"/>
              <w:bottom w:val="single" w:sz="4" w:space="0" w:color="auto"/>
              <w:right w:val="single" w:sz="4" w:space="0" w:color="auto"/>
            </w:tcBorders>
            <w:noWrap/>
            <w:vAlign w:val="center"/>
            <w:hideMark/>
          </w:tcPr>
          <w:p w14:paraId="7F2673CD" w14:textId="77777777" w:rsidR="00C870A2" w:rsidRPr="00C870A2" w:rsidRDefault="00C870A2" w:rsidP="00C870A2">
            <w:pPr>
              <w:spacing w:after="0"/>
              <w:jc w:val="center"/>
              <w:rPr>
                <w:color w:val="000000"/>
                <w:lang w:val="en-IN"/>
              </w:rPr>
            </w:pPr>
            <w:r w:rsidRPr="00C870A2">
              <w:rPr>
                <w:color w:val="000000"/>
                <w:lang w:val="en-IN"/>
              </w:rPr>
              <w:t xml:space="preserve">      14,548.00 </w:t>
            </w:r>
          </w:p>
        </w:tc>
        <w:tc>
          <w:tcPr>
            <w:tcW w:w="735" w:type="pct"/>
            <w:tcBorders>
              <w:top w:val="nil"/>
              <w:left w:val="nil"/>
              <w:bottom w:val="single" w:sz="4" w:space="0" w:color="auto"/>
              <w:right w:val="single" w:sz="4" w:space="0" w:color="auto"/>
            </w:tcBorders>
            <w:noWrap/>
            <w:vAlign w:val="center"/>
            <w:hideMark/>
          </w:tcPr>
          <w:p w14:paraId="01357B09" w14:textId="77777777" w:rsidR="00C870A2" w:rsidRPr="00C870A2" w:rsidRDefault="00C870A2" w:rsidP="00C870A2">
            <w:pPr>
              <w:spacing w:after="0"/>
              <w:jc w:val="center"/>
              <w:rPr>
                <w:color w:val="000000"/>
                <w:lang w:val="en-IN"/>
              </w:rPr>
            </w:pPr>
            <w:r w:rsidRPr="00C870A2">
              <w:rPr>
                <w:color w:val="000000"/>
                <w:lang w:val="en-IN"/>
              </w:rPr>
              <w:t xml:space="preserve">     (85,301.00)</w:t>
            </w:r>
          </w:p>
        </w:tc>
        <w:tc>
          <w:tcPr>
            <w:tcW w:w="735" w:type="pct"/>
            <w:tcBorders>
              <w:top w:val="nil"/>
              <w:left w:val="nil"/>
              <w:bottom w:val="single" w:sz="4" w:space="0" w:color="auto"/>
              <w:right w:val="single" w:sz="8" w:space="0" w:color="auto"/>
            </w:tcBorders>
            <w:noWrap/>
            <w:vAlign w:val="center"/>
            <w:hideMark/>
          </w:tcPr>
          <w:p w14:paraId="7BBDA99C" w14:textId="77777777" w:rsidR="00C870A2" w:rsidRPr="00C870A2" w:rsidRDefault="00C870A2" w:rsidP="00C870A2">
            <w:pPr>
              <w:spacing w:after="0"/>
              <w:jc w:val="center"/>
              <w:rPr>
                <w:color w:val="000000"/>
                <w:lang w:val="en-IN"/>
              </w:rPr>
            </w:pPr>
            <w:r w:rsidRPr="00C870A2">
              <w:rPr>
                <w:color w:val="000000"/>
                <w:lang w:val="en-IN"/>
              </w:rPr>
              <w:t xml:space="preserve">     (15,297.00)</w:t>
            </w:r>
          </w:p>
        </w:tc>
      </w:tr>
      <w:tr w:rsidR="00C870A2" w:rsidRPr="00C870A2" w14:paraId="3FD85C42"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2159EAD7" w14:textId="77777777" w:rsidR="00C870A2" w:rsidRPr="00C870A2" w:rsidRDefault="00C870A2" w:rsidP="00C870A2">
            <w:pPr>
              <w:spacing w:after="0"/>
              <w:jc w:val="left"/>
              <w:rPr>
                <w:color w:val="000000"/>
                <w:lang w:val="en-IN"/>
              </w:rPr>
            </w:pPr>
            <w:r w:rsidRPr="00C870A2">
              <w:rPr>
                <w:color w:val="000000"/>
                <w:lang w:val="en-IN"/>
              </w:rPr>
              <w:t>Finance Costs (£m)</w:t>
            </w:r>
          </w:p>
        </w:tc>
        <w:tc>
          <w:tcPr>
            <w:tcW w:w="684" w:type="pct"/>
            <w:tcBorders>
              <w:top w:val="nil"/>
              <w:left w:val="nil"/>
              <w:bottom w:val="single" w:sz="4" w:space="0" w:color="auto"/>
              <w:right w:val="single" w:sz="4" w:space="0" w:color="auto"/>
            </w:tcBorders>
            <w:noWrap/>
            <w:vAlign w:val="bottom"/>
            <w:hideMark/>
          </w:tcPr>
          <w:p w14:paraId="1192F959" w14:textId="77777777" w:rsidR="00C870A2" w:rsidRPr="00C870A2" w:rsidRDefault="00C870A2" w:rsidP="00C870A2">
            <w:pPr>
              <w:spacing w:after="0"/>
              <w:jc w:val="right"/>
              <w:rPr>
                <w:color w:val="000000"/>
                <w:lang w:val="en-IN"/>
              </w:rPr>
            </w:pPr>
            <w:r w:rsidRPr="00C870A2">
              <w:rPr>
                <w:color w:val="000000"/>
                <w:lang w:val="en-IN"/>
              </w:rPr>
              <w:t>20,000</w:t>
            </w:r>
          </w:p>
        </w:tc>
        <w:tc>
          <w:tcPr>
            <w:tcW w:w="684" w:type="pct"/>
            <w:tcBorders>
              <w:top w:val="nil"/>
              <w:left w:val="nil"/>
              <w:bottom w:val="single" w:sz="4" w:space="0" w:color="auto"/>
              <w:right w:val="single" w:sz="4" w:space="0" w:color="auto"/>
            </w:tcBorders>
            <w:noWrap/>
            <w:vAlign w:val="bottom"/>
            <w:hideMark/>
          </w:tcPr>
          <w:p w14:paraId="4E748A7F" w14:textId="77777777" w:rsidR="00C870A2" w:rsidRPr="00C870A2" w:rsidRDefault="00C870A2" w:rsidP="00C870A2">
            <w:pPr>
              <w:spacing w:after="0"/>
              <w:jc w:val="right"/>
              <w:rPr>
                <w:color w:val="000000"/>
                <w:lang w:val="en-IN"/>
              </w:rPr>
            </w:pPr>
            <w:r w:rsidRPr="00C870A2">
              <w:rPr>
                <w:color w:val="000000"/>
                <w:lang w:val="en-IN"/>
              </w:rPr>
              <w:t>56,000</w:t>
            </w:r>
          </w:p>
        </w:tc>
        <w:tc>
          <w:tcPr>
            <w:tcW w:w="684" w:type="pct"/>
            <w:tcBorders>
              <w:top w:val="nil"/>
              <w:left w:val="nil"/>
              <w:bottom w:val="single" w:sz="4" w:space="0" w:color="auto"/>
              <w:right w:val="single" w:sz="4" w:space="0" w:color="auto"/>
            </w:tcBorders>
            <w:noWrap/>
            <w:vAlign w:val="bottom"/>
            <w:hideMark/>
          </w:tcPr>
          <w:p w14:paraId="67F208B2" w14:textId="77777777" w:rsidR="00C870A2" w:rsidRPr="00C870A2" w:rsidRDefault="00C870A2" w:rsidP="00C870A2">
            <w:pPr>
              <w:spacing w:after="0"/>
              <w:jc w:val="right"/>
              <w:rPr>
                <w:color w:val="000000"/>
                <w:lang w:val="en-IN"/>
              </w:rPr>
            </w:pPr>
            <w:r w:rsidRPr="00C870A2">
              <w:rPr>
                <w:color w:val="000000"/>
                <w:lang w:val="en-IN"/>
              </w:rPr>
              <w:t>88,000</w:t>
            </w:r>
          </w:p>
        </w:tc>
        <w:tc>
          <w:tcPr>
            <w:tcW w:w="735" w:type="pct"/>
            <w:tcBorders>
              <w:top w:val="nil"/>
              <w:left w:val="nil"/>
              <w:bottom w:val="single" w:sz="4" w:space="0" w:color="auto"/>
              <w:right w:val="single" w:sz="4" w:space="0" w:color="auto"/>
            </w:tcBorders>
            <w:noWrap/>
            <w:vAlign w:val="bottom"/>
            <w:hideMark/>
          </w:tcPr>
          <w:p w14:paraId="4B447758" w14:textId="77777777" w:rsidR="00C870A2" w:rsidRPr="00C870A2" w:rsidRDefault="00C870A2" w:rsidP="00C870A2">
            <w:pPr>
              <w:spacing w:after="0"/>
              <w:jc w:val="right"/>
              <w:rPr>
                <w:color w:val="000000"/>
                <w:lang w:val="en-IN"/>
              </w:rPr>
            </w:pPr>
            <w:r w:rsidRPr="00C870A2">
              <w:rPr>
                <w:color w:val="000000"/>
                <w:lang w:val="en-IN"/>
              </w:rPr>
              <w:t>55,000</w:t>
            </w:r>
          </w:p>
        </w:tc>
        <w:tc>
          <w:tcPr>
            <w:tcW w:w="735" w:type="pct"/>
            <w:tcBorders>
              <w:top w:val="nil"/>
              <w:left w:val="nil"/>
              <w:bottom w:val="single" w:sz="4" w:space="0" w:color="auto"/>
              <w:right w:val="single" w:sz="8" w:space="0" w:color="auto"/>
            </w:tcBorders>
            <w:noWrap/>
            <w:vAlign w:val="bottom"/>
            <w:hideMark/>
          </w:tcPr>
          <w:p w14:paraId="1CA34D47" w14:textId="77777777" w:rsidR="00C870A2" w:rsidRPr="00C870A2" w:rsidRDefault="00C870A2" w:rsidP="00C870A2">
            <w:pPr>
              <w:spacing w:after="0"/>
              <w:jc w:val="right"/>
              <w:rPr>
                <w:color w:val="000000"/>
                <w:lang w:val="en-IN"/>
              </w:rPr>
            </w:pPr>
            <w:r w:rsidRPr="00C870A2">
              <w:rPr>
                <w:color w:val="000000"/>
                <w:lang w:val="en-IN"/>
              </w:rPr>
              <w:t>36,960</w:t>
            </w:r>
          </w:p>
        </w:tc>
      </w:tr>
      <w:tr w:rsidR="00C870A2" w:rsidRPr="00C870A2" w14:paraId="70C021C3"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6A58240B" w14:textId="77777777" w:rsidR="00C870A2" w:rsidRPr="00C870A2" w:rsidRDefault="00C870A2" w:rsidP="00C870A2">
            <w:pPr>
              <w:spacing w:after="0"/>
              <w:jc w:val="left"/>
              <w:rPr>
                <w:b/>
                <w:bCs/>
                <w:color w:val="000000"/>
                <w:lang w:val="en-IN"/>
              </w:rPr>
            </w:pPr>
            <w:r w:rsidRPr="00C870A2">
              <w:rPr>
                <w:b/>
                <w:bCs/>
                <w:color w:val="000000"/>
                <w:lang w:val="en-IN"/>
              </w:rPr>
              <w:t>Debt/Equity Ratio</w:t>
            </w:r>
          </w:p>
        </w:tc>
        <w:tc>
          <w:tcPr>
            <w:tcW w:w="684" w:type="pct"/>
            <w:tcBorders>
              <w:top w:val="nil"/>
              <w:left w:val="nil"/>
              <w:bottom w:val="single" w:sz="4" w:space="0" w:color="auto"/>
              <w:right w:val="single" w:sz="4" w:space="0" w:color="auto"/>
            </w:tcBorders>
            <w:noWrap/>
            <w:vAlign w:val="center"/>
            <w:hideMark/>
          </w:tcPr>
          <w:p w14:paraId="526BB28E" w14:textId="77777777" w:rsidR="00C870A2" w:rsidRPr="00C870A2" w:rsidRDefault="00C870A2" w:rsidP="00C870A2">
            <w:pPr>
              <w:spacing w:after="0"/>
              <w:jc w:val="center"/>
              <w:rPr>
                <w:b/>
                <w:bCs/>
                <w:color w:val="000000"/>
                <w:lang w:val="en-IN"/>
              </w:rPr>
            </w:pPr>
            <w:r w:rsidRPr="00C870A2">
              <w:rPr>
                <w:b/>
                <w:bCs/>
                <w:color w:val="000000"/>
                <w:lang w:val="en-IN"/>
              </w:rPr>
              <w:t xml:space="preserve">               0.63 </w:t>
            </w:r>
          </w:p>
        </w:tc>
        <w:tc>
          <w:tcPr>
            <w:tcW w:w="684" w:type="pct"/>
            <w:tcBorders>
              <w:top w:val="nil"/>
              <w:left w:val="nil"/>
              <w:bottom w:val="single" w:sz="4" w:space="0" w:color="auto"/>
              <w:right w:val="single" w:sz="4" w:space="0" w:color="auto"/>
            </w:tcBorders>
            <w:noWrap/>
            <w:vAlign w:val="center"/>
            <w:hideMark/>
          </w:tcPr>
          <w:p w14:paraId="08ADD565" w14:textId="77777777" w:rsidR="00C870A2" w:rsidRPr="00C870A2" w:rsidRDefault="00C870A2" w:rsidP="00C870A2">
            <w:pPr>
              <w:spacing w:after="0"/>
              <w:jc w:val="center"/>
              <w:rPr>
                <w:b/>
                <w:bCs/>
                <w:color w:val="000000"/>
                <w:lang w:val="en-IN"/>
              </w:rPr>
            </w:pPr>
            <w:r w:rsidRPr="00C870A2">
              <w:rPr>
                <w:b/>
                <w:bCs/>
                <w:color w:val="000000"/>
                <w:lang w:val="en-IN"/>
              </w:rPr>
              <w:t xml:space="preserve">               0.85 </w:t>
            </w:r>
          </w:p>
        </w:tc>
        <w:tc>
          <w:tcPr>
            <w:tcW w:w="684" w:type="pct"/>
            <w:tcBorders>
              <w:top w:val="nil"/>
              <w:left w:val="nil"/>
              <w:bottom w:val="single" w:sz="4" w:space="0" w:color="auto"/>
              <w:right w:val="single" w:sz="4" w:space="0" w:color="auto"/>
            </w:tcBorders>
            <w:noWrap/>
            <w:vAlign w:val="center"/>
            <w:hideMark/>
          </w:tcPr>
          <w:p w14:paraId="0FE03513" w14:textId="77777777" w:rsidR="00C870A2" w:rsidRPr="00C870A2" w:rsidRDefault="00C870A2" w:rsidP="00C870A2">
            <w:pPr>
              <w:spacing w:after="0"/>
              <w:jc w:val="center"/>
              <w:rPr>
                <w:b/>
                <w:bCs/>
                <w:color w:val="000000"/>
                <w:lang w:val="en-IN"/>
              </w:rPr>
            </w:pPr>
            <w:r w:rsidRPr="00C870A2">
              <w:rPr>
                <w:b/>
                <w:bCs/>
                <w:color w:val="000000"/>
                <w:lang w:val="en-IN"/>
              </w:rPr>
              <w:t xml:space="preserve">               0.88 </w:t>
            </w:r>
          </w:p>
        </w:tc>
        <w:tc>
          <w:tcPr>
            <w:tcW w:w="735" w:type="pct"/>
            <w:tcBorders>
              <w:top w:val="nil"/>
              <w:left w:val="nil"/>
              <w:bottom w:val="single" w:sz="4" w:space="0" w:color="auto"/>
              <w:right w:val="single" w:sz="4" w:space="0" w:color="auto"/>
            </w:tcBorders>
            <w:noWrap/>
            <w:vAlign w:val="center"/>
            <w:hideMark/>
          </w:tcPr>
          <w:p w14:paraId="2760C1EA" w14:textId="77777777" w:rsidR="00C870A2" w:rsidRPr="00C870A2" w:rsidRDefault="00C870A2" w:rsidP="00C870A2">
            <w:pPr>
              <w:spacing w:after="0"/>
              <w:jc w:val="center"/>
              <w:rPr>
                <w:b/>
                <w:bCs/>
                <w:color w:val="000000"/>
                <w:lang w:val="en-IN"/>
              </w:rPr>
            </w:pPr>
            <w:r w:rsidRPr="00C870A2">
              <w:rPr>
                <w:b/>
                <w:bCs/>
                <w:color w:val="000000"/>
                <w:lang w:val="en-IN"/>
              </w:rPr>
              <w:t xml:space="preserve">               0.99 </w:t>
            </w:r>
          </w:p>
        </w:tc>
        <w:tc>
          <w:tcPr>
            <w:tcW w:w="735" w:type="pct"/>
            <w:tcBorders>
              <w:top w:val="nil"/>
              <w:left w:val="nil"/>
              <w:bottom w:val="single" w:sz="4" w:space="0" w:color="auto"/>
              <w:right w:val="single" w:sz="8" w:space="0" w:color="auto"/>
            </w:tcBorders>
            <w:noWrap/>
            <w:vAlign w:val="center"/>
            <w:hideMark/>
          </w:tcPr>
          <w:p w14:paraId="45FC07B2" w14:textId="77777777" w:rsidR="00C870A2" w:rsidRPr="00C870A2" w:rsidRDefault="00C870A2" w:rsidP="00C870A2">
            <w:pPr>
              <w:spacing w:after="0"/>
              <w:jc w:val="center"/>
              <w:rPr>
                <w:b/>
                <w:bCs/>
                <w:color w:val="000000"/>
                <w:lang w:val="en-IN"/>
              </w:rPr>
            </w:pPr>
            <w:r w:rsidRPr="00C870A2">
              <w:rPr>
                <w:b/>
                <w:bCs/>
                <w:color w:val="000000"/>
                <w:lang w:val="en-IN"/>
              </w:rPr>
              <w:t xml:space="preserve">               1.11 </w:t>
            </w:r>
          </w:p>
        </w:tc>
      </w:tr>
      <w:tr w:rsidR="00C870A2" w:rsidRPr="00C870A2" w14:paraId="31484335" w14:textId="77777777" w:rsidTr="00C870A2">
        <w:trPr>
          <w:trHeight w:val="324"/>
        </w:trPr>
        <w:tc>
          <w:tcPr>
            <w:tcW w:w="1477" w:type="pct"/>
            <w:tcBorders>
              <w:top w:val="nil"/>
              <w:left w:val="single" w:sz="8" w:space="0" w:color="auto"/>
              <w:bottom w:val="single" w:sz="8" w:space="0" w:color="auto"/>
              <w:right w:val="single" w:sz="4" w:space="0" w:color="auto"/>
            </w:tcBorders>
            <w:noWrap/>
            <w:vAlign w:val="center"/>
            <w:hideMark/>
          </w:tcPr>
          <w:p w14:paraId="15DC1779" w14:textId="77777777" w:rsidR="00C870A2" w:rsidRPr="00C870A2" w:rsidRDefault="00C870A2" w:rsidP="00C870A2">
            <w:pPr>
              <w:spacing w:after="0"/>
              <w:jc w:val="left"/>
              <w:rPr>
                <w:b/>
                <w:bCs/>
                <w:color w:val="000000"/>
                <w:lang w:val="en-IN"/>
              </w:rPr>
            </w:pPr>
            <w:r w:rsidRPr="00C870A2">
              <w:rPr>
                <w:b/>
                <w:bCs/>
                <w:color w:val="000000"/>
                <w:lang w:val="en-IN"/>
              </w:rPr>
              <w:t>Interest Coverage Ratio</w:t>
            </w:r>
          </w:p>
        </w:tc>
        <w:tc>
          <w:tcPr>
            <w:tcW w:w="684" w:type="pct"/>
            <w:tcBorders>
              <w:top w:val="nil"/>
              <w:left w:val="nil"/>
              <w:bottom w:val="single" w:sz="8" w:space="0" w:color="auto"/>
              <w:right w:val="single" w:sz="4" w:space="0" w:color="auto"/>
            </w:tcBorders>
            <w:noWrap/>
            <w:vAlign w:val="center"/>
            <w:hideMark/>
          </w:tcPr>
          <w:p w14:paraId="377D4A82" w14:textId="77777777" w:rsidR="00C870A2" w:rsidRPr="00C870A2" w:rsidRDefault="00C870A2" w:rsidP="00C870A2">
            <w:pPr>
              <w:spacing w:after="0"/>
              <w:jc w:val="center"/>
              <w:rPr>
                <w:b/>
                <w:bCs/>
                <w:color w:val="000000"/>
                <w:lang w:val="en-IN"/>
              </w:rPr>
            </w:pPr>
            <w:r w:rsidRPr="00C870A2">
              <w:rPr>
                <w:b/>
                <w:bCs/>
                <w:color w:val="000000"/>
                <w:lang w:val="en-IN"/>
              </w:rPr>
              <w:t xml:space="preserve">               1.86 </w:t>
            </w:r>
          </w:p>
        </w:tc>
        <w:tc>
          <w:tcPr>
            <w:tcW w:w="684" w:type="pct"/>
            <w:tcBorders>
              <w:top w:val="nil"/>
              <w:left w:val="nil"/>
              <w:bottom w:val="single" w:sz="8" w:space="0" w:color="auto"/>
              <w:right w:val="single" w:sz="4" w:space="0" w:color="auto"/>
            </w:tcBorders>
            <w:noWrap/>
            <w:vAlign w:val="center"/>
            <w:hideMark/>
          </w:tcPr>
          <w:p w14:paraId="5CA036FD" w14:textId="77777777" w:rsidR="00C870A2" w:rsidRPr="00C870A2" w:rsidRDefault="00C870A2" w:rsidP="00C870A2">
            <w:pPr>
              <w:spacing w:after="0"/>
              <w:jc w:val="center"/>
              <w:rPr>
                <w:b/>
                <w:bCs/>
                <w:color w:val="000000"/>
                <w:lang w:val="en-IN"/>
              </w:rPr>
            </w:pPr>
            <w:r w:rsidRPr="00C870A2">
              <w:rPr>
                <w:b/>
                <w:bCs/>
                <w:color w:val="000000"/>
                <w:lang w:val="en-IN"/>
              </w:rPr>
              <w:t xml:space="preserve">               0.42 </w:t>
            </w:r>
          </w:p>
        </w:tc>
        <w:tc>
          <w:tcPr>
            <w:tcW w:w="684" w:type="pct"/>
            <w:tcBorders>
              <w:top w:val="nil"/>
              <w:left w:val="nil"/>
              <w:bottom w:val="single" w:sz="8" w:space="0" w:color="auto"/>
              <w:right w:val="single" w:sz="4" w:space="0" w:color="auto"/>
            </w:tcBorders>
            <w:noWrap/>
            <w:vAlign w:val="center"/>
            <w:hideMark/>
          </w:tcPr>
          <w:p w14:paraId="096A78FB" w14:textId="77777777" w:rsidR="00C870A2" w:rsidRPr="00C870A2" w:rsidRDefault="00C870A2" w:rsidP="00C870A2">
            <w:pPr>
              <w:spacing w:after="0"/>
              <w:jc w:val="center"/>
              <w:rPr>
                <w:b/>
                <w:bCs/>
                <w:color w:val="000000"/>
                <w:lang w:val="en-IN"/>
              </w:rPr>
            </w:pPr>
            <w:r w:rsidRPr="00C870A2">
              <w:rPr>
                <w:b/>
                <w:bCs/>
                <w:color w:val="000000"/>
                <w:lang w:val="en-IN"/>
              </w:rPr>
              <w:t xml:space="preserve">               0.17 </w:t>
            </w:r>
          </w:p>
        </w:tc>
        <w:tc>
          <w:tcPr>
            <w:tcW w:w="735" w:type="pct"/>
            <w:tcBorders>
              <w:top w:val="nil"/>
              <w:left w:val="nil"/>
              <w:bottom w:val="single" w:sz="8" w:space="0" w:color="auto"/>
              <w:right w:val="single" w:sz="4" w:space="0" w:color="auto"/>
            </w:tcBorders>
            <w:noWrap/>
            <w:vAlign w:val="center"/>
            <w:hideMark/>
          </w:tcPr>
          <w:p w14:paraId="54AFEC54" w14:textId="77777777" w:rsidR="00C870A2" w:rsidRPr="00C870A2" w:rsidRDefault="00C870A2" w:rsidP="00C870A2">
            <w:pPr>
              <w:spacing w:after="0"/>
              <w:jc w:val="center"/>
              <w:rPr>
                <w:b/>
                <w:bCs/>
                <w:color w:val="000000"/>
                <w:lang w:val="en-IN"/>
              </w:rPr>
            </w:pPr>
            <w:r w:rsidRPr="00C870A2">
              <w:rPr>
                <w:b/>
                <w:bCs/>
                <w:color w:val="000000"/>
                <w:lang w:val="en-IN"/>
              </w:rPr>
              <w:t xml:space="preserve">              (1.55)</w:t>
            </w:r>
          </w:p>
        </w:tc>
        <w:tc>
          <w:tcPr>
            <w:tcW w:w="735" w:type="pct"/>
            <w:tcBorders>
              <w:top w:val="nil"/>
              <w:left w:val="nil"/>
              <w:bottom w:val="single" w:sz="8" w:space="0" w:color="auto"/>
              <w:right w:val="single" w:sz="8" w:space="0" w:color="auto"/>
            </w:tcBorders>
            <w:noWrap/>
            <w:vAlign w:val="center"/>
            <w:hideMark/>
          </w:tcPr>
          <w:p w14:paraId="7C0A46BA" w14:textId="77777777" w:rsidR="00C870A2" w:rsidRPr="00C870A2" w:rsidRDefault="00C870A2" w:rsidP="00C870A2">
            <w:pPr>
              <w:spacing w:after="0"/>
              <w:jc w:val="center"/>
              <w:rPr>
                <w:b/>
                <w:bCs/>
                <w:color w:val="000000"/>
                <w:lang w:val="en-IN"/>
              </w:rPr>
            </w:pPr>
            <w:r w:rsidRPr="00C870A2">
              <w:rPr>
                <w:b/>
                <w:bCs/>
                <w:color w:val="000000"/>
                <w:lang w:val="en-IN"/>
              </w:rPr>
              <w:t xml:space="preserve">              (0.41)</w:t>
            </w:r>
          </w:p>
        </w:tc>
      </w:tr>
      <w:tr w:rsidR="00C870A2" w:rsidRPr="00C870A2" w14:paraId="6C68CAAB" w14:textId="77777777" w:rsidTr="00C870A2">
        <w:trPr>
          <w:trHeight w:val="312"/>
        </w:trPr>
        <w:tc>
          <w:tcPr>
            <w:tcW w:w="1477" w:type="pct"/>
            <w:tcBorders>
              <w:top w:val="nil"/>
              <w:left w:val="nil"/>
              <w:bottom w:val="nil"/>
              <w:right w:val="nil"/>
            </w:tcBorders>
            <w:noWrap/>
            <w:vAlign w:val="center"/>
            <w:hideMark/>
          </w:tcPr>
          <w:p w14:paraId="3C4728FD" w14:textId="77777777" w:rsidR="00C870A2" w:rsidRPr="00C870A2" w:rsidRDefault="00C870A2" w:rsidP="00C870A2">
            <w:pPr>
              <w:spacing w:after="0"/>
              <w:jc w:val="center"/>
              <w:rPr>
                <w:b/>
                <w:bCs/>
                <w:color w:val="000000"/>
                <w:lang w:val="en-IN"/>
              </w:rPr>
            </w:pPr>
          </w:p>
        </w:tc>
        <w:tc>
          <w:tcPr>
            <w:tcW w:w="684" w:type="pct"/>
            <w:tcBorders>
              <w:top w:val="nil"/>
              <w:left w:val="nil"/>
              <w:bottom w:val="nil"/>
              <w:right w:val="nil"/>
            </w:tcBorders>
            <w:noWrap/>
            <w:vAlign w:val="center"/>
            <w:hideMark/>
          </w:tcPr>
          <w:p w14:paraId="10FC387F" w14:textId="77777777" w:rsidR="00C870A2" w:rsidRPr="00C870A2" w:rsidRDefault="00C870A2" w:rsidP="00C870A2">
            <w:pPr>
              <w:spacing w:after="0"/>
              <w:jc w:val="center"/>
              <w:rPr>
                <w:sz w:val="20"/>
                <w:szCs w:val="20"/>
                <w:lang w:val="en-IN"/>
              </w:rPr>
            </w:pPr>
          </w:p>
        </w:tc>
        <w:tc>
          <w:tcPr>
            <w:tcW w:w="684" w:type="pct"/>
            <w:tcBorders>
              <w:top w:val="nil"/>
              <w:left w:val="nil"/>
              <w:bottom w:val="nil"/>
              <w:right w:val="nil"/>
            </w:tcBorders>
            <w:noWrap/>
            <w:vAlign w:val="center"/>
            <w:hideMark/>
          </w:tcPr>
          <w:p w14:paraId="371017A9" w14:textId="77777777" w:rsidR="00C870A2" w:rsidRPr="00C870A2" w:rsidRDefault="00C870A2" w:rsidP="00C870A2">
            <w:pPr>
              <w:spacing w:after="0"/>
              <w:jc w:val="center"/>
              <w:rPr>
                <w:sz w:val="20"/>
                <w:szCs w:val="20"/>
                <w:lang w:val="en-IN"/>
              </w:rPr>
            </w:pPr>
          </w:p>
        </w:tc>
        <w:tc>
          <w:tcPr>
            <w:tcW w:w="684" w:type="pct"/>
            <w:tcBorders>
              <w:top w:val="nil"/>
              <w:left w:val="nil"/>
              <w:bottom w:val="nil"/>
              <w:right w:val="nil"/>
            </w:tcBorders>
            <w:noWrap/>
            <w:vAlign w:val="center"/>
            <w:hideMark/>
          </w:tcPr>
          <w:p w14:paraId="7F6878B8" w14:textId="77777777" w:rsidR="00C870A2" w:rsidRPr="00C870A2" w:rsidRDefault="00C870A2" w:rsidP="00C870A2">
            <w:pPr>
              <w:spacing w:after="0"/>
              <w:jc w:val="center"/>
              <w:rPr>
                <w:sz w:val="20"/>
                <w:szCs w:val="20"/>
                <w:lang w:val="en-IN"/>
              </w:rPr>
            </w:pPr>
          </w:p>
        </w:tc>
        <w:tc>
          <w:tcPr>
            <w:tcW w:w="735" w:type="pct"/>
            <w:tcBorders>
              <w:top w:val="nil"/>
              <w:left w:val="nil"/>
              <w:bottom w:val="nil"/>
              <w:right w:val="nil"/>
            </w:tcBorders>
            <w:noWrap/>
            <w:vAlign w:val="center"/>
            <w:hideMark/>
          </w:tcPr>
          <w:p w14:paraId="65EC323D" w14:textId="77777777" w:rsidR="00C870A2" w:rsidRPr="00C870A2" w:rsidRDefault="00C870A2" w:rsidP="00C870A2">
            <w:pPr>
              <w:spacing w:after="0"/>
              <w:jc w:val="center"/>
              <w:rPr>
                <w:sz w:val="20"/>
                <w:szCs w:val="20"/>
                <w:lang w:val="en-IN"/>
              </w:rPr>
            </w:pPr>
          </w:p>
        </w:tc>
        <w:tc>
          <w:tcPr>
            <w:tcW w:w="735" w:type="pct"/>
            <w:tcBorders>
              <w:top w:val="nil"/>
              <w:left w:val="nil"/>
              <w:bottom w:val="nil"/>
              <w:right w:val="nil"/>
            </w:tcBorders>
            <w:noWrap/>
            <w:vAlign w:val="center"/>
            <w:hideMark/>
          </w:tcPr>
          <w:p w14:paraId="315030B1" w14:textId="77777777" w:rsidR="00C870A2" w:rsidRPr="00C870A2" w:rsidRDefault="00C870A2" w:rsidP="00C870A2">
            <w:pPr>
              <w:spacing w:after="0"/>
              <w:jc w:val="center"/>
              <w:rPr>
                <w:sz w:val="20"/>
                <w:szCs w:val="20"/>
                <w:lang w:val="en-IN"/>
              </w:rPr>
            </w:pPr>
          </w:p>
        </w:tc>
      </w:tr>
      <w:tr w:rsidR="00C870A2" w:rsidRPr="00C870A2" w14:paraId="62925B32" w14:textId="77777777" w:rsidTr="00C870A2">
        <w:trPr>
          <w:trHeight w:val="324"/>
        </w:trPr>
        <w:tc>
          <w:tcPr>
            <w:tcW w:w="5000" w:type="pct"/>
            <w:gridSpan w:val="6"/>
            <w:tcBorders>
              <w:top w:val="single" w:sz="8" w:space="0" w:color="auto"/>
              <w:left w:val="single" w:sz="8" w:space="0" w:color="auto"/>
              <w:bottom w:val="single" w:sz="4" w:space="0" w:color="000000"/>
              <w:right w:val="single" w:sz="8" w:space="0" w:color="000000"/>
            </w:tcBorders>
            <w:noWrap/>
            <w:vAlign w:val="center"/>
            <w:hideMark/>
          </w:tcPr>
          <w:p w14:paraId="0B33F032" w14:textId="77777777" w:rsidR="00C870A2" w:rsidRPr="00C870A2" w:rsidRDefault="00C870A2" w:rsidP="00C870A2">
            <w:pPr>
              <w:spacing w:after="0"/>
              <w:jc w:val="center"/>
              <w:rPr>
                <w:b/>
                <w:bCs/>
                <w:color w:val="000000"/>
                <w:lang w:val="en-IN"/>
              </w:rPr>
            </w:pPr>
            <w:r w:rsidRPr="00C870A2">
              <w:rPr>
                <w:b/>
                <w:bCs/>
                <w:color w:val="000000"/>
                <w:lang w:val="en-IN"/>
              </w:rPr>
              <w:t>Efficiency Ratios</w:t>
            </w:r>
          </w:p>
        </w:tc>
      </w:tr>
      <w:tr w:rsidR="00C870A2" w:rsidRPr="00C870A2" w14:paraId="7ACFB478" w14:textId="77777777" w:rsidTr="00C870A2">
        <w:trPr>
          <w:trHeight w:val="324"/>
        </w:trPr>
        <w:tc>
          <w:tcPr>
            <w:tcW w:w="1477" w:type="pct"/>
            <w:tcBorders>
              <w:top w:val="single" w:sz="8" w:space="0" w:color="auto"/>
              <w:left w:val="single" w:sz="8" w:space="0" w:color="auto"/>
              <w:bottom w:val="single" w:sz="8" w:space="0" w:color="auto"/>
              <w:right w:val="single" w:sz="8" w:space="0" w:color="auto"/>
            </w:tcBorders>
            <w:noWrap/>
            <w:vAlign w:val="center"/>
            <w:hideMark/>
          </w:tcPr>
          <w:p w14:paraId="23C16D60" w14:textId="77777777" w:rsidR="00C870A2" w:rsidRPr="00C870A2" w:rsidRDefault="00C870A2" w:rsidP="00C870A2">
            <w:pPr>
              <w:spacing w:after="0"/>
              <w:jc w:val="center"/>
              <w:rPr>
                <w:b/>
                <w:bCs/>
                <w:color w:val="000000"/>
                <w:lang w:val="en-IN"/>
              </w:rPr>
            </w:pPr>
            <w:r w:rsidRPr="00C870A2">
              <w:rPr>
                <w:b/>
                <w:bCs/>
                <w:color w:val="000000"/>
                <w:lang w:val="en-IN"/>
              </w:rPr>
              <w:t>Particulars</w:t>
            </w:r>
          </w:p>
        </w:tc>
        <w:tc>
          <w:tcPr>
            <w:tcW w:w="684" w:type="pct"/>
            <w:tcBorders>
              <w:top w:val="nil"/>
              <w:left w:val="single" w:sz="4" w:space="0" w:color="auto"/>
              <w:bottom w:val="single" w:sz="4" w:space="0" w:color="auto"/>
              <w:right w:val="single" w:sz="4" w:space="0" w:color="auto"/>
            </w:tcBorders>
            <w:noWrap/>
            <w:vAlign w:val="center"/>
            <w:hideMark/>
          </w:tcPr>
          <w:p w14:paraId="4E8DB80B" w14:textId="77777777" w:rsidR="00C870A2" w:rsidRPr="00C870A2" w:rsidRDefault="00C870A2" w:rsidP="00C870A2">
            <w:pPr>
              <w:spacing w:after="0"/>
              <w:jc w:val="center"/>
              <w:rPr>
                <w:b/>
                <w:bCs/>
                <w:color w:val="000000"/>
                <w:lang w:val="en-IN"/>
              </w:rPr>
            </w:pPr>
            <w:r w:rsidRPr="00C870A2">
              <w:rPr>
                <w:b/>
                <w:bCs/>
                <w:color w:val="000000"/>
                <w:lang w:val="en-IN"/>
              </w:rPr>
              <w:t>2020</w:t>
            </w:r>
          </w:p>
        </w:tc>
        <w:tc>
          <w:tcPr>
            <w:tcW w:w="684" w:type="pct"/>
            <w:tcBorders>
              <w:top w:val="nil"/>
              <w:left w:val="nil"/>
              <w:bottom w:val="single" w:sz="4" w:space="0" w:color="auto"/>
              <w:right w:val="single" w:sz="4" w:space="0" w:color="auto"/>
            </w:tcBorders>
            <w:noWrap/>
            <w:vAlign w:val="center"/>
            <w:hideMark/>
          </w:tcPr>
          <w:p w14:paraId="2DDA525E" w14:textId="77777777" w:rsidR="00C870A2" w:rsidRPr="00C870A2" w:rsidRDefault="00C870A2" w:rsidP="00C870A2">
            <w:pPr>
              <w:spacing w:after="0"/>
              <w:jc w:val="center"/>
              <w:rPr>
                <w:b/>
                <w:bCs/>
                <w:color w:val="000000"/>
                <w:lang w:val="en-IN"/>
              </w:rPr>
            </w:pPr>
            <w:r w:rsidRPr="00C870A2">
              <w:rPr>
                <w:b/>
                <w:bCs/>
                <w:color w:val="000000"/>
                <w:lang w:val="en-IN"/>
              </w:rPr>
              <w:t>2021</w:t>
            </w:r>
          </w:p>
        </w:tc>
        <w:tc>
          <w:tcPr>
            <w:tcW w:w="684" w:type="pct"/>
            <w:tcBorders>
              <w:top w:val="nil"/>
              <w:left w:val="nil"/>
              <w:bottom w:val="single" w:sz="4" w:space="0" w:color="auto"/>
              <w:right w:val="single" w:sz="4" w:space="0" w:color="auto"/>
            </w:tcBorders>
            <w:noWrap/>
            <w:vAlign w:val="center"/>
            <w:hideMark/>
          </w:tcPr>
          <w:p w14:paraId="2B96A7DB" w14:textId="77777777" w:rsidR="00C870A2" w:rsidRPr="00C870A2" w:rsidRDefault="00C870A2" w:rsidP="00C870A2">
            <w:pPr>
              <w:spacing w:after="0"/>
              <w:jc w:val="center"/>
              <w:rPr>
                <w:b/>
                <w:bCs/>
                <w:color w:val="000000"/>
                <w:lang w:val="en-IN"/>
              </w:rPr>
            </w:pPr>
            <w:r w:rsidRPr="00C870A2">
              <w:rPr>
                <w:b/>
                <w:bCs/>
                <w:color w:val="000000"/>
                <w:lang w:val="en-IN"/>
              </w:rPr>
              <w:t>2022</w:t>
            </w:r>
          </w:p>
        </w:tc>
        <w:tc>
          <w:tcPr>
            <w:tcW w:w="735" w:type="pct"/>
            <w:tcBorders>
              <w:top w:val="nil"/>
              <w:left w:val="nil"/>
              <w:bottom w:val="single" w:sz="4" w:space="0" w:color="auto"/>
              <w:right w:val="single" w:sz="4" w:space="0" w:color="auto"/>
            </w:tcBorders>
            <w:noWrap/>
            <w:vAlign w:val="center"/>
            <w:hideMark/>
          </w:tcPr>
          <w:p w14:paraId="4DB24FE1" w14:textId="77777777" w:rsidR="00C870A2" w:rsidRPr="00C870A2" w:rsidRDefault="00C870A2" w:rsidP="00C870A2">
            <w:pPr>
              <w:spacing w:after="0"/>
              <w:jc w:val="center"/>
              <w:rPr>
                <w:b/>
                <w:bCs/>
                <w:color w:val="000000"/>
                <w:lang w:val="en-IN"/>
              </w:rPr>
            </w:pPr>
            <w:r w:rsidRPr="00C870A2">
              <w:rPr>
                <w:b/>
                <w:bCs/>
                <w:color w:val="000000"/>
                <w:lang w:val="en-IN"/>
              </w:rPr>
              <w:t>2023</w:t>
            </w:r>
          </w:p>
        </w:tc>
        <w:tc>
          <w:tcPr>
            <w:tcW w:w="735" w:type="pct"/>
            <w:tcBorders>
              <w:top w:val="nil"/>
              <w:left w:val="nil"/>
              <w:bottom w:val="single" w:sz="4" w:space="0" w:color="auto"/>
              <w:right w:val="single" w:sz="8" w:space="0" w:color="auto"/>
            </w:tcBorders>
            <w:noWrap/>
            <w:vAlign w:val="center"/>
            <w:hideMark/>
          </w:tcPr>
          <w:p w14:paraId="4CAF43FA" w14:textId="77777777" w:rsidR="00C870A2" w:rsidRPr="00C870A2" w:rsidRDefault="00C870A2" w:rsidP="00C870A2">
            <w:pPr>
              <w:spacing w:after="0"/>
              <w:jc w:val="center"/>
              <w:rPr>
                <w:b/>
                <w:bCs/>
                <w:color w:val="000000"/>
                <w:lang w:val="en-IN"/>
              </w:rPr>
            </w:pPr>
            <w:r w:rsidRPr="00C870A2">
              <w:rPr>
                <w:b/>
                <w:bCs/>
                <w:color w:val="000000"/>
                <w:lang w:val="en-IN"/>
              </w:rPr>
              <w:t>2024</w:t>
            </w:r>
          </w:p>
        </w:tc>
      </w:tr>
      <w:tr w:rsidR="00C870A2" w:rsidRPr="00C870A2" w14:paraId="531A99C4"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0D4B59F4" w14:textId="77777777" w:rsidR="00C870A2" w:rsidRPr="00C870A2" w:rsidRDefault="00C870A2" w:rsidP="00C870A2">
            <w:pPr>
              <w:spacing w:after="0"/>
              <w:jc w:val="left"/>
              <w:rPr>
                <w:color w:val="000000"/>
                <w:lang w:val="en-IN"/>
              </w:rPr>
            </w:pPr>
            <w:r w:rsidRPr="00C870A2">
              <w:rPr>
                <w:color w:val="000000"/>
                <w:lang w:val="en-IN"/>
              </w:rPr>
              <w:t>Revenue (£m)</w:t>
            </w:r>
          </w:p>
        </w:tc>
        <w:tc>
          <w:tcPr>
            <w:tcW w:w="684" w:type="pct"/>
            <w:tcBorders>
              <w:top w:val="nil"/>
              <w:left w:val="nil"/>
              <w:bottom w:val="single" w:sz="4" w:space="0" w:color="auto"/>
              <w:right w:val="single" w:sz="4" w:space="0" w:color="auto"/>
            </w:tcBorders>
            <w:noWrap/>
            <w:vAlign w:val="center"/>
            <w:hideMark/>
          </w:tcPr>
          <w:p w14:paraId="1EC6B0F2" w14:textId="77777777" w:rsidR="00C870A2" w:rsidRPr="00C870A2" w:rsidRDefault="00C870A2" w:rsidP="00C870A2">
            <w:pPr>
              <w:spacing w:after="0"/>
              <w:jc w:val="center"/>
              <w:rPr>
                <w:color w:val="000000"/>
                <w:lang w:val="en-IN"/>
              </w:rPr>
            </w:pPr>
            <w:r w:rsidRPr="00C870A2">
              <w:rPr>
                <w:color w:val="000000"/>
                <w:lang w:val="en-IN"/>
              </w:rPr>
              <w:t xml:space="preserve">   6,14,680.00 </w:t>
            </w:r>
          </w:p>
        </w:tc>
        <w:tc>
          <w:tcPr>
            <w:tcW w:w="684" w:type="pct"/>
            <w:tcBorders>
              <w:top w:val="nil"/>
              <w:left w:val="nil"/>
              <w:bottom w:val="single" w:sz="4" w:space="0" w:color="auto"/>
              <w:right w:val="single" w:sz="4" w:space="0" w:color="auto"/>
            </w:tcBorders>
            <w:noWrap/>
            <w:vAlign w:val="center"/>
            <w:hideMark/>
          </w:tcPr>
          <w:p w14:paraId="477EFC72" w14:textId="77777777" w:rsidR="00C870A2" w:rsidRPr="00C870A2" w:rsidRDefault="00C870A2" w:rsidP="00C870A2">
            <w:pPr>
              <w:spacing w:after="0"/>
              <w:jc w:val="center"/>
              <w:rPr>
                <w:color w:val="000000"/>
                <w:lang w:val="en-IN"/>
              </w:rPr>
            </w:pPr>
            <w:r w:rsidRPr="00C870A2">
              <w:rPr>
                <w:color w:val="000000"/>
                <w:lang w:val="en-IN"/>
              </w:rPr>
              <w:t xml:space="preserve">   6,01,602.00 </w:t>
            </w:r>
          </w:p>
        </w:tc>
        <w:tc>
          <w:tcPr>
            <w:tcW w:w="684" w:type="pct"/>
            <w:tcBorders>
              <w:top w:val="nil"/>
              <w:left w:val="nil"/>
              <w:bottom w:val="single" w:sz="4" w:space="0" w:color="auto"/>
              <w:right w:val="single" w:sz="4" w:space="0" w:color="auto"/>
            </w:tcBorders>
            <w:noWrap/>
            <w:vAlign w:val="center"/>
            <w:hideMark/>
          </w:tcPr>
          <w:p w14:paraId="6DA774A8" w14:textId="77777777" w:rsidR="00C870A2" w:rsidRPr="00C870A2" w:rsidRDefault="00C870A2" w:rsidP="00C870A2">
            <w:pPr>
              <w:spacing w:after="0"/>
              <w:jc w:val="center"/>
              <w:rPr>
                <w:color w:val="000000"/>
                <w:lang w:val="en-IN"/>
              </w:rPr>
            </w:pPr>
            <w:r w:rsidRPr="00C870A2">
              <w:rPr>
                <w:color w:val="000000"/>
                <w:lang w:val="en-IN"/>
              </w:rPr>
              <w:t xml:space="preserve">   5,42,751.00 </w:t>
            </w:r>
          </w:p>
        </w:tc>
        <w:tc>
          <w:tcPr>
            <w:tcW w:w="735" w:type="pct"/>
            <w:tcBorders>
              <w:top w:val="nil"/>
              <w:left w:val="nil"/>
              <w:bottom w:val="single" w:sz="4" w:space="0" w:color="auto"/>
              <w:right w:val="single" w:sz="4" w:space="0" w:color="auto"/>
            </w:tcBorders>
            <w:noWrap/>
            <w:vAlign w:val="center"/>
            <w:hideMark/>
          </w:tcPr>
          <w:p w14:paraId="4C3349AA" w14:textId="77777777" w:rsidR="00C870A2" w:rsidRPr="00C870A2" w:rsidRDefault="00C870A2" w:rsidP="00C870A2">
            <w:pPr>
              <w:spacing w:after="0"/>
              <w:jc w:val="center"/>
              <w:rPr>
                <w:color w:val="000000"/>
                <w:lang w:val="en-IN"/>
              </w:rPr>
            </w:pPr>
            <w:r w:rsidRPr="00C870A2">
              <w:rPr>
                <w:color w:val="000000"/>
                <w:lang w:val="en-IN"/>
              </w:rPr>
              <w:t xml:space="preserve">   4,20,457.00 </w:t>
            </w:r>
          </w:p>
        </w:tc>
        <w:tc>
          <w:tcPr>
            <w:tcW w:w="735" w:type="pct"/>
            <w:tcBorders>
              <w:top w:val="nil"/>
              <w:left w:val="nil"/>
              <w:bottom w:val="single" w:sz="4" w:space="0" w:color="auto"/>
              <w:right w:val="single" w:sz="8" w:space="0" w:color="auto"/>
            </w:tcBorders>
            <w:noWrap/>
            <w:vAlign w:val="center"/>
            <w:hideMark/>
          </w:tcPr>
          <w:p w14:paraId="669DE9AE" w14:textId="77777777" w:rsidR="00C870A2" w:rsidRPr="00C870A2" w:rsidRDefault="00C870A2" w:rsidP="00C870A2">
            <w:pPr>
              <w:spacing w:after="0"/>
              <w:jc w:val="center"/>
              <w:rPr>
                <w:color w:val="000000"/>
                <w:lang w:val="en-IN"/>
              </w:rPr>
            </w:pPr>
            <w:r w:rsidRPr="00C870A2">
              <w:rPr>
                <w:color w:val="000000"/>
                <w:lang w:val="en-IN"/>
              </w:rPr>
              <w:t xml:space="preserve">   3,94,879.00 </w:t>
            </w:r>
          </w:p>
        </w:tc>
      </w:tr>
      <w:tr w:rsidR="00C870A2" w:rsidRPr="00C870A2" w14:paraId="2CFEBE8E"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3E89E113" w14:textId="77777777" w:rsidR="00C870A2" w:rsidRPr="00C870A2" w:rsidRDefault="00C870A2" w:rsidP="00C870A2">
            <w:pPr>
              <w:spacing w:after="0"/>
              <w:jc w:val="left"/>
              <w:rPr>
                <w:color w:val="000000"/>
                <w:lang w:val="en-IN"/>
              </w:rPr>
            </w:pPr>
            <w:r w:rsidRPr="00C870A2">
              <w:rPr>
                <w:color w:val="000000"/>
                <w:lang w:val="en-IN"/>
              </w:rPr>
              <w:t>Cost of Sales (£m)</w:t>
            </w:r>
          </w:p>
        </w:tc>
        <w:tc>
          <w:tcPr>
            <w:tcW w:w="684" w:type="pct"/>
            <w:tcBorders>
              <w:top w:val="nil"/>
              <w:left w:val="nil"/>
              <w:bottom w:val="single" w:sz="4" w:space="0" w:color="auto"/>
              <w:right w:val="single" w:sz="4" w:space="0" w:color="auto"/>
            </w:tcBorders>
            <w:noWrap/>
            <w:vAlign w:val="center"/>
            <w:hideMark/>
          </w:tcPr>
          <w:p w14:paraId="4A8C6CD2" w14:textId="77777777" w:rsidR="00C870A2" w:rsidRPr="00C870A2" w:rsidRDefault="00C870A2" w:rsidP="00C870A2">
            <w:pPr>
              <w:spacing w:after="0"/>
              <w:jc w:val="right"/>
              <w:rPr>
                <w:color w:val="000000"/>
                <w:lang w:val="en-IN"/>
              </w:rPr>
            </w:pPr>
            <w:r w:rsidRPr="00C870A2">
              <w:rPr>
                <w:color w:val="000000"/>
                <w:lang w:val="en-IN"/>
              </w:rPr>
              <w:t>4,38,424</w:t>
            </w:r>
          </w:p>
        </w:tc>
        <w:tc>
          <w:tcPr>
            <w:tcW w:w="684" w:type="pct"/>
            <w:tcBorders>
              <w:top w:val="nil"/>
              <w:left w:val="nil"/>
              <w:bottom w:val="single" w:sz="4" w:space="0" w:color="auto"/>
              <w:right w:val="single" w:sz="4" w:space="0" w:color="auto"/>
            </w:tcBorders>
            <w:noWrap/>
            <w:vAlign w:val="center"/>
            <w:hideMark/>
          </w:tcPr>
          <w:p w14:paraId="083782BE" w14:textId="77777777" w:rsidR="00C870A2" w:rsidRPr="00C870A2" w:rsidRDefault="00C870A2" w:rsidP="00C870A2">
            <w:pPr>
              <w:spacing w:after="0"/>
              <w:jc w:val="right"/>
              <w:rPr>
                <w:color w:val="000000"/>
                <w:lang w:val="en-IN"/>
              </w:rPr>
            </w:pPr>
            <w:r w:rsidRPr="00C870A2">
              <w:rPr>
                <w:color w:val="000000"/>
                <w:lang w:val="en-IN"/>
              </w:rPr>
              <w:t>4,28,586</w:t>
            </w:r>
          </w:p>
        </w:tc>
        <w:tc>
          <w:tcPr>
            <w:tcW w:w="684" w:type="pct"/>
            <w:tcBorders>
              <w:top w:val="nil"/>
              <w:left w:val="nil"/>
              <w:bottom w:val="single" w:sz="4" w:space="0" w:color="auto"/>
              <w:right w:val="single" w:sz="4" w:space="0" w:color="auto"/>
            </w:tcBorders>
            <w:noWrap/>
            <w:vAlign w:val="center"/>
            <w:hideMark/>
          </w:tcPr>
          <w:p w14:paraId="549F6D51" w14:textId="77777777" w:rsidR="00C870A2" w:rsidRPr="00C870A2" w:rsidRDefault="00C870A2" w:rsidP="00C870A2">
            <w:pPr>
              <w:spacing w:after="0"/>
              <w:jc w:val="right"/>
              <w:rPr>
                <w:color w:val="000000"/>
                <w:lang w:val="en-IN"/>
              </w:rPr>
            </w:pPr>
            <w:r w:rsidRPr="00C870A2">
              <w:rPr>
                <w:color w:val="000000"/>
                <w:lang w:val="en-IN"/>
              </w:rPr>
              <w:t>3,90,459</w:t>
            </w:r>
          </w:p>
        </w:tc>
        <w:tc>
          <w:tcPr>
            <w:tcW w:w="735" w:type="pct"/>
            <w:tcBorders>
              <w:top w:val="nil"/>
              <w:left w:val="nil"/>
              <w:bottom w:val="single" w:sz="4" w:space="0" w:color="auto"/>
              <w:right w:val="single" w:sz="4" w:space="0" w:color="auto"/>
            </w:tcBorders>
            <w:noWrap/>
            <w:vAlign w:val="center"/>
            <w:hideMark/>
          </w:tcPr>
          <w:p w14:paraId="0331A268" w14:textId="77777777" w:rsidR="00C870A2" w:rsidRPr="00C870A2" w:rsidRDefault="00C870A2" w:rsidP="00C870A2">
            <w:pPr>
              <w:spacing w:after="0"/>
              <w:jc w:val="right"/>
              <w:rPr>
                <w:color w:val="000000"/>
                <w:lang w:val="en-IN"/>
              </w:rPr>
            </w:pPr>
            <w:r w:rsidRPr="00C870A2">
              <w:rPr>
                <w:color w:val="000000"/>
                <w:lang w:val="en-IN"/>
              </w:rPr>
              <w:t>3,22,897</w:t>
            </w:r>
          </w:p>
        </w:tc>
        <w:tc>
          <w:tcPr>
            <w:tcW w:w="735" w:type="pct"/>
            <w:tcBorders>
              <w:top w:val="nil"/>
              <w:left w:val="nil"/>
              <w:bottom w:val="single" w:sz="4" w:space="0" w:color="auto"/>
              <w:right w:val="single" w:sz="8" w:space="0" w:color="auto"/>
            </w:tcBorders>
            <w:noWrap/>
            <w:vAlign w:val="center"/>
            <w:hideMark/>
          </w:tcPr>
          <w:p w14:paraId="22302B6D" w14:textId="77777777" w:rsidR="00C870A2" w:rsidRPr="00C870A2" w:rsidRDefault="00C870A2" w:rsidP="00C870A2">
            <w:pPr>
              <w:spacing w:after="0"/>
              <w:jc w:val="right"/>
              <w:rPr>
                <w:color w:val="000000"/>
                <w:lang w:val="en-IN"/>
              </w:rPr>
            </w:pPr>
            <w:r w:rsidRPr="00C870A2">
              <w:rPr>
                <w:color w:val="000000"/>
                <w:lang w:val="en-IN"/>
              </w:rPr>
              <w:t>2,80,885</w:t>
            </w:r>
          </w:p>
        </w:tc>
      </w:tr>
      <w:tr w:rsidR="00C870A2" w:rsidRPr="00C870A2" w14:paraId="4572E850"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43E122C8" w14:textId="77777777" w:rsidR="00C870A2" w:rsidRPr="00C870A2" w:rsidRDefault="00C870A2" w:rsidP="00C870A2">
            <w:pPr>
              <w:spacing w:after="0"/>
              <w:jc w:val="left"/>
              <w:rPr>
                <w:color w:val="000000"/>
                <w:lang w:val="en-IN"/>
              </w:rPr>
            </w:pPr>
            <w:r w:rsidRPr="00C870A2">
              <w:rPr>
                <w:color w:val="000000"/>
                <w:lang w:val="en-IN"/>
              </w:rPr>
              <w:t>Average Inventories (£m)</w:t>
            </w:r>
          </w:p>
        </w:tc>
        <w:tc>
          <w:tcPr>
            <w:tcW w:w="684" w:type="pct"/>
            <w:tcBorders>
              <w:top w:val="nil"/>
              <w:left w:val="nil"/>
              <w:bottom w:val="single" w:sz="4" w:space="0" w:color="auto"/>
              <w:right w:val="single" w:sz="4" w:space="0" w:color="auto"/>
            </w:tcBorders>
            <w:noWrap/>
            <w:vAlign w:val="center"/>
            <w:hideMark/>
          </w:tcPr>
          <w:p w14:paraId="2F001A4A" w14:textId="77777777" w:rsidR="00C870A2" w:rsidRPr="00C870A2" w:rsidRDefault="00C870A2" w:rsidP="00C870A2">
            <w:pPr>
              <w:spacing w:after="0"/>
              <w:jc w:val="center"/>
              <w:rPr>
                <w:color w:val="000000"/>
                <w:lang w:val="en-IN"/>
              </w:rPr>
            </w:pPr>
            <w:r w:rsidRPr="00C870A2">
              <w:rPr>
                <w:color w:val="000000"/>
                <w:lang w:val="en-IN"/>
              </w:rPr>
              <w:t xml:space="preserve">      60,215.00 </w:t>
            </w:r>
          </w:p>
        </w:tc>
        <w:tc>
          <w:tcPr>
            <w:tcW w:w="684" w:type="pct"/>
            <w:tcBorders>
              <w:top w:val="nil"/>
              <w:left w:val="nil"/>
              <w:bottom w:val="single" w:sz="4" w:space="0" w:color="auto"/>
              <w:right w:val="single" w:sz="4" w:space="0" w:color="auto"/>
            </w:tcBorders>
            <w:noWrap/>
            <w:vAlign w:val="center"/>
            <w:hideMark/>
          </w:tcPr>
          <w:p w14:paraId="31FD553C" w14:textId="77777777" w:rsidR="00C870A2" w:rsidRPr="00C870A2" w:rsidRDefault="00C870A2" w:rsidP="00C870A2">
            <w:pPr>
              <w:spacing w:after="0"/>
              <w:jc w:val="center"/>
              <w:rPr>
                <w:color w:val="000000"/>
                <w:lang w:val="en-IN"/>
              </w:rPr>
            </w:pPr>
            <w:r w:rsidRPr="00C870A2">
              <w:rPr>
                <w:color w:val="000000"/>
                <w:lang w:val="en-IN"/>
              </w:rPr>
              <w:t xml:space="preserve">      67,234.50 </w:t>
            </w:r>
          </w:p>
        </w:tc>
        <w:tc>
          <w:tcPr>
            <w:tcW w:w="684" w:type="pct"/>
            <w:tcBorders>
              <w:top w:val="nil"/>
              <w:left w:val="nil"/>
              <w:bottom w:val="single" w:sz="4" w:space="0" w:color="auto"/>
              <w:right w:val="single" w:sz="4" w:space="0" w:color="auto"/>
            </w:tcBorders>
            <w:noWrap/>
            <w:vAlign w:val="center"/>
            <w:hideMark/>
          </w:tcPr>
          <w:p w14:paraId="5EBBBC28" w14:textId="77777777" w:rsidR="00C870A2" w:rsidRPr="00C870A2" w:rsidRDefault="00C870A2" w:rsidP="00C870A2">
            <w:pPr>
              <w:spacing w:after="0"/>
              <w:jc w:val="center"/>
              <w:rPr>
                <w:color w:val="000000"/>
                <w:lang w:val="en-IN"/>
              </w:rPr>
            </w:pPr>
            <w:r w:rsidRPr="00C870A2">
              <w:rPr>
                <w:color w:val="000000"/>
                <w:lang w:val="en-IN"/>
              </w:rPr>
              <w:t xml:space="preserve">      70,090.50 </w:t>
            </w:r>
          </w:p>
        </w:tc>
        <w:tc>
          <w:tcPr>
            <w:tcW w:w="735" w:type="pct"/>
            <w:tcBorders>
              <w:top w:val="nil"/>
              <w:left w:val="nil"/>
              <w:bottom w:val="single" w:sz="4" w:space="0" w:color="auto"/>
              <w:right w:val="single" w:sz="4" w:space="0" w:color="auto"/>
            </w:tcBorders>
            <w:noWrap/>
            <w:vAlign w:val="center"/>
            <w:hideMark/>
          </w:tcPr>
          <w:p w14:paraId="632E30CE" w14:textId="77777777" w:rsidR="00C870A2" w:rsidRPr="00C870A2" w:rsidRDefault="00C870A2" w:rsidP="00C870A2">
            <w:pPr>
              <w:spacing w:after="0"/>
              <w:jc w:val="center"/>
              <w:rPr>
                <w:color w:val="000000"/>
                <w:lang w:val="en-IN"/>
              </w:rPr>
            </w:pPr>
            <w:r w:rsidRPr="00C870A2">
              <w:rPr>
                <w:color w:val="000000"/>
                <w:lang w:val="en-IN"/>
              </w:rPr>
              <w:t xml:space="preserve">      44,136.50 </w:t>
            </w:r>
          </w:p>
        </w:tc>
        <w:tc>
          <w:tcPr>
            <w:tcW w:w="735" w:type="pct"/>
            <w:tcBorders>
              <w:top w:val="nil"/>
              <w:left w:val="nil"/>
              <w:bottom w:val="single" w:sz="4" w:space="0" w:color="auto"/>
              <w:right w:val="single" w:sz="8" w:space="0" w:color="auto"/>
            </w:tcBorders>
            <w:noWrap/>
            <w:vAlign w:val="center"/>
            <w:hideMark/>
          </w:tcPr>
          <w:p w14:paraId="7E134CB6" w14:textId="77777777" w:rsidR="00C870A2" w:rsidRPr="00C870A2" w:rsidRDefault="00C870A2" w:rsidP="00C870A2">
            <w:pPr>
              <w:spacing w:after="0"/>
              <w:jc w:val="center"/>
              <w:rPr>
                <w:color w:val="000000"/>
                <w:lang w:val="en-IN"/>
              </w:rPr>
            </w:pPr>
            <w:r w:rsidRPr="00C870A2">
              <w:rPr>
                <w:color w:val="000000"/>
                <w:lang w:val="en-IN"/>
              </w:rPr>
              <w:t xml:space="preserve">      39,677.50 </w:t>
            </w:r>
          </w:p>
        </w:tc>
      </w:tr>
      <w:tr w:rsidR="00C870A2" w:rsidRPr="00C870A2" w14:paraId="3B2ED623"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64472B30" w14:textId="77777777" w:rsidR="00C870A2" w:rsidRPr="00C870A2" w:rsidRDefault="00C870A2" w:rsidP="00C870A2">
            <w:pPr>
              <w:spacing w:after="0"/>
              <w:jc w:val="left"/>
              <w:rPr>
                <w:color w:val="000000"/>
                <w:lang w:val="en-IN"/>
              </w:rPr>
            </w:pPr>
            <w:r w:rsidRPr="00C870A2">
              <w:rPr>
                <w:color w:val="000000"/>
                <w:lang w:val="en-IN"/>
              </w:rPr>
              <w:t>Average Receivables (£m)</w:t>
            </w:r>
          </w:p>
        </w:tc>
        <w:tc>
          <w:tcPr>
            <w:tcW w:w="684" w:type="pct"/>
            <w:tcBorders>
              <w:top w:val="nil"/>
              <w:left w:val="nil"/>
              <w:bottom w:val="single" w:sz="4" w:space="0" w:color="auto"/>
              <w:right w:val="single" w:sz="4" w:space="0" w:color="auto"/>
            </w:tcBorders>
            <w:noWrap/>
            <w:vAlign w:val="center"/>
            <w:hideMark/>
          </w:tcPr>
          <w:p w14:paraId="1950C062" w14:textId="77777777" w:rsidR="00C870A2" w:rsidRPr="00C870A2" w:rsidRDefault="00C870A2" w:rsidP="00C870A2">
            <w:pPr>
              <w:spacing w:after="0"/>
              <w:jc w:val="center"/>
              <w:rPr>
                <w:color w:val="000000"/>
                <w:lang w:val="en-IN"/>
              </w:rPr>
            </w:pPr>
            <w:r w:rsidRPr="00C870A2">
              <w:rPr>
                <w:color w:val="000000"/>
                <w:lang w:val="en-IN"/>
              </w:rPr>
              <w:t xml:space="preserve">      64,716.50 </w:t>
            </w:r>
          </w:p>
        </w:tc>
        <w:tc>
          <w:tcPr>
            <w:tcW w:w="684" w:type="pct"/>
            <w:tcBorders>
              <w:top w:val="nil"/>
              <w:left w:val="nil"/>
              <w:bottom w:val="single" w:sz="4" w:space="0" w:color="auto"/>
              <w:right w:val="single" w:sz="4" w:space="0" w:color="auto"/>
            </w:tcBorders>
            <w:noWrap/>
            <w:vAlign w:val="center"/>
            <w:hideMark/>
          </w:tcPr>
          <w:p w14:paraId="49F13150" w14:textId="77777777" w:rsidR="00C870A2" w:rsidRPr="00C870A2" w:rsidRDefault="00C870A2" w:rsidP="00C870A2">
            <w:pPr>
              <w:spacing w:after="0"/>
              <w:jc w:val="center"/>
              <w:rPr>
                <w:color w:val="000000"/>
                <w:lang w:val="en-IN"/>
              </w:rPr>
            </w:pPr>
            <w:r w:rsidRPr="00C870A2">
              <w:rPr>
                <w:color w:val="000000"/>
                <w:lang w:val="en-IN"/>
              </w:rPr>
              <w:t xml:space="preserve">      64,607.50 </w:t>
            </w:r>
          </w:p>
        </w:tc>
        <w:tc>
          <w:tcPr>
            <w:tcW w:w="684" w:type="pct"/>
            <w:tcBorders>
              <w:top w:val="nil"/>
              <w:left w:val="nil"/>
              <w:bottom w:val="single" w:sz="4" w:space="0" w:color="auto"/>
              <w:right w:val="single" w:sz="4" w:space="0" w:color="auto"/>
            </w:tcBorders>
            <w:noWrap/>
            <w:vAlign w:val="center"/>
            <w:hideMark/>
          </w:tcPr>
          <w:p w14:paraId="44FDAF5E" w14:textId="77777777" w:rsidR="00C870A2" w:rsidRPr="00C870A2" w:rsidRDefault="00C870A2" w:rsidP="00C870A2">
            <w:pPr>
              <w:spacing w:after="0"/>
              <w:jc w:val="center"/>
              <w:rPr>
                <w:color w:val="000000"/>
                <w:lang w:val="en-IN"/>
              </w:rPr>
            </w:pPr>
            <w:r w:rsidRPr="00C870A2">
              <w:rPr>
                <w:color w:val="000000"/>
                <w:lang w:val="en-IN"/>
              </w:rPr>
              <w:t xml:space="preserve">      56,173.00 </w:t>
            </w:r>
          </w:p>
        </w:tc>
        <w:tc>
          <w:tcPr>
            <w:tcW w:w="735" w:type="pct"/>
            <w:tcBorders>
              <w:top w:val="nil"/>
              <w:left w:val="nil"/>
              <w:bottom w:val="single" w:sz="4" w:space="0" w:color="auto"/>
              <w:right w:val="single" w:sz="4" w:space="0" w:color="auto"/>
            </w:tcBorders>
            <w:noWrap/>
            <w:vAlign w:val="center"/>
            <w:hideMark/>
          </w:tcPr>
          <w:p w14:paraId="533D72CD" w14:textId="77777777" w:rsidR="00C870A2" w:rsidRPr="00C870A2" w:rsidRDefault="00C870A2" w:rsidP="00C870A2">
            <w:pPr>
              <w:spacing w:after="0"/>
              <w:jc w:val="center"/>
              <w:rPr>
                <w:color w:val="000000"/>
                <w:lang w:val="en-IN"/>
              </w:rPr>
            </w:pPr>
            <w:r w:rsidRPr="00C870A2">
              <w:rPr>
                <w:color w:val="000000"/>
                <w:lang w:val="en-IN"/>
              </w:rPr>
              <w:t xml:space="preserve">      56,298.00 </w:t>
            </w:r>
          </w:p>
        </w:tc>
        <w:tc>
          <w:tcPr>
            <w:tcW w:w="735" w:type="pct"/>
            <w:tcBorders>
              <w:top w:val="nil"/>
              <w:left w:val="nil"/>
              <w:bottom w:val="single" w:sz="4" w:space="0" w:color="auto"/>
              <w:right w:val="single" w:sz="8" w:space="0" w:color="auto"/>
            </w:tcBorders>
            <w:noWrap/>
            <w:vAlign w:val="center"/>
            <w:hideMark/>
          </w:tcPr>
          <w:p w14:paraId="776A1183" w14:textId="77777777" w:rsidR="00C870A2" w:rsidRPr="00C870A2" w:rsidRDefault="00C870A2" w:rsidP="00C870A2">
            <w:pPr>
              <w:spacing w:after="0"/>
              <w:jc w:val="center"/>
              <w:rPr>
                <w:color w:val="000000"/>
                <w:lang w:val="en-IN"/>
              </w:rPr>
            </w:pPr>
            <w:r w:rsidRPr="00C870A2">
              <w:rPr>
                <w:color w:val="000000"/>
                <w:lang w:val="en-IN"/>
              </w:rPr>
              <w:t xml:space="preserve">      57,091.00 </w:t>
            </w:r>
          </w:p>
        </w:tc>
      </w:tr>
      <w:tr w:rsidR="00C870A2" w:rsidRPr="00C870A2" w14:paraId="462CBBAD"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0ED9C6D2" w14:textId="77777777" w:rsidR="00C870A2" w:rsidRPr="00C870A2" w:rsidRDefault="00C870A2" w:rsidP="00C870A2">
            <w:pPr>
              <w:spacing w:after="0"/>
              <w:jc w:val="left"/>
              <w:rPr>
                <w:color w:val="000000"/>
                <w:lang w:val="en-IN"/>
              </w:rPr>
            </w:pPr>
            <w:r w:rsidRPr="00C870A2">
              <w:rPr>
                <w:color w:val="000000"/>
                <w:lang w:val="en-IN"/>
              </w:rPr>
              <w:t>Average Payables (£m)</w:t>
            </w:r>
          </w:p>
        </w:tc>
        <w:tc>
          <w:tcPr>
            <w:tcW w:w="684" w:type="pct"/>
            <w:tcBorders>
              <w:top w:val="nil"/>
              <w:left w:val="nil"/>
              <w:bottom w:val="single" w:sz="4" w:space="0" w:color="auto"/>
              <w:right w:val="single" w:sz="4" w:space="0" w:color="auto"/>
            </w:tcBorders>
            <w:noWrap/>
            <w:vAlign w:val="center"/>
            <w:hideMark/>
          </w:tcPr>
          <w:p w14:paraId="53AD326A" w14:textId="77777777" w:rsidR="00C870A2" w:rsidRPr="00C870A2" w:rsidRDefault="00C870A2" w:rsidP="00C870A2">
            <w:pPr>
              <w:spacing w:after="0"/>
              <w:jc w:val="center"/>
              <w:rPr>
                <w:color w:val="000000"/>
                <w:lang w:val="en-IN"/>
              </w:rPr>
            </w:pPr>
            <w:r w:rsidRPr="00C870A2">
              <w:rPr>
                <w:color w:val="000000"/>
                <w:lang w:val="en-IN"/>
              </w:rPr>
              <w:t xml:space="preserve">      41,614.50 </w:t>
            </w:r>
          </w:p>
        </w:tc>
        <w:tc>
          <w:tcPr>
            <w:tcW w:w="684" w:type="pct"/>
            <w:tcBorders>
              <w:top w:val="nil"/>
              <w:left w:val="nil"/>
              <w:bottom w:val="single" w:sz="4" w:space="0" w:color="auto"/>
              <w:right w:val="single" w:sz="4" w:space="0" w:color="auto"/>
            </w:tcBorders>
            <w:noWrap/>
            <w:vAlign w:val="center"/>
            <w:hideMark/>
          </w:tcPr>
          <w:p w14:paraId="3673FB54" w14:textId="77777777" w:rsidR="00C870A2" w:rsidRPr="00C870A2" w:rsidRDefault="00C870A2" w:rsidP="00C870A2">
            <w:pPr>
              <w:spacing w:after="0"/>
              <w:jc w:val="center"/>
              <w:rPr>
                <w:color w:val="000000"/>
                <w:lang w:val="en-IN"/>
              </w:rPr>
            </w:pPr>
            <w:r w:rsidRPr="00C870A2">
              <w:rPr>
                <w:color w:val="000000"/>
                <w:lang w:val="en-IN"/>
              </w:rPr>
              <w:t xml:space="preserve">      46,353.50 </w:t>
            </w:r>
          </w:p>
        </w:tc>
        <w:tc>
          <w:tcPr>
            <w:tcW w:w="684" w:type="pct"/>
            <w:tcBorders>
              <w:top w:val="nil"/>
              <w:left w:val="nil"/>
              <w:bottom w:val="single" w:sz="4" w:space="0" w:color="auto"/>
              <w:right w:val="single" w:sz="4" w:space="0" w:color="auto"/>
            </w:tcBorders>
            <w:noWrap/>
            <w:vAlign w:val="center"/>
            <w:hideMark/>
          </w:tcPr>
          <w:p w14:paraId="1A7D91CC" w14:textId="77777777" w:rsidR="00C870A2" w:rsidRPr="00C870A2" w:rsidRDefault="00C870A2" w:rsidP="00C870A2">
            <w:pPr>
              <w:spacing w:after="0"/>
              <w:jc w:val="center"/>
              <w:rPr>
                <w:color w:val="000000"/>
                <w:lang w:val="en-IN"/>
              </w:rPr>
            </w:pPr>
            <w:r w:rsidRPr="00C870A2">
              <w:rPr>
                <w:color w:val="000000"/>
                <w:lang w:val="en-IN"/>
              </w:rPr>
              <w:t xml:space="preserve">      35,686.50 </w:t>
            </w:r>
          </w:p>
        </w:tc>
        <w:tc>
          <w:tcPr>
            <w:tcW w:w="735" w:type="pct"/>
            <w:tcBorders>
              <w:top w:val="nil"/>
              <w:left w:val="nil"/>
              <w:bottom w:val="single" w:sz="4" w:space="0" w:color="auto"/>
              <w:right w:val="single" w:sz="4" w:space="0" w:color="auto"/>
            </w:tcBorders>
            <w:noWrap/>
            <w:vAlign w:val="center"/>
            <w:hideMark/>
          </w:tcPr>
          <w:p w14:paraId="5E4EEF23" w14:textId="77777777" w:rsidR="00C870A2" w:rsidRPr="00C870A2" w:rsidRDefault="00C870A2" w:rsidP="00C870A2">
            <w:pPr>
              <w:spacing w:after="0"/>
              <w:jc w:val="center"/>
              <w:rPr>
                <w:color w:val="000000"/>
                <w:lang w:val="en-IN"/>
              </w:rPr>
            </w:pPr>
            <w:r w:rsidRPr="00C870A2">
              <w:rPr>
                <w:color w:val="000000"/>
                <w:lang w:val="en-IN"/>
              </w:rPr>
              <w:t xml:space="preserve">      28,516.50 </w:t>
            </w:r>
          </w:p>
        </w:tc>
        <w:tc>
          <w:tcPr>
            <w:tcW w:w="735" w:type="pct"/>
            <w:tcBorders>
              <w:top w:val="nil"/>
              <w:left w:val="nil"/>
              <w:bottom w:val="single" w:sz="4" w:space="0" w:color="auto"/>
              <w:right w:val="single" w:sz="8" w:space="0" w:color="auto"/>
            </w:tcBorders>
            <w:noWrap/>
            <w:vAlign w:val="center"/>
            <w:hideMark/>
          </w:tcPr>
          <w:p w14:paraId="1538FC1E" w14:textId="77777777" w:rsidR="00C870A2" w:rsidRPr="00C870A2" w:rsidRDefault="00C870A2" w:rsidP="00C870A2">
            <w:pPr>
              <w:spacing w:after="0"/>
              <w:jc w:val="center"/>
              <w:rPr>
                <w:color w:val="000000"/>
                <w:lang w:val="en-IN"/>
              </w:rPr>
            </w:pPr>
            <w:r w:rsidRPr="00C870A2">
              <w:rPr>
                <w:color w:val="000000"/>
                <w:lang w:val="en-IN"/>
              </w:rPr>
              <w:t xml:space="preserve">      36,015.50 </w:t>
            </w:r>
          </w:p>
        </w:tc>
      </w:tr>
      <w:tr w:rsidR="00C870A2" w:rsidRPr="00C870A2" w14:paraId="6C2CD9CA"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3D28BF34" w14:textId="77777777" w:rsidR="00C870A2" w:rsidRPr="00C870A2" w:rsidRDefault="00C870A2" w:rsidP="00C870A2">
            <w:pPr>
              <w:spacing w:after="0"/>
              <w:jc w:val="left"/>
              <w:rPr>
                <w:b/>
                <w:bCs/>
                <w:color w:val="000000"/>
                <w:lang w:val="en-IN"/>
              </w:rPr>
            </w:pPr>
            <w:r w:rsidRPr="00C870A2">
              <w:rPr>
                <w:b/>
                <w:bCs/>
                <w:color w:val="000000"/>
                <w:lang w:val="en-IN"/>
              </w:rPr>
              <w:t>Inventory Turnover Days</w:t>
            </w:r>
          </w:p>
        </w:tc>
        <w:tc>
          <w:tcPr>
            <w:tcW w:w="684" w:type="pct"/>
            <w:tcBorders>
              <w:top w:val="nil"/>
              <w:left w:val="nil"/>
              <w:bottom w:val="single" w:sz="4" w:space="0" w:color="auto"/>
              <w:right w:val="single" w:sz="4" w:space="0" w:color="auto"/>
            </w:tcBorders>
            <w:noWrap/>
            <w:vAlign w:val="center"/>
            <w:hideMark/>
          </w:tcPr>
          <w:p w14:paraId="5F3C022F" w14:textId="77777777" w:rsidR="00C870A2" w:rsidRPr="00C870A2" w:rsidRDefault="00C870A2" w:rsidP="00C870A2">
            <w:pPr>
              <w:spacing w:after="0"/>
              <w:jc w:val="center"/>
              <w:rPr>
                <w:b/>
                <w:bCs/>
                <w:color w:val="000000"/>
                <w:lang w:val="en-IN"/>
              </w:rPr>
            </w:pPr>
            <w:r w:rsidRPr="00C870A2">
              <w:rPr>
                <w:b/>
                <w:bCs/>
                <w:color w:val="000000"/>
                <w:lang w:val="en-IN"/>
              </w:rPr>
              <w:t xml:space="preserve">                  50 </w:t>
            </w:r>
          </w:p>
        </w:tc>
        <w:tc>
          <w:tcPr>
            <w:tcW w:w="684" w:type="pct"/>
            <w:tcBorders>
              <w:top w:val="nil"/>
              <w:left w:val="nil"/>
              <w:bottom w:val="single" w:sz="4" w:space="0" w:color="auto"/>
              <w:right w:val="single" w:sz="4" w:space="0" w:color="auto"/>
            </w:tcBorders>
            <w:noWrap/>
            <w:vAlign w:val="center"/>
            <w:hideMark/>
          </w:tcPr>
          <w:p w14:paraId="1C2CAC2E" w14:textId="77777777" w:rsidR="00C870A2" w:rsidRPr="00C870A2" w:rsidRDefault="00C870A2" w:rsidP="00C870A2">
            <w:pPr>
              <w:spacing w:after="0"/>
              <w:jc w:val="center"/>
              <w:rPr>
                <w:b/>
                <w:bCs/>
                <w:color w:val="000000"/>
                <w:lang w:val="en-IN"/>
              </w:rPr>
            </w:pPr>
            <w:r w:rsidRPr="00C870A2">
              <w:rPr>
                <w:b/>
                <w:bCs/>
                <w:color w:val="000000"/>
                <w:lang w:val="en-IN"/>
              </w:rPr>
              <w:t xml:space="preserve">                  57 </w:t>
            </w:r>
          </w:p>
        </w:tc>
        <w:tc>
          <w:tcPr>
            <w:tcW w:w="684" w:type="pct"/>
            <w:tcBorders>
              <w:top w:val="nil"/>
              <w:left w:val="nil"/>
              <w:bottom w:val="single" w:sz="4" w:space="0" w:color="auto"/>
              <w:right w:val="single" w:sz="4" w:space="0" w:color="auto"/>
            </w:tcBorders>
            <w:noWrap/>
            <w:vAlign w:val="center"/>
            <w:hideMark/>
          </w:tcPr>
          <w:p w14:paraId="78D611C9" w14:textId="77777777" w:rsidR="00C870A2" w:rsidRPr="00C870A2" w:rsidRDefault="00C870A2" w:rsidP="00C870A2">
            <w:pPr>
              <w:spacing w:after="0"/>
              <w:jc w:val="center"/>
              <w:rPr>
                <w:b/>
                <w:bCs/>
                <w:color w:val="000000"/>
                <w:lang w:val="en-IN"/>
              </w:rPr>
            </w:pPr>
            <w:r w:rsidRPr="00C870A2">
              <w:rPr>
                <w:b/>
                <w:bCs/>
                <w:color w:val="000000"/>
                <w:lang w:val="en-IN"/>
              </w:rPr>
              <w:t xml:space="preserve">                  66 </w:t>
            </w:r>
          </w:p>
        </w:tc>
        <w:tc>
          <w:tcPr>
            <w:tcW w:w="735" w:type="pct"/>
            <w:tcBorders>
              <w:top w:val="nil"/>
              <w:left w:val="nil"/>
              <w:bottom w:val="single" w:sz="4" w:space="0" w:color="auto"/>
              <w:right w:val="single" w:sz="4" w:space="0" w:color="auto"/>
            </w:tcBorders>
            <w:noWrap/>
            <w:vAlign w:val="center"/>
            <w:hideMark/>
          </w:tcPr>
          <w:p w14:paraId="47754B3F" w14:textId="77777777" w:rsidR="00C870A2" w:rsidRPr="00C870A2" w:rsidRDefault="00C870A2" w:rsidP="00C870A2">
            <w:pPr>
              <w:spacing w:after="0"/>
              <w:jc w:val="center"/>
              <w:rPr>
                <w:b/>
                <w:bCs/>
                <w:color w:val="000000"/>
                <w:lang w:val="en-IN"/>
              </w:rPr>
            </w:pPr>
            <w:r w:rsidRPr="00C870A2">
              <w:rPr>
                <w:b/>
                <w:bCs/>
                <w:color w:val="000000"/>
                <w:lang w:val="en-IN"/>
              </w:rPr>
              <w:t xml:space="preserve">                  50 </w:t>
            </w:r>
          </w:p>
        </w:tc>
        <w:tc>
          <w:tcPr>
            <w:tcW w:w="735" w:type="pct"/>
            <w:tcBorders>
              <w:top w:val="nil"/>
              <w:left w:val="nil"/>
              <w:bottom w:val="single" w:sz="4" w:space="0" w:color="auto"/>
              <w:right w:val="single" w:sz="8" w:space="0" w:color="auto"/>
            </w:tcBorders>
            <w:noWrap/>
            <w:vAlign w:val="center"/>
            <w:hideMark/>
          </w:tcPr>
          <w:p w14:paraId="79D49A35" w14:textId="77777777" w:rsidR="00C870A2" w:rsidRPr="00C870A2" w:rsidRDefault="00C870A2" w:rsidP="00C870A2">
            <w:pPr>
              <w:spacing w:after="0"/>
              <w:jc w:val="center"/>
              <w:rPr>
                <w:b/>
                <w:bCs/>
                <w:color w:val="000000"/>
                <w:lang w:val="en-IN"/>
              </w:rPr>
            </w:pPr>
            <w:r w:rsidRPr="00C870A2">
              <w:rPr>
                <w:b/>
                <w:bCs/>
                <w:color w:val="000000"/>
                <w:lang w:val="en-IN"/>
              </w:rPr>
              <w:t xml:space="preserve">                  52 </w:t>
            </w:r>
          </w:p>
        </w:tc>
      </w:tr>
      <w:tr w:rsidR="00C870A2" w:rsidRPr="00C870A2" w14:paraId="76F99123"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0FAC0203" w14:textId="77777777" w:rsidR="00C870A2" w:rsidRPr="00C870A2" w:rsidRDefault="00C870A2" w:rsidP="00C870A2">
            <w:pPr>
              <w:spacing w:after="0"/>
              <w:jc w:val="left"/>
              <w:rPr>
                <w:b/>
                <w:bCs/>
                <w:color w:val="000000"/>
                <w:lang w:val="en-IN"/>
              </w:rPr>
            </w:pPr>
            <w:r w:rsidRPr="00C870A2">
              <w:rPr>
                <w:b/>
                <w:bCs/>
                <w:color w:val="000000"/>
                <w:lang w:val="en-IN"/>
              </w:rPr>
              <w:t>Receivables Turnover Days</w:t>
            </w:r>
          </w:p>
        </w:tc>
        <w:tc>
          <w:tcPr>
            <w:tcW w:w="684" w:type="pct"/>
            <w:tcBorders>
              <w:top w:val="nil"/>
              <w:left w:val="nil"/>
              <w:bottom w:val="single" w:sz="4" w:space="0" w:color="auto"/>
              <w:right w:val="single" w:sz="4" w:space="0" w:color="auto"/>
            </w:tcBorders>
            <w:noWrap/>
            <w:vAlign w:val="center"/>
            <w:hideMark/>
          </w:tcPr>
          <w:p w14:paraId="54D5E8A8" w14:textId="77777777" w:rsidR="00C870A2" w:rsidRPr="00C870A2" w:rsidRDefault="00C870A2" w:rsidP="00C870A2">
            <w:pPr>
              <w:spacing w:after="0"/>
              <w:jc w:val="center"/>
              <w:rPr>
                <w:b/>
                <w:bCs/>
                <w:color w:val="000000"/>
                <w:lang w:val="en-IN"/>
              </w:rPr>
            </w:pPr>
            <w:r w:rsidRPr="00C870A2">
              <w:rPr>
                <w:b/>
                <w:bCs/>
                <w:color w:val="000000"/>
                <w:lang w:val="en-IN"/>
              </w:rPr>
              <w:t xml:space="preserve">                  38 </w:t>
            </w:r>
          </w:p>
        </w:tc>
        <w:tc>
          <w:tcPr>
            <w:tcW w:w="684" w:type="pct"/>
            <w:tcBorders>
              <w:top w:val="nil"/>
              <w:left w:val="nil"/>
              <w:bottom w:val="single" w:sz="4" w:space="0" w:color="auto"/>
              <w:right w:val="single" w:sz="4" w:space="0" w:color="auto"/>
            </w:tcBorders>
            <w:noWrap/>
            <w:vAlign w:val="center"/>
            <w:hideMark/>
          </w:tcPr>
          <w:p w14:paraId="2D4B5E62" w14:textId="77777777" w:rsidR="00C870A2" w:rsidRPr="00C870A2" w:rsidRDefault="00C870A2" w:rsidP="00C870A2">
            <w:pPr>
              <w:spacing w:after="0"/>
              <w:jc w:val="center"/>
              <w:rPr>
                <w:b/>
                <w:bCs/>
                <w:color w:val="000000"/>
                <w:lang w:val="en-IN"/>
              </w:rPr>
            </w:pPr>
            <w:r w:rsidRPr="00C870A2">
              <w:rPr>
                <w:b/>
                <w:bCs/>
                <w:color w:val="000000"/>
                <w:lang w:val="en-IN"/>
              </w:rPr>
              <w:t xml:space="preserve">                  39 </w:t>
            </w:r>
          </w:p>
        </w:tc>
        <w:tc>
          <w:tcPr>
            <w:tcW w:w="684" w:type="pct"/>
            <w:tcBorders>
              <w:top w:val="nil"/>
              <w:left w:val="nil"/>
              <w:bottom w:val="single" w:sz="4" w:space="0" w:color="auto"/>
              <w:right w:val="single" w:sz="4" w:space="0" w:color="auto"/>
            </w:tcBorders>
            <w:noWrap/>
            <w:vAlign w:val="center"/>
            <w:hideMark/>
          </w:tcPr>
          <w:p w14:paraId="3F7097EA" w14:textId="77777777" w:rsidR="00C870A2" w:rsidRPr="00C870A2" w:rsidRDefault="00C870A2" w:rsidP="00C870A2">
            <w:pPr>
              <w:spacing w:after="0"/>
              <w:jc w:val="center"/>
              <w:rPr>
                <w:b/>
                <w:bCs/>
                <w:color w:val="000000"/>
                <w:lang w:val="en-IN"/>
              </w:rPr>
            </w:pPr>
            <w:r w:rsidRPr="00C870A2">
              <w:rPr>
                <w:b/>
                <w:bCs/>
                <w:color w:val="000000"/>
                <w:lang w:val="en-IN"/>
              </w:rPr>
              <w:t xml:space="preserve">                  38 </w:t>
            </w:r>
          </w:p>
        </w:tc>
        <w:tc>
          <w:tcPr>
            <w:tcW w:w="735" w:type="pct"/>
            <w:tcBorders>
              <w:top w:val="nil"/>
              <w:left w:val="nil"/>
              <w:bottom w:val="single" w:sz="4" w:space="0" w:color="auto"/>
              <w:right w:val="single" w:sz="4" w:space="0" w:color="auto"/>
            </w:tcBorders>
            <w:noWrap/>
            <w:vAlign w:val="center"/>
            <w:hideMark/>
          </w:tcPr>
          <w:p w14:paraId="5D80BC54" w14:textId="77777777" w:rsidR="00C870A2" w:rsidRPr="00C870A2" w:rsidRDefault="00C870A2" w:rsidP="00C870A2">
            <w:pPr>
              <w:spacing w:after="0"/>
              <w:jc w:val="center"/>
              <w:rPr>
                <w:b/>
                <w:bCs/>
                <w:color w:val="000000"/>
                <w:lang w:val="en-IN"/>
              </w:rPr>
            </w:pPr>
            <w:r w:rsidRPr="00C870A2">
              <w:rPr>
                <w:b/>
                <w:bCs/>
                <w:color w:val="000000"/>
                <w:lang w:val="en-IN"/>
              </w:rPr>
              <w:t xml:space="preserve">                  49 </w:t>
            </w:r>
          </w:p>
        </w:tc>
        <w:tc>
          <w:tcPr>
            <w:tcW w:w="735" w:type="pct"/>
            <w:tcBorders>
              <w:top w:val="nil"/>
              <w:left w:val="nil"/>
              <w:bottom w:val="single" w:sz="4" w:space="0" w:color="auto"/>
              <w:right w:val="single" w:sz="8" w:space="0" w:color="auto"/>
            </w:tcBorders>
            <w:noWrap/>
            <w:vAlign w:val="center"/>
            <w:hideMark/>
          </w:tcPr>
          <w:p w14:paraId="2EC5D7EE" w14:textId="77777777" w:rsidR="00C870A2" w:rsidRPr="00C870A2" w:rsidRDefault="00C870A2" w:rsidP="00C870A2">
            <w:pPr>
              <w:spacing w:after="0"/>
              <w:jc w:val="center"/>
              <w:rPr>
                <w:b/>
                <w:bCs/>
                <w:color w:val="000000"/>
                <w:lang w:val="en-IN"/>
              </w:rPr>
            </w:pPr>
            <w:r w:rsidRPr="00C870A2">
              <w:rPr>
                <w:b/>
                <w:bCs/>
                <w:color w:val="000000"/>
                <w:lang w:val="en-IN"/>
              </w:rPr>
              <w:t xml:space="preserve">                  53 </w:t>
            </w:r>
          </w:p>
        </w:tc>
      </w:tr>
      <w:tr w:rsidR="00C870A2" w:rsidRPr="00C870A2" w14:paraId="7DE6B129" w14:textId="77777777" w:rsidTr="00C870A2">
        <w:trPr>
          <w:trHeight w:val="324"/>
        </w:trPr>
        <w:tc>
          <w:tcPr>
            <w:tcW w:w="1477" w:type="pct"/>
            <w:tcBorders>
              <w:top w:val="nil"/>
              <w:left w:val="single" w:sz="8" w:space="0" w:color="auto"/>
              <w:bottom w:val="single" w:sz="8" w:space="0" w:color="auto"/>
              <w:right w:val="single" w:sz="4" w:space="0" w:color="auto"/>
            </w:tcBorders>
            <w:noWrap/>
            <w:vAlign w:val="center"/>
            <w:hideMark/>
          </w:tcPr>
          <w:p w14:paraId="5F41D716" w14:textId="77777777" w:rsidR="00C870A2" w:rsidRPr="00C870A2" w:rsidRDefault="00C870A2" w:rsidP="00C870A2">
            <w:pPr>
              <w:spacing w:after="0"/>
              <w:jc w:val="left"/>
              <w:rPr>
                <w:b/>
                <w:bCs/>
                <w:color w:val="000000"/>
                <w:lang w:val="en-IN"/>
              </w:rPr>
            </w:pPr>
            <w:r w:rsidRPr="00C870A2">
              <w:rPr>
                <w:b/>
                <w:bCs/>
                <w:color w:val="000000"/>
                <w:lang w:val="en-IN"/>
              </w:rPr>
              <w:t>Payables Turnover Days</w:t>
            </w:r>
          </w:p>
        </w:tc>
        <w:tc>
          <w:tcPr>
            <w:tcW w:w="684" w:type="pct"/>
            <w:tcBorders>
              <w:top w:val="nil"/>
              <w:left w:val="nil"/>
              <w:bottom w:val="single" w:sz="8" w:space="0" w:color="auto"/>
              <w:right w:val="single" w:sz="4" w:space="0" w:color="auto"/>
            </w:tcBorders>
            <w:noWrap/>
            <w:vAlign w:val="center"/>
            <w:hideMark/>
          </w:tcPr>
          <w:p w14:paraId="7BE54C11" w14:textId="77777777" w:rsidR="00C870A2" w:rsidRPr="00C870A2" w:rsidRDefault="00C870A2" w:rsidP="00C870A2">
            <w:pPr>
              <w:spacing w:after="0"/>
              <w:jc w:val="center"/>
              <w:rPr>
                <w:b/>
                <w:bCs/>
                <w:color w:val="000000"/>
                <w:lang w:val="en-IN"/>
              </w:rPr>
            </w:pPr>
            <w:r w:rsidRPr="00C870A2">
              <w:rPr>
                <w:b/>
                <w:bCs/>
                <w:color w:val="000000"/>
                <w:lang w:val="en-IN"/>
              </w:rPr>
              <w:t xml:space="preserve">                  35 </w:t>
            </w:r>
          </w:p>
        </w:tc>
        <w:tc>
          <w:tcPr>
            <w:tcW w:w="684" w:type="pct"/>
            <w:tcBorders>
              <w:top w:val="nil"/>
              <w:left w:val="nil"/>
              <w:bottom w:val="single" w:sz="8" w:space="0" w:color="auto"/>
              <w:right w:val="single" w:sz="4" w:space="0" w:color="auto"/>
            </w:tcBorders>
            <w:noWrap/>
            <w:vAlign w:val="center"/>
            <w:hideMark/>
          </w:tcPr>
          <w:p w14:paraId="26A429A7" w14:textId="77777777" w:rsidR="00C870A2" w:rsidRPr="00C870A2" w:rsidRDefault="00C870A2" w:rsidP="00C870A2">
            <w:pPr>
              <w:spacing w:after="0"/>
              <w:jc w:val="center"/>
              <w:rPr>
                <w:b/>
                <w:bCs/>
                <w:color w:val="000000"/>
                <w:lang w:val="en-IN"/>
              </w:rPr>
            </w:pPr>
            <w:r w:rsidRPr="00C870A2">
              <w:rPr>
                <w:b/>
                <w:bCs/>
                <w:color w:val="000000"/>
                <w:lang w:val="en-IN"/>
              </w:rPr>
              <w:t xml:space="preserve">                  39 </w:t>
            </w:r>
          </w:p>
        </w:tc>
        <w:tc>
          <w:tcPr>
            <w:tcW w:w="684" w:type="pct"/>
            <w:tcBorders>
              <w:top w:val="nil"/>
              <w:left w:val="nil"/>
              <w:bottom w:val="single" w:sz="8" w:space="0" w:color="auto"/>
              <w:right w:val="single" w:sz="4" w:space="0" w:color="auto"/>
            </w:tcBorders>
            <w:noWrap/>
            <w:vAlign w:val="center"/>
            <w:hideMark/>
          </w:tcPr>
          <w:p w14:paraId="02DEC0B7" w14:textId="77777777" w:rsidR="00C870A2" w:rsidRPr="00C870A2" w:rsidRDefault="00C870A2" w:rsidP="00C870A2">
            <w:pPr>
              <w:spacing w:after="0"/>
              <w:jc w:val="center"/>
              <w:rPr>
                <w:b/>
                <w:bCs/>
                <w:color w:val="000000"/>
                <w:lang w:val="en-IN"/>
              </w:rPr>
            </w:pPr>
            <w:r w:rsidRPr="00C870A2">
              <w:rPr>
                <w:b/>
                <w:bCs/>
                <w:color w:val="000000"/>
                <w:lang w:val="en-IN"/>
              </w:rPr>
              <w:t xml:space="preserve">                  33 </w:t>
            </w:r>
          </w:p>
        </w:tc>
        <w:tc>
          <w:tcPr>
            <w:tcW w:w="735" w:type="pct"/>
            <w:tcBorders>
              <w:top w:val="nil"/>
              <w:left w:val="nil"/>
              <w:bottom w:val="single" w:sz="8" w:space="0" w:color="auto"/>
              <w:right w:val="single" w:sz="4" w:space="0" w:color="auto"/>
            </w:tcBorders>
            <w:noWrap/>
            <w:vAlign w:val="center"/>
            <w:hideMark/>
          </w:tcPr>
          <w:p w14:paraId="3693E62D" w14:textId="77777777" w:rsidR="00C870A2" w:rsidRPr="00C870A2" w:rsidRDefault="00C870A2" w:rsidP="00C870A2">
            <w:pPr>
              <w:spacing w:after="0"/>
              <w:jc w:val="center"/>
              <w:rPr>
                <w:b/>
                <w:bCs/>
                <w:color w:val="000000"/>
                <w:lang w:val="en-IN"/>
              </w:rPr>
            </w:pPr>
            <w:r w:rsidRPr="00C870A2">
              <w:rPr>
                <w:b/>
                <w:bCs/>
                <w:color w:val="000000"/>
                <w:lang w:val="en-IN"/>
              </w:rPr>
              <w:t xml:space="preserve">                  32 </w:t>
            </w:r>
          </w:p>
        </w:tc>
        <w:tc>
          <w:tcPr>
            <w:tcW w:w="735" w:type="pct"/>
            <w:tcBorders>
              <w:top w:val="nil"/>
              <w:left w:val="nil"/>
              <w:bottom w:val="single" w:sz="8" w:space="0" w:color="auto"/>
              <w:right w:val="single" w:sz="8" w:space="0" w:color="auto"/>
            </w:tcBorders>
            <w:noWrap/>
            <w:vAlign w:val="center"/>
            <w:hideMark/>
          </w:tcPr>
          <w:p w14:paraId="62F220F1" w14:textId="77777777" w:rsidR="00C870A2" w:rsidRPr="00C870A2" w:rsidRDefault="00C870A2" w:rsidP="00C870A2">
            <w:pPr>
              <w:spacing w:after="0"/>
              <w:jc w:val="center"/>
              <w:rPr>
                <w:b/>
                <w:bCs/>
                <w:color w:val="000000"/>
                <w:lang w:val="en-IN"/>
              </w:rPr>
            </w:pPr>
            <w:r w:rsidRPr="00C870A2">
              <w:rPr>
                <w:b/>
                <w:bCs/>
                <w:color w:val="000000"/>
                <w:lang w:val="en-IN"/>
              </w:rPr>
              <w:t xml:space="preserve">                  47 </w:t>
            </w:r>
          </w:p>
        </w:tc>
      </w:tr>
      <w:tr w:rsidR="00C870A2" w:rsidRPr="00C870A2" w14:paraId="7A6F57F7" w14:textId="77777777" w:rsidTr="00C870A2">
        <w:trPr>
          <w:trHeight w:val="312"/>
        </w:trPr>
        <w:tc>
          <w:tcPr>
            <w:tcW w:w="1477" w:type="pct"/>
            <w:tcBorders>
              <w:top w:val="nil"/>
              <w:left w:val="nil"/>
              <w:bottom w:val="nil"/>
              <w:right w:val="nil"/>
            </w:tcBorders>
            <w:noWrap/>
            <w:vAlign w:val="center"/>
            <w:hideMark/>
          </w:tcPr>
          <w:p w14:paraId="16277C84" w14:textId="77777777" w:rsidR="00C870A2" w:rsidRPr="00C870A2" w:rsidRDefault="00C870A2" w:rsidP="00C870A2">
            <w:pPr>
              <w:spacing w:after="0"/>
              <w:jc w:val="center"/>
              <w:rPr>
                <w:b/>
                <w:bCs/>
                <w:color w:val="000000"/>
                <w:lang w:val="en-IN"/>
              </w:rPr>
            </w:pPr>
          </w:p>
        </w:tc>
        <w:tc>
          <w:tcPr>
            <w:tcW w:w="684" w:type="pct"/>
            <w:tcBorders>
              <w:top w:val="nil"/>
              <w:left w:val="nil"/>
              <w:bottom w:val="nil"/>
              <w:right w:val="nil"/>
            </w:tcBorders>
            <w:noWrap/>
            <w:vAlign w:val="center"/>
            <w:hideMark/>
          </w:tcPr>
          <w:p w14:paraId="03E088EE" w14:textId="77777777" w:rsidR="00C870A2" w:rsidRPr="00C870A2" w:rsidRDefault="00C870A2" w:rsidP="00C870A2">
            <w:pPr>
              <w:spacing w:after="0"/>
              <w:jc w:val="center"/>
              <w:rPr>
                <w:sz w:val="20"/>
                <w:szCs w:val="20"/>
                <w:lang w:val="en-IN"/>
              </w:rPr>
            </w:pPr>
          </w:p>
        </w:tc>
        <w:tc>
          <w:tcPr>
            <w:tcW w:w="684" w:type="pct"/>
            <w:tcBorders>
              <w:top w:val="nil"/>
              <w:left w:val="nil"/>
              <w:bottom w:val="nil"/>
              <w:right w:val="nil"/>
            </w:tcBorders>
            <w:noWrap/>
            <w:vAlign w:val="center"/>
            <w:hideMark/>
          </w:tcPr>
          <w:p w14:paraId="57F1D60C" w14:textId="77777777" w:rsidR="00C870A2" w:rsidRPr="00C870A2" w:rsidRDefault="00C870A2" w:rsidP="00C870A2">
            <w:pPr>
              <w:spacing w:after="0"/>
              <w:jc w:val="center"/>
              <w:rPr>
                <w:sz w:val="20"/>
                <w:szCs w:val="20"/>
                <w:lang w:val="en-IN"/>
              </w:rPr>
            </w:pPr>
          </w:p>
        </w:tc>
        <w:tc>
          <w:tcPr>
            <w:tcW w:w="684" w:type="pct"/>
            <w:tcBorders>
              <w:top w:val="nil"/>
              <w:left w:val="nil"/>
              <w:bottom w:val="nil"/>
              <w:right w:val="nil"/>
            </w:tcBorders>
            <w:noWrap/>
            <w:vAlign w:val="center"/>
            <w:hideMark/>
          </w:tcPr>
          <w:p w14:paraId="73AD5E0D" w14:textId="77777777" w:rsidR="00C870A2" w:rsidRPr="00C870A2" w:rsidRDefault="00C870A2" w:rsidP="00C870A2">
            <w:pPr>
              <w:spacing w:after="0"/>
              <w:jc w:val="center"/>
              <w:rPr>
                <w:sz w:val="20"/>
                <w:szCs w:val="20"/>
                <w:lang w:val="en-IN"/>
              </w:rPr>
            </w:pPr>
          </w:p>
        </w:tc>
        <w:tc>
          <w:tcPr>
            <w:tcW w:w="735" w:type="pct"/>
            <w:tcBorders>
              <w:top w:val="nil"/>
              <w:left w:val="nil"/>
              <w:bottom w:val="nil"/>
              <w:right w:val="nil"/>
            </w:tcBorders>
            <w:noWrap/>
            <w:vAlign w:val="center"/>
            <w:hideMark/>
          </w:tcPr>
          <w:p w14:paraId="5CFE14CD" w14:textId="77777777" w:rsidR="00C870A2" w:rsidRPr="00C870A2" w:rsidRDefault="00C870A2" w:rsidP="00C870A2">
            <w:pPr>
              <w:spacing w:after="0"/>
              <w:jc w:val="center"/>
              <w:rPr>
                <w:sz w:val="20"/>
                <w:szCs w:val="20"/>
                <w:lang w:val="en-IN"/>
              </w:rPr>
            </w:pPr>
          </w:p>
        </w:tc>
        <w:tc>
          <w:tcPr>
            <w:tcW w:w="735" w:type="pct"/>
            <w:tcBorders>
              <w:top w:val="nil"/>
              <w:left w:val="nil"/>
              <w:bottom w:val="nil"/>
              <w:right w:val="nil"/>
            </w:tcBorders>
            <w:noWrap/>
            <w:vAlign w:val="center"/>
            <w:hideMark/>
          </w:tcPr>
          <w:p w14:paraId="1A70F4E3" w14:textId="77777777" w:rsidR="00C870A2" w:rsidRPr="00C870A2" w:rsidRDefault="00C870A2" w:rsidP="00C870A2">
            <w:pPr>
              <w:spacing w:after="0"/>
              <w:jc w:val="center"/>
              <w:rPr>
                <w:sz w:val="20"/>
                <w:szCs w:val="20"/>
                <w:lang w:val="en-IN"/>
              </w:rPr>
            </w:pPr>
          </w:p>
        </w:tc>
      </w:tr>
      <w:tr w:rsidR="00C870A2" w:rsidRPr="00C870A2" w14:paraId="275FBDF8" w14:textId="77777777" w:rsidTr="00C870A2">
        <w:trPr>
          <w:trHeight w:val="324"/>
        </w:trPr>
        <w:tc>
          <w:tcPr>
            <w:tcW w:w="5000" w:type="pct"/>
            <w:gridSpan w:val="6"/>
            <w:tcBorders>
              <w:top w:val="single" w:sz="8" w:space="0" w:color="auto"/>
              <w:left w:val="single" w:sz="8" w:space="0" w:color="auto"/>
              <w:bottom w:val="single" w:sz="8" w:space="0" w:color="auto"/>
              <w:right w:val="single" w:sz="8" w:space="0" w:color="000000"/>
            </w:tcBorders>
            <w:noWrap/>
            <w:vAlign w:val="center"/>
            <w:hideMark/>
          </w:tcPr>
          <w:p w14:paraId="1C8EA514" w14:textId="77777777" w:rsidR="00C870A2" w:rsidRPr="00C870A2" w:rsidRDefault="00C870A2" w:rsidP="00C870A2">
            <w:pPr>
              <w:spacing w:after="0"/>
              <w:jc w:val="center"/>
              <w:rPr>
                <w:b/>
                <w:bCs/>
                <w:color w:val="000000"/>
                <w:lang w:val="en-IN"/>
              </w:rPr>
            </w:pPr>
            <w:r w:rsidRPr="00C870A2">
              <w:rPr>
                <w:b/>
                <w:bCs/>
                <w:color w:val="000000"/>
                <w:lang w:val="en-IN"/>
              </w:rPr>
              <w:t>Market Ratios</w:t>
            </w:r>
          </w:p>
        </w:tc>
      </w:tr>
      <w:tr w:rsidR="00C870A2" w:rsidRPr="00C870A2" w14:paraId="23F8973B"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1F07946F" w14:textId="77777777" w:rsidR="00C870A2" w:rsidRPr="00C870A2" w:rsidRDefault="00C870A2" w:rsidP="00C870A2">
            <w:pPr>
              <w:spacing w:after="0"/>
              <w:jc w:val="center"/>
              <w:rPr>
                <w:b/>
                <w:bCs/>
                <w:color w:val="000000"/>
                <w:lang w:val="en-IN"/>
              </w:rPr>
            </w:pPr>
            <w:r w:rsidRPr="00C870A2">
              <w:rPr>
                <w:b/>
                <w:bCs/>
                <w:color w:val="000000"/>
                <w:lang w:val="en-IN"/>
              </w:rPr>
              <w:t>Particulars</w:t>
            </w:r>
          </w:p>
        </w:tc>
        <w:tc>
          <w:tcPr>
            <w:tcW w:w="684" w:type="pct"/>
            <w:tcBorders>
              <w:top w:val="nil"/>
              <w:left w:val="nil"/>
              <w:bottom w:val="single" w:sz="4" w:space="0" w:color="auto"/>
              <w:right w:val="single" w:sz="4" w:space="0" w:color="auto"/>
            </w:tcBorders>
            <w:noWrap/>
            <w:vAlign w:val="center"/>
            <w:hideMark/>
          </w:tcPr>
          <w:p w14:paraId="00D628CA" w14:textId="77777777" w:rsidR="00C870A2" w:rsidRPr="00C870A2" w:rsidRDefault="00C870A2" w:rsidP="00C870A2">
            <w:pPr>
              <w:spacing w:after="0"/>
              <w:jc w:val="center"/>
              <w:rPr>
                <w:b/>
                <w:bCs/>
                <w:color w:val="000000"/>
                <w:lang w:val="en-IN"/>
              </w:rPr>
            </w:pPr>
            <w:r w:rsidRPr="00C870A2">
              <w:rPr>
                <w:b/>
                <w:bCs/>
                <w:color w:val="000000"/>
                <w:lang w:val="en-IN"/>
              </w:rPr>
              <w:t>2020</w:t>
            </w:r>
          </w:p>
        </w:tc>
        <w:tc>
          <w:tcPr>
            <w:tcW w:w="684" w:type="pct"/>
            <w:tcBorders>
              <w:top w:val="nil"/>
              <w:left w:val="nil"/>
              <w:bottom w:val="single" w:sz="4" w:space="0" w:color="auto"/>
              <w:right w:val="single" w:sz="4" w:space="0" w:color="auto"/>
            </w:tcBorders>
            <w:noWrap/>
            <w:vAlign w:val="center"/>
            <w:hideMark/>
          </w:tcPr>
          <w:p w14:paraId="32E78548" w14:textId="77777777" w:rsidR="00C870A2" w:rsidRPr="00C870A2" w:rsidRDefault="00C870A2" w:rsidP="00C870A2">
            <w:pPr>
              <w:spacing w:after="0"/>
              <w:jc w:val="center"/>
              <w:rPr>
                <w:b/>
                <w:bCs/>
                <w:color w:val="000000"/>
                <w:lang w:val="en-IN"/>
              </w:rPr>
            </w:pPr>
            <w:r w:rsidRPr="00C870A2">
              <w:rPr>
                <w:b/>
                <w:bCs/>
                <w:color w:val="000000"/>
                <w:lang w:val="en-IN"/>
              </w:rPr>
              <w:t>2021</w:t>
            </w:r>
          </w:p>
        </w:tc>
        <w:tc>
          <w:tcPr>
            <w:tcW w:w="684" w:type="pct"/>
            <w:tcBorders>
              <w:top w:val="nil"/>
              <w:left w:val="nil"/>
              <w:bottom w:val="single" w:sz="4" w:space="0" w:color="auto"/>
              <w:right w:val="single" w:sz="4" w:space="0" w:color="auto"/>
            </w:tcBorders>
            <w:noWrap/>
            <w:vAlign w:val="center"/>
            <w:hideMark/>
          </w:tcPr>
          <w:p w14:paraId="76F0E1F6" w14:textId="77777777" w:rsidR="00C870A2" w:rsidRPr="00C870A2" w:rsidRDefault="00C870A2" w:rsidP="00C870A2">
            <w:pPr>
              <w:spacing w:after="0"/>
              <w:jc w:val="center"/>
              <w:rPr>
                <w:b/>
                <w:bCs/>
                <w:color w:val="000000"/>
                <w:lang w:val="en-IN"/>
              </w:rPr>
            </w:pPr>
            <w:r w:rsidRPr="00C870A2">
              <w:rPr>
                <w:b/>
                <w:bCs/>
                <w:color w:val="000000"/>
                <w:lang w:val="en-IN"/>
              </w:rPr>
              <w:t>2022</w:t>
            </w:r>
          </w:p>
        </w:tc>
        <w:tc>
          <w:tcPr>
            <w:tcW w:w="735" w:type="pct"/>
            <w:tcBorders>
              <w:top w:val="nil"/>
              <w:left w:val="nil"/>
              <w:bottom w:val="single" w:sz="4" w:space="0" w:color="auto"/>
              <w:right w:val="single" w:sz="4" w:space="0" w:color="auto"/>
            </w:tcBorders>
            <w:noWrap/>
            <w:vAlign w:val="center"/>
            <w:hideMark/>
          </w:tcPr>
          <w:p w14:paraId="121998A9" w14:textId="77777777" w:rsidR="00C870A2" w:rsidRPr="00C870A2" w:rsidRDefault="00C870A2" w:rsidP="00C870A2">
            <w:pPr>
              <w:spacing w:after="0"/>
              <w:jc w:val="center"/>
              <w:rPr>
                <w:b/>
                <w:bCs/>
                <w:color w:val="000000"/>
                <w:lang w:val="en-IN"/>
              </w:rPr>
            </w:pPr>
            <w:r w:rsidRPr="00C870A2">
              <w:rPr>
                <w:b/>
                <w:bCs/>
                <w:color w:val="000000"/>
                <w:lang w:val="en-IN"/>
              </w:rPr>
              <w:t>2023</w:t>
            </w:r>
          </w:p>
        </w:tc>
        <w:tc>
          <w:tcPr>
            <w:tcW w:w="735" w:type="pct"/>
            <w:tcBorders>
              <w:top w:val="nil"/>
              <w:left w:val="nil"/>
              <w:bottom w:val="single" w:sz="4" w:space="0" w:color="auto"/>
              <w:right w:val="single" w:sz="8" w:space="0" w:color="auto"/>
            </w:tcBorders>
            <w:noWrap/>
            <w:vAlign w:val="center"/>
            <w:hideMark/>
          </w:tcPr>
          <w:p w14:paraId="7B02580B" w14:textId="77777777" w:rsidR="00C870A2" w:rsidRPr="00C870A2" w:rsidRDefault="00C870A2" w:rsidP="00C870A2">
            <w:pPr>
              <w:spacing w:after="0"/>
              <w:jc w:val="center"/>
              <w:rPr>
                <w:b/>
                <w:bCs/>
                <w:color w:val="000000"/>
                <w:lang w:val="en-IN"/>
              </w:rPr>
            </w:pPr>
            <w:r w:rsidRPr="00C870A2">
              <w:rPr>
                <w:b/>
                <w:bCs/>
                <w:color w:val="000000"/>
                <w:lang w:val="en-IN"/>
              </w:rPr>
              <w:t>2024</w:t>
            </w:r>
          </w:p>
        </w:tc>
      </w:tr>
      <w:tr w:rsidR="00C870A2" w:rsidRPr="00C870A2" w14:paraId="7C1E9332"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12CE8861" w14:textId="77777777" w:rsidR="00C870A2" w:rsidRPr="00C870A2" w:rsidRDefault="00C870A2" w:rsidP="00C870A2">
            <w:pPr>
              <w:spacing w:after="0"/>
              <w:jc w:val="left"/>
              <w:rPr>
                <w:color w:val="000000"/>
                <w:lang w:val="en-IN"/>
              </w:rPr>
            </w:pPr>
            <w:r w:rsidRPr="00C870A2">
              <w:rPr>
                <w:color w:val="000000"/>
                <w:lang w:val="en-IN"/>
              </w:rPr>
              <w:lastRenderedPageBreak/>
              <w:t>Earnings/(Loss) per Share</w:t>
            </w:r>
          </w:p>
        </w:tc>
        <w:tc>
          <w:tcPr>
            <w:tcW w:w="684" w:type="pct"/>
            <w:tcBorders>
              <w:top w:val="nil"/>
              <w:left w:val="nil"/>
              <w:bottom w:val="single" w:sz="4" w:space="0" w:color="auto"/>
              <w:right w:val="single" w:sz="4" w:space="0" w:color="auto"/>
            </w:tcBorders>
            <w:noWrap/>
            <w:vAlign w:val="center"/>
            <w:hideMark/>
          </w:tcPr>
          <w:p w14:paraId="1852B1D4" w14:textId="77777777" w:rsidR="00C870A2" w:rsidRPr="00C870A2" w:rsidRDefault="00C870A2" w:rsidP="00C870A2">
            <w:pPr>
              <w:spacing w:after="0"/>
              <w:jc w:val="right"/>
              <w:rPr>
                <w:color w:val="000000"/>
                <w:lang w:val="en-IN"/>
              </w:rPr>
            </w:pPr>
            <w:r w:rsidRPr="00C870A2">
              <w:rPr>
                <w:color w:val="000000"/>
                <w:lang w:val="en-IN"/>
              </w:rPr>
              <w:t>2.78</w:t>
            </w:r>
          </w:p>
        </w:tc>
        <w:tc>
          <w:tcPr>
            <w:tcW w:w="684" w:type="pct"/>
            <w:tcBorders>
              <w:top w:val="nil"/>
              <w:left w:val="nil"/>
              <w:bottom w:val="single" w:sz="4" w:space="0" w:color="auto"/>
              <w:right w:val="single" w:sz="4" w:space="0" w:color="auto"/>
            </w:tcBorders>
            <w:noWrap/>
            <w:vAlign w:val="center"/>
            <w:hideMark/>
          </w:tcPr>
          <w:p w14:paraId="377CDB85" w14:textId="77777777" w:rsidR="00C870A2" w:rsidRPr="00C870A2" w:rsidRDefault="00C870A2" w:rsidP="00C870A2">
            <w:pPr>
              <w:spacing w:after="0"/>
              <w:jc w:val="right"/>
              <w:rPr>
                <w:color w:val="000000"/>
                <w:lang w:val="en-IN"/>
              </w:rPr>
            </w:pPr>
            <w:r w:rsidRPr="00C870A2">
              <w:rPr>
                <w:color w:val="000000"/>
                <w:lang w:val="en-IN"/>
              </w:rPr>
              <w:t>0.39</w:t>
            </w:r>
          </w:p>
        </w:tc>
        <w:tc>
          <w:tcPr>
            <w:tcW w:w="684" w:type="pct"/>
            <w:tcBorders>
              <w:top w:val="nil"/>
              <w:left w:val="nil"/>
              <w:bottom w:val="single" w:sz="4" w:space="0" w:color="auto"/>
              <w:right w:val="single" w:sz="4" w:space="0" w:color="auto"/>
            </w:tcBorders>
            <w:noWrap/>
            <w:vAlign w:val="center"/>
            <w:hideMark/>
          </w:tcPr>
          <w:p w14:paraId="4BFE5E6C" w14:textId="77777777" w:rsidR="00C870A2" w:rsidRPr="00C870A2" w:rsidRDefault="00C870A2" w:rsidP="00C870A2">
            <w:pPr>
              <w:spacing w:after="0"/>
              <w:jc w:val="right"/>
              <w:rPr>
                <w:color w:val="000000"/>
                <w:lang w:val="en-IN"/>
              </w:rPr>
            </w:pPr>
            <w:r w:rsidRPr="00C870A2">
              <w:rPr>
                <w:color w:val="000000"/>
                <w:lang w:val="en-IN"/>
              </w:rPr>
              <w:t>0.03</w:t>
            </w:r>
          </w:p>
        </w:tc>
        <w:tc>
          <w:tcPr>
            <w:tcW w:w="735" w:type="pct"/>
            <w:tcBorders>
              <w:top w:val="nil"/>
              <w:left w:val="nil"/>
              <w:bottom w:val="single" w:sz="4" w:space="0" w:color="auto"/>
              <w:right w:val="single" w:sz="4" w:space="0" w:color="auto"/>
            </w:tcBorders>
            <w:noWrap/>
            <w:vAlign w:val="center"/>
            <w:hideMark/>
          </w:tcPr>
          <w:p w14:paraId="78793EA8" w14:textId="77777777" w:rsidR="00C870A2" w:rsidRPr="00C870A2" w:rsidRDefault="00C870A2" w:rsidP="00C870A2">
            <w:pPr>
              <w:spacing w:after="0"/>
              <w:jc w:val="right"/>
              <w:rPr>
                <w:color w:val="000000"/>
                <w:lang w:val="en-IN"/>
              </w:rPr>
            </w:pPr>
            <w:r w:rsidRPr="00C870A2">
              <w:rPr>
                <w:color w:val="000000"/>
                <w:lang w:val="en-IN"/>
              </w:rPr>
              <w:t>-7.64</w:t>
            </w:r>
          </w:p>
        </w:tc>
        <w:tc>
          <w:tcPr>
            <w:tcW w:w="735" w:type="pct"/>
            <w:tcBorders>
              <w:top w:val="nil"/>
              <w:left w:val="nil"/>
              <w:bottom w:val="single" w:sz="4" w:space="0" w:color="auto"/>
              <w:right w:val="single" w:sz="8" w:space="0" w:color="auto"/>
            </w:tcBorders>
            <w:noWrap/>
            <w:vAlign w:val="center"/>
            <w:hideMark/>
          </w:tcPr>
          <w:p w14:paraId="5E65A2AC" w14:textId="77777777" w:rsidR="00C870A2" w:rsidRPr="00C870A2" w:rsidRDefault="00C870A2" w:rsidP="00C870A2">
            <w:pPr>
              <w:spacing w:after="0"/>
              <w:jc w:val="right"/>
              <w:rPr>
                <w:color w:val="000000"/>
                <w:lang w:val="en-IN"/>
              </w:rPr>
            </w:pPr>
            <w:r w:rsidRPr="00C870A2">
              <w:rPr>
                <w:color w:val="000000"/>
                <w:lang w:val="en-IN"/>
              </w:rPr>
              <w:t>-1.85</w:t>
            </w:r>
          </w:p>
        </w:tc>
      </w:tr>
      <w:tr w:rsidR="00C870A2" w:rsidRPr="00C870A2" w14:paraId="4DD09B7F"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3C01E8E3" w14:textId="77777777" w:rsidR="00C870A2" w:rsidRPr="00C870A2" w:rsidRDefault="00C870A2" w:rsidP="00C870A2">
            <w:pPr>
              <w:spacing w:after="0"/>
              <w:jc w:val="left"/>
              <w:rPr>
                <w:color w:val="000000"/>
                <w:lang w:val="en-IN"/>
              </w:rPr>
            </w:pPr>
            <w:r w:rsidRPr="00C870A2">
              <w:rPr>
                <w:color w:val="000000"/>
                <w:lang w:val="en-IN"/>
              </w:rPr>
              <w:t>Market Price per Share</w:t>
            </w:r>
          </w:p>
        </w:tc>
        <w:tc>
          <w:tcPr>
            <w:tcW w:w="684" w:type="pct"/>
            <w:tcBorders>
              <w:top w:val="nil"/>
              <w:left w:val="nil"/>
              <w:bottom w:val="single" w:sz="4" w:space="0" w:color="auto"/>
              <w:right w:val="single" w:sz="4" w:space="0" w:color="auto"/>
            </w:tcBorders>
            <w:noWrap/>
            <w:vAlign w:val="center"/>
            <w:hideMark/>
          </w:tcPr>
          <w:p w14:paraId="305032E5" w14:textId="77777777" w:rsidR="00C870A2" w:rsidRPr="00C870A2" w:rsidRDefault="00C870A2" w:rsidP="00C870A2">
            <w:pPr>
              <w:spacing w:after="0"/>
              <w:jc w:val="right"/>
              <w:rPr>
                <w:color w:val="000000"/>
                <w:lang w:val="en-IN"/>
              </w:rPr>
            </w:pPr>
            <w:r w:rsidRPr="00C870A2">
              <w:rPr>
                <w:color w:val="000000"/>
                <w:lang w:val="en-IN"/>
              </w:rPr>
              <w:t xml:space="preserve">             22.55 </w:t>
            </w:r>
          </w:p>
        </w:tc>
        <w:tc>
          <w:tcPr>
            <w:tcW w:w="684" w:type="pct"/>
            <w:tcBorders>
              <w:top w:val="nil"/>
              <w:left w:val="nil"/>
              <w:bottom w:val="single" w:sz="4" w:space="0" w:color="auto"/>
              <w:right w:val="single" w:sz="4" w:space="0" w:color="auto"/>
            </w:tcBorders>
            <w:noWrap/>
            <w:vAlign w:val="center"/>
            <w:hideMark/>
          </w:tcPr>
          <w:p w14:paraId="0FBD3A49" w14:textId="77777777" w:rsidR="00C870A2" w:rsidRPr="00C870A2" w:rsidRDefault="00C870A2" w:rsidP="00C870A2">
            <w:pPr>
              <w:spacing w:after="0"/>
              <w:jc w:val="right"/>
              <w:rPr>
                <w:color w:val="000000"/>
                <w:lang w:val="en-IN"/>
              </w:rPr>
            </w:pPr>
            <w:r w:rsidRPr="00C870A2">
              <w:rPr>
                <w:color w:val="000000"/>
                <w:lang w:val="en-IN"/>
              </w:rPr>
              <w:t xml:space="preserve">             20.49 </w:t>
            </w:r>
          </w:p>
        </w:tc>
        <w:tc>
          <w:tcPr>
            <w:tcW w:w="684" w:type="pct"/>
            <w:tcBorders>
              <w:top w:val="nil"/>
              <w:left w:val="nil"/>
              <w:bottom w:val="single" w:sz="4" w:space="0" w:color="auto"/>
              <w:right w:val="single" w:sz="4" w:space="0" w:color="auto"/>
            </w:tcBorders>
            <w:noWrap/>
            <w:vAlign w:val="center"/>
            <w:hideMark/>
          </w:tcPr>
          <w:p w14:paraId="6971B3BF" w14:textId="77777777" w:rsidR="00C870A2" w:rsidRPr="00C870A2" w:rsidRDefault="00C870A2" w:rsidP="00C870A2">
            <w:pPr>
              <w:spacing w:after="0"/>
              <w:jc w:val="right"/>
              <w:rPr>
                <w:color w:val="000000"/>
                <w:lang w:val="en-IN"/>
              </w:rPr>
            </w:pPr>
            <w:r w:rsidRPr="00C870A2">
              <w:rPr>
                <w:color w:val="000000"/>
                <w:lang w:val="en-IN"/>
              </w:rPr>
              <w:t xml:space="preserve">             21.13 </w:t>
            </w:r>
          </w:p>
        </w:tc>
        <w:tc>
          <w:tcPr>
            <w:tcW w:w="735" w:type="pct"/>
            <w:tcBorders>
              <w:top w:val="nil"/>
              <w:left w:val="nil"/>
              <w:bottom w:val="single" w:sz="4" w:space="0" w:color="auto"/>
              <w:right w:val="single" w:sz="4" w:space="0" w:color="auto"/>
            </w:tcBorders>
            <w:noWrap/>
            <w:vAlign w:val="center"/>
            <w:hideMark/>
          </w:tcPr>
          <w:p w14:paraId="4A098D30" w14:textId="77777777" w:rsidR="00C870A2" w:rsidRPr="00C870A2" w:rsidRDefault="00C870A2" w:rsidP="00C870A2">
            <w:pPr>
              <w:spacing w:after="0"/>
              <w:jc w:val="right"/>
              <w:rPr>
                <w:color w:val="000000"/>
                <w:lang w:val="en-IN"/>
              </w:rPr>
            </w:pPr>
            <w:r w:rsidRPr="00C870A2">
              <w:rPr>
                <w:color w:val="000000"/>
                <w:lang w:val="en-IN"/>
              </w:rPr>
              <w:t xml:space="preserve">             13.92 </w:t>
            </w:r>
          </w:p>
        </w:tc>
        <w:tc>
          <w:tcPr>
            <w:tcW w:w="735" w:type="pct"/>
            <w:tcBorders>
              <w:top w:val="nil"/>
              <w:left w:val="nil"/>
              <w:bottom w:val="single" w:sz="4" w:space="0" w:color="auto"/>
              <w:right w:val="single" w:sz="8" w:space="0" w:color="auto"/>
            </w:tcBorders>
            <w:noWrap/>
            <w:vAlign w:val="center"/>
            <w:hideMark/>
          </w:tcPr>
          <w:p w14:paraId="6B7A4C5E" w14:textId="77777777" w:rsidR="00C870A2" w:rsidRPr="00C870A2" w:rsidRDefault="00C870A2" w:rsidP="00C870A2">
            <w:pPr>
              <w:spacing w:after="0"/>
              <w:jc w:val="right"/>
              <w:rPr>
                <w:color w:val="000000"/>
                <w:lang w:val="en-IN"/>
              </w:rPr>
            </w:pPr>
            <w:r w:rsidRPr="00C870A2">
              <w:rPr>
                <w:color w:val="000000"/>
                <w:lang w:val="en-IN"/>
              </w:rPr>
              <w:t xml:space="preserve">             11.81 </w:t>
            </w:r>
          </w:p>
        </w:tc>
      </w:tr>
      <w:tr w:rsidR="00C870A2" w:rsidRPr="00C870A2" w14:paraId="45E15FC1" w14:textId="77777777" w:rsidTr="00C870A2">
        <w:trPr>
          <w:trHeight w:val="324"/>
        </w:trPr>
        <w:tc>
          <w:tcPr>
            <w:tcW w:w="1477" w:type="pct"/>
            <w:tcBorders>
              <w:top w:val="nil"/>
              <w:left w:val="single" w:sz="8" w:space="0" w:color="auto"/>
              <w:bottom w:val="single" w:sz="8" w:space="0" w:color="auto"/>
              <w:right w:val="single" w:sz="4" w:space="0" w:color="auto"/>
            </w:tcBorders>
            <w:noWrap/>
            <w:vAlign w:val="center"/>
            <w:hideMark/>
          </w:tcPr>
          <w:p w14:paraId="56EA3FF6" w14:textId="77777777" w:rsidR="00C870A2" w:rsidRPr="00C870A2" w:rsidRDefault="00C870A2" w:rsidP="00C870A2">
            <w:pPr>
              <w:spacing w:after="0"/>
              <w:jc w:val="left"/>
              <w:rPr>
                <w:b/>
                <w:bCs/>
                <w:color w:val="000000"/>
                <w:lang w:val="en-IN"/>
              </w:rPr>
            </w:pPr>
            <w:r w:rsidRPr="00C870A2">
              <w:rPr>
                <w:b/>
                <w:bCs/>
                <w:color w:val="000000"/>
                <w:lang w:val="en-IN"/>
              </w:rPr>
              <w:t>Price/Earnings Ratio</w:t>
            </w:r>
          </w:p>
        </w:tc>
        <w:tc>
          <w:tcPr>
            <w:tcW w:w="684" w:type="pct"/>
            <w:tcBorders>
              <w:top w:val="nil"/>
              <w:left w:val="nil"/>
              <w:bottom w:val="single" w:sz="8" w:space="0" w:color="auto"/>
              <w:right w:val="single" w:sz="4" w:space="0" w:color="auto"/>
            </w:tcBorders>
            <w:noWrap/>
            <w:vAlign w:val="center"/>
            <w:hideMark/>
          </w:tcPr>
          <w:p w14:paraId="73A49EA0" w14:textId="77777777" w:rsidR="00C870A2" w:rsidRPr="00C870A2" w:rsidRDefault="00C870A2" w:rsidP="00C870A2">
            <w:pPr>
              <w:spacing w:after="0"/>
              <w:jc w:val="center"/>
              <w:rPr>
                <w:b/>
                <w:bCs/>
                <w:color w:val="000000"/>
                <w:lang w:val="en-IN"/>
              </w:rPr>
            </w:pPr>
            <w:r w:rsidRPr="00C870A2">
              <w:rPr>
                <w:b/>
                <w:bCs/>
                <w:color w:val="000000"/>
                <w:lang w:val="en-IN"/>
              </w:rPr>
              <w:t xml:space="preserve">               8.11 </w:t>
            </w:r>
          </w:p>
        </w:tc>
        <w:tc>
          <w:tcPr>
            <w:tcW w:w="684" w:type="pct"/>
            <w:tcBorders>
              <w:top w:val="nil"/>
              <w:left w:val="nil"/>
              <w:bottom w:val="single" w:sz="8" w:space="0" w:color="auto"/>
              <w:right w:val="single" w:sz="4" w:space="0" w:color="auto"/>
            </w:tcBorders>
            <w:noWrap/>
            <w:vAlign w:val="center"/>
            <w:hideMark/>
          </w:tcPr>
          <w:p w14:paraId="0D664D4D" w14:textId="77777777" w:rsidR="00C870A2" w:rsidRPr="00C870A2" w:rsidRDefault="00C870A2" w:rsidP="00C870A2">
            <w:pPr>
              <w:spacing w:after="0"/>
              <w:jc w:val="center"/>
              <w:rPr>
                <w:b/>
                <w:bCs/>
                <w:color w:val="000000"/>
                <w:lang w:val="en-IN"/>
              </w:rPr>
            </w:pPr>
            <w:r w:rsidRPr="00C870A2">
              <w:rPr>
                <w:b/>
                <w:bCs/>
                <w:color w:val="000000"/>
                <w:lang w:val="en-IN"/>
              </w:rPr>
              <w:t xml:space="preserve">             52.55 </w:t>
            </w:r>
          </w:p>
        </w:tc>
        <w:tc>
          <w:tcPr>
            <w:tcW w:w="684" w:type="pct"/>
            <w:tcBorders>
              <w:top w:val="nil"/>
              <w:left w:val="nil"/>
              <w:bottom w:val="single" w:sz="8" w:space="0" w:color="auto"/>
              <w:right w:val="single" w:sz="4" w:space="0" w:color="auto"/>
            </w:tcBorders>
            <w:noWrap/>
            <w:vAlign w:val="center"/>
            <w:hideMark/>
          </w:tcPr>
          <w:p w14:paraId="28B0291D" w14:textId="77777777" w:rsidR="00C870A2" w:rsidRPr="00C870A2" w:rsidRDefault="00C870A2" w:rsidP="00C870A2">
            <w:pPr>
              <w:spacing w:after="0"/>
              <w:jc w:val="center"/>
              <w:rPr>
                <w:b/>
                <w:bCs/>
                <w:color w:val="000000"/>
                <w:lang w:val="en-IN"/>
              </w:rPr>
            </w:pPr>
            <w:r w:rsidRPr="00C870A2">
              <w:rPr>
                <w:b/>
                <w:bCs/>
                <w:color w:val="000000"/>
                <w:lang w:val="en-IN"/>
              </w:rPr>
              <w:t xml:space="preserve">           704.31 </w:t>
            </w:r>
          </w:p>
        </w:tc>
        <w:tc>
          <w:tcPr>
            <w:tcW w:w="735" w:type="pct"/>
            <w:tcBorders>
              <w:top w:val="nil"/>
              <w:left w:val="nil"/>
              <w:bottom w:val="single" w:sz="8" w:space="0" w:color="auto"/>
              <w:right w:val="single" w:sz="4" w:space="0" w:color="auto"/>
            </w:tcBorders>
            <w:noWrap/>
            <w:vAlign w:val="center"/>
            <w:hideMark/>
          </w:tcPr>
          <w:p w14:paraId="09260279" w14:textId="77777777" w:rsidR="00C870A2" w:rsidRPr="00C870A2" w:rsidRDefault="00C870A2" w:rsidP="00C870A2">
            <w:pPr>
              <w:spacing w:after="0"/>
              <w:jc w:val="center"/>
              <w:rPr>
                <w:b/>
                <w:bCs/>
                <w:color w:val="000000"/>
                <w:lang w:val="en-IN"/>
              </w:rPr>
            </w:pPr>
            <w:r w:rsidRPr="00C870A2">
              <w:rPr>
                <w:b/>
                <w:bCs/>
                <w:color w:val="000000"/>
                <w:lang w:val="en-IN"/>
              </w:rPr>
              <w:t xml:space="preserve">              (1.82)</w:t>
            </w:r>
          </w:p>
        </w:tc>
        <w:tc>
          <w:tcPr>
            <w:tcW w:w="735" w:type="pct"/>
            <w:tcBorders>
              <w:top w:val="nil"/>
              <w:left w:val="nil"/>
              <w:bottom w:val="single" w:sz="8" w:space="0" w:color="auto"/>
              <w:right w:val="single" w:sz="8" w:space="0" w:color="auto"/>
            </w:tcBorders>
            <w:noWrap/>
            <w:vAlign w:val="center"/>
            <w:hideMark/>
          </w:tcPr>
          <w:p w14:paraId="123993A2" w14:textId="77777777" w:rsidR="00C870A2" w:rsidRPr="00C870A2" w:rsidRDefault="00C870A2" w:rsidP="00C870A2">
            <w:pPr>
              <w:spacing w:after="0"/>
              <w:jc w:val="center"/>
              <w:rPr>
                <w:b/>
                <w:bCs/>
                <w:color w:val="000000"/>
                <w:lang w:val="en-IN"/>
              </w:rPr>
            </w:pPr>
            <w:r w:rsidRPr="00C870A2">
              <w:rPr>
                <w:b/>
                <w:bCs/>
                <w:color w:val="000000"/>
                <w:lang w:val="en-IN"/>
              </w:rPr>
              <w:t xml:space="preserve">              (6.39)</w:t>
            </w:r>
          </w:p>
        </w:tc>
      </w:tr>
      <w:tr w:rsidR="00C870A2" w:rsidRPr="00C870A2" w14:paraId="182CE5EA" w14:textId="77777777" w:rsidTr="00C870A2">
        <w:trPr>
          <w:trHeight w:val="312"/>
        </w:trPr>
        <w:tc>
          <w:tcPr>
            <w:tcW w:w="1477" w:type="pct"/>
            <w:tcBorders>
              <w:top w:val="nil"/>
              <w:left w:val="nil"/>
              <w:bottom w:val="nil"/>
              <w:right w:val="nil"/>
            </w:tcBorders>
            <w:noWrap/>
            <w:vAlign w:val="center"/>
            <w:hideMark/>
          </w:tcPr>
          <w:p w14:paraId="722347E7" w14:textId="77777777" w:rsidR="00C870A2" w:rsidRPr="00C870A2" w:rsidRDefault="00C870A2" w:rsidP="00C870A2">
            <w:pPr>
              <w:spacing w:after="0"/>
              <w:jc w:val="center"/>
              <w:rPr>
                <w:b/>
                <w:bCs/>
                <w:color w:val="000000"/>
                <w:lang w:val="en-IN"/>
              </w:rPr>
            </w:pPr>
          </w:p>
        </w:tc>
        <w:tc>
          <w:tcPr>
            <w:tcW w:w="684" w:type="pct"/>
            <w:tcBorders>
              <w:top w:val="nil"/>
              <w:left w:val="nil"/>
              <w:bottom w:val="nil"/>
              <w:right w:val="nil"/>
            </w:tcBorders>
            <w:noWrap/>
            <w:vAlign w:val="center"/>
            <w:hideMark/>
          </w:tcPr>
          <w:p w14:paraId="4E8A4C1F" w14:textId="77777777" w:rsidR="00C870A2" w:rsidRPr="00C870A2" w:rsidRDefault="00C870A2" w:rsidP="00C870A2">
            <w:pPr>
              <w:spacing w:after="0"/>
              <w:jc w:val="center"/>
              <w:rPr>
                <w:sz w:val="20"/>
                <w:szCs w:val="20"/>
                <w:lang w:val="en-IN"/>
              </w:rPr>
            </w:pPr>
          </w:p>
        </w:tc>
        <w:tc>
          <w:tcPr>
            <w:tcW w:w="684" w:type="pct"/>
            <w:tcBorders>
              <w:top w:val="nil"/>
              <w:left w:val="nil"/>
              <w:bottom w:val="nil"/>
              <w:right w:val="nil"/>
            </w:tcBorders>
            <w:noWrap/>
            <w:vAlign w:val="center"/>
            <w:hideMark/>
          </w:tcPr>
          <w:p w14:paraId="2A972DFC" w14:textId="77777777" w:rsidR="00C870A2" w:rsidRPr="00C870A2" w:rsidRDefault="00C870A2" w:rsidP="00C870A2">
            <w:pPr>
              <w:spacing w:after="0"/>
              <w:jc w:val="center"/>
              <w:rPr>
                <w:sz w:val="20"/>
                <w:szCs w:val="20"/>
                <w:lang w:val="en-IN"/>
              </w:rPr>
            </w:pPr>
          </w:p>
        </w:tc>
        <w:tc>
          <w:tcPr>
            <w:tcW w:w="684" w:type="pct"/>
            <w:tcBorders>
              <w:top w:val="nil"/>
              <w:left w:val="nil"/>
              <w:bottom w:val="nil"/>
              <w:right w:val="nil"/>
            </w:tcBorders>
            <w:noWrap/>
            <w:vAlign w:val="center"/>
            <w:hideMark/>
          </w:tcPr>
          <w:p w14:paraId="04CBE588" w14:textId="77777777" w:rsidR="00C870A2" w:rsidRPr="00C870A2" w:rsidRDefault="00C870A2" w:rsidP="00C870A2">
            <w:pPr>
              <w:spacing w:after="0"/>
              <w:jc w:val="center"/>
              <w:rPr>
                <w:sz w:val="20"/>
                <w:szCs w:val="20"/>
                <w:lang w:val="en-IN"/>
              </w:rPr>
            </w:pPr>
          </w:p>
        </w:tc>
        <w:tc>
          <w:tcPr>
            <w:tcW w:w="735" w:type="pct"/>
            <w:tcBorders>
              <w:top w:val="nil"/>
              <w:left w:val="nil"/>
              <w:bottom w:val="nil"/>
              <w:right w:val="nil"/>
            </w:tcBorders>
            <w:noWrap/>
            <w:vAlign w:val="center"/>
            <w:hideMark/>
          </w:tcPr>
          <w:p w14:paraId="1D3142BD" w14:textId="77777777" w:rsidR="00C870A2" w:rsidRPr="00C870A2" w:rsidRDefault="00C870A2" w:rsidP="00C870A2">
            <w:pPr>
              <w:spacing w:after="0"/>
              <w:jc w:val="center"/>
              <w:rPr>
                <w:sz w:val="20"/>
                <w:szCs w:val="20"/>
                <w:lang w:val="en-IN"/>
              </w:rPr>
            </w:pPr>
          </w:p>
        </w:tc>
        <w:tc>
          <w:tcPr>
            <w:tcW w:w="735" w:type="pct"/>
            <w:tcBorders>
              <w:top w:val="nil"/>
              <w:left w:val="nil"/>
              <w:bottom w:val="nil"/>
              <w:right w:val="nil"/>
            </w:tcBorders>
            <w:noWrap/>
            <w:vAlign w:val="center"/>
            <w:hideMark/>
          </w:tcPr>
          <w:p w14:paraId="05DA0635" w14:textId="77777777" w:rsidR="00C870A2" w:rsidRPr="00C870A2" w:rsidRDefault="00C870A2" w:rsidP="00C870A2">
            <w:pPr>
              <w:spacing w:after="0"/>
              <w:jc w:val="center"/>
              <w:rPr>
                <w:sz w:val="20"/>
                <w:szCs w:val="20"/>
                <w:lang w:val="en-IN"/>
              </w:rPr>
            </w:pPr>
          </w:p>
        </w:tc>
      </w:tr>
      <w:tr w:rsidR="00C870A2" w:rsidRPr="00C870A2" w14:paraId="0F88F4B6" w14:textId="77777777" w:rsidTr="00C870A2">
        <w:trPr>
          <w:trHeight w:val="324"/>
        </w:trPr>
        <w:tc>
          <w:tcPr>
            <w:tcW w:w="5000" w:type="pct"/>
            <w:gridSpan w:val="6"/>
            <w:tcBorders>
              <w:top w:val="single" w:sz="8" w:space="0" w:color="auto"/>
              <w:left w:val="single" w:sz="8" w:space="0" w:color="auto"/>
              <w:bottom w:val="single" w:sz="8" w:space="0" w:color="auto"/>
              <w:right w:val="single" w:sz="8" w:space="0" w:color="000000"/>
            </w:tcBorders>
            <w:noWrap/>
            <w:vAlign w:val="center"/>
            <w:hideMark/>
          </w:tcPr>
          <w:p w14:paraId="0D7D0080" w14:textId="77777777" w:rsidR="00C870A2" w:rsidRPr="00C870A2" w:rsidRDefault="00C870A2" w:rsidP="00C870A2">
            <w:pPr>
              <w:spacing w:after="0"/>
              <w:jc w:val="center"/>
              <w:rPr>
                <w:b/>
                <w:bCs/>
                <w:color w:val="000000"/>
                <w:lang w:val="en-IN"/>
              </w:rPr>
            </w:pPr>
            <w:r w:rsidRPr="00C870A2">
              <w:rPr>
                <w:b/>
                <w:bCs/>
                <w:color w:val="000000"/>
                <w:lang w:val="en-IN"/>
              </w:rPr>
              <w:t>Investment Ratios</w:t>
            </w:r>
          </w:p>
        </w:tc>
      </w:tr>
      <w:tr w:rsidR="00C870A2" w:rsidRPr="00C870A2" w14:paraId="3235BBB1"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1420A52A" w14:textId="77777777" w:rsidR="00C870A2" w:rsidRPr="00C870A2" w:rsidRDefault="00C870A2" w:rsidP="00C870A2">
            <w:pPr>
              <w:spacing w:after="0"/>
              <w:jc w:val="center"/>
              <w:rPr>
                <w:b/>
                <w:bCs/>
                <w:color w:val="000000"/>
                <w:lang w:val="en-IN"/>
              </w:rPr>
            </w:pPr>
            <w:r w:rsidRPr="00C870A2">
              <w:rPr>
                <w:b/>
                <w:bCs/>
                <w:color w:val="000000"/>
                <w:lang w:val="en-IN"/>
              </w:rPr>
              <w:t>Particulars</w:t>
            </w:r>
          </w:p>
        </w:tc>
        <w:tc>
          <w:tcPr>
            <w:tcW w:w="684" w:type="pct"/>
            <w:tcBorders>
              <w:top w:val="nil"/>
              <w:left w:val="nil"/>
              <w:bottom w:val="single" w:sz="4" w:space="0" w:color="auto"/>
              <w:right w:val="single" w:sz="4" w:space="0" w:color="auto"/>
            </w:tcBorders>
            <w:noWrap/>
            <w:vAlign w:val="center"/>
            <w:hideMark/>
          </w:tcPr>
          <w:p w14:paraId="436CF4D4" w14:textId="77777777" w:rsidR="00C870A2" w:rsidRPr="00C870A2" w:rsidRDefault="00C870A2" w:rsidP="00C870A2">
            <w:pPr>
              <w:spacing w:after="0"/>
              <w:jc w:val="center"/>
              <w:rPr>
                <w:b/>
                <w:bCs/>
                <w:color w:val="000000"/>
                <w:lang w:val="en-IN"/>
              </w:rPr>
            </w:pPr>
            <w:r w:rsidRPr="00C870A2">
              <w:rPr>
                <w:b/>
                <w:bCs/>
                <w:color w:val="000000"/>
                <w:lang w:val="en-IN"/>
              </w:rPr>
              <w:t>2020</w:t>
            </w:r>
          </w:p>
        </w:tc>
        <w:tc>
          <w:tcPr>
            <w:tcW w:w="684" w:type="pct"/>
            <w:tcBorders>
              <w:top w:val="nil"/>
              <w:left w:val="nil"/>
              <w:bottom w:val="single" w:sz="4" w:space="0" w:color="auto"/>
              <w:right w:val="single" w:sz="4" w:space="0" w:color="auto"/>
            </w:tcBorders>
            <w:noWrap/>
            <w:vAlign w:val="center"/>
            <w:hideMark/>
          </w:tcPr>
          <w:p w14:paraId="45F9482D" w14:textId="77777777" w:rsidR="00C870A2" w:rsidRPr="00C870A2" w:rsidRDefault="00C870A2" w:rsidP="00C870A2">
            <w:pPr>
              <w:spacing w:after="0"/>
              <w:jc w:val="center"/>
              <w:rPr>
                <w:b/>
                <w:bCs/>
                <w:color w:val="000000"/>
                <w:lang w:val="en-IN"/>
              </w:rPr>
            </w:pPr>
            <w:r w:rsidRPr="00C870A2">
              <w:rPr>
                <w:b/>
                <w:bCs/>
                <w:color w:val="000000"/>
                <w:lang w:val="en-IN"/>
              </w:rPr>
              <w:t>2021</w:t>
            </w:r>
          </w:p>
        </w:tc>
        <w:tc>
          <w:tcPr>
            <w:tcW w:w="684" w:type="pct"/>
            <w:tcBorders>
              <w:top w:val="nil"/>
              <w:left w:val="nil"/>
              <w:bottom w:val="single" w:sz="4" w:space="0" w:color="auto"/>
              <w:right w:val="single" w:sz="4" w:space="0" w:color="auto"/>
            </w:tcBorders>
            <w:noWrap/>
            <w:vAlign w:val="center"/>
            <w:hideMark/>
          </w:tcPr>
          <w:p w14:paraId="0752B40D" w14:textId="77777777" w:rsidR="00C870A2" w:rsidRPr="00C870A2" w:rsidRDefault="00C870A2" w:rsidP="00C870A2">
            <w:pPr>
              <w:spacing w:after="0"/>
              <w:jc w:val="center"/>
              <w:rPr>
                <w:b/>
                <w:bCs/>
                <w:color w:val="000000"/>
                <w:lang w:val="en-IN"/>
              </w:rPr>
            </w:pPr>
            <w:r w:rsidRPr="00C870A2">
              <w:rPr>
                <w:b/>
                <w:bCs/>
                <w:color w:val="000000"/>
                <w:lang w:val="en-IN"/>
              </w:rPr>
              <w:t>2022</w:t>
            </w:r>
          </w:p>
        </w:tc>
        <w:tc>
          <w:tcPr>
            <w:tcW w:w="735" w:type="pct"/>
            <w:tcBorders>
              <w:top w:val="nil"/>
              <w:left w:val="nil"/>
              <w:bottom w:val="single" w:sz="4" w:space="0" w:color="auto"/>
              <w:right w:val="single" w:sz="4" w:space="0" w:color="auto"/>
            </w:tcBorders>
            <w:noWrap/>
            <w:vAlign w:val="center"/>
            <w:hideMark/>
          </w:tcPr>
          <w:p w14:paraId="0AD21810" w14:textId="77777777" w:rsidR="00C870A2" w:rsidRPr="00C870A2" w:rsidRDefault="00C870A2" w:rsidP="00C870A2">
            <w:pPr>
              <w:spacing w:after="0"/>
              <w:jc w:val="center"/>
              <w:rPr>
                <w:b/>
                <w:bCs/>
                <w:color w:val="000000"/>
                <w:lang w:val="en-IN"/>
              </w:rPr>
            </w:pPr>
            <w:r w:rsidRPr="00C870A2">
              <w:rPr>
                <w:b/>
                <w:bCs/>
                <w:color w:val="000000"/>
                <w:lang w:val="en-IN"/>
              </w:rPr>
              <w:t>2023</w:t>
            </w:r>
          </w:p>
        </w:tc>
        <w:tc>
          <w:tcPr>
            <w:tcW w:w="735" w:type="pct"/>
            <w:tcBorders>
              <w:top w:val="nil"/>
              <w:left w:val="nil"/>
              <w:bottom w:val="single" w:sz="4" w:space="0" w:color="auto"/>
              <w:right w:val="single" w:sz="8" w:space="0" w:color="auto"/>
            </w:tcBorders>
            <w:noWrap/>
            <w:vAlign w:val="center"/>
            <w:hideMark/>
          </w:tcPr>
          <w:p w14:paraId="38F1E046" w14:textId="77777777" w:rsidR="00C870A2" w:rsidRPr="00C870A2" w:rsidRDefault="00C870A2" w:rsidP="00C870A2">
            <w:pPr>
              <w:spacing w:after="0"/>
              <w:jc w:val="center"/>
              <w:rPr>
                <w:b/>
                <w:bCs/>
                <w:color w:val="000000"/>
                <w:lang w:val="en-IN"/>
              </w:rPr>
            </w:pPr>
            <w:r w:rsidRPr="00C870A2">
              <w:rPr>
                <w:b/>
                <w:bCs/>
                <w:color w:val="000000"/>
                <w:lang w:val="en-IN"/>
              </w:rPr>
              <w:t>2024</w:t>
            </w:r>
          </w:p>
        </w:tc>
      </w:tr>
      <w:tr w:rsidR="00C870A2" w:rsidRPr="00C870A2" w14:paraId="08035B88"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526E3C1B" w14:textId="77777777" w:rsidR="00C870A2" w:rsidRPr="00C870A2" w:rsidRDefault="00C870A2" w:rsidP="00C870A2">
            <w:pPr>
              <w:spacing w:after="0"/>
              <w:jc w:val="left"/>
              <w:rPr>
                <w:color w:val="000000"/>
                <w:lang w:val="en-IN"/>
              </w:rPr>
            </w:pPr>
            <w:r w:rsidRPr="00C870A2">
              <w:rPr>
                <w:color w:val="000000"/>
                <w:lang w:val="en-IN"/>
              </w:rPr>
              <w:t>EBIT</w:t>
            </w:r>
          </w:p>
        </w:tc>
        <w:tc>
          <w:tcPr>
            <w:tcW w:w="684" w:type="pct"/>
            <w:tcBorders>
              <w:top w:val="nil"/>
              <w:left w:val="nil"/>
              <w:bottom w:val="single" w:sz="4" w:space="0" w:color="auto"/>
              <w:right w:val="single" w:sz="4" w:space="0" w:color="auto"/>
            </w:tcBorders>
            <w:noWrap/>
            <w:vAlign w:val="center"/>
            <w:hideMark/>
          </w:tcPr>
          <w:p w14:paraId="6A04CA99" w14:textId="77777777" w:rsidR="00C870A2" w:rsidRPr="00C870A2" w:rsidRDefault="00C870A2" w:rsidP="00C870A2">
            <w:pPr>
              <w:spacing w:after="0"/>
              <w:jc w:val="right"/>
              <w:rPr>
                <w:color w:val="000000"/>
                <w:lang w:val="en-IN"/>
              </w:rPr>
            </w:pPr>
            <w:r w:rsidRPr="00C870A2">
              <w:rPr>
                <w:color w:val="000000"/>
                <w:lang w:val="en-IN"/>
              </w:rPr>
              <w:t>43,905</w:t>
            </w:r>
          </w:p>
        </w:tc>
        <w:tc>
          <w:tcPr>
            <w:tcW w:w="684" w:type="pct"/>
            <w:tcBorders>
              <w:top w:val="nil"/>
              <w:left w:val="nil"/>
              <w:bottom w:val="single" w:sz="4" w:space="0" w:color="auto"/>
              <w:right w:val="single" w:sz="4" w:space="0" w:color="auto"/>
            </w:tcBorders>
            <w:noWrap/>
            <w:vAlign w:val="center"/>
            <w:hideMark/>
          </w:tcPr>
          <w:p w14:paraId="54DD33E9" w14:textId="77777777" w:rsidR="00C870A2" w:rsidRPr="00C870A2" w:rsidRDefault="00C870A2" w:rsidP="00C870A2">
            <w:pPr>
              <w:spacing w:after="0"/>
              <w:jc w:val="right"/>
              <w:rPr>
                <w:color w:val="000000"/>
                <w:lang w:val="en-IN"/>
              </w:rPr>
            </w:pPr>
            <w:r w:rsidRPr="00C870A2">
              <w:rPr>
                <w:color w:val="000000"/>
                <w:lang w:val="en-IN"/>
              </w:rPr>
              <w:t>16,080</w:t>
            </w:r>
          </w:p>
        </w:tc>
        <w:tc>
          <w:tcPr>
            <w:tcW w:w="684" w:type="pct"/>
            <w:tcBorders>
              <w:top w:val="nil"/>
              <w:left w:val="nil"/>
              <w:bottom w:val="single" w:sz="4" w:space="0" w:color="auto"/>
              <w:right w:val="single" w:sz="4" w:space="0" w:color="auto"/>
            </w:tcBorders>
            <w:noWrap/>
            <w:vAlign w:val="center"/>
            <w:hideMark/>
          </w:tcPr>
          <w:p w14:paraId="451D53CD" w14:textId="77777777" w:rsidR="00C870A2" w:rsidRPr="00C870A2" w:rsidRDefault="00C870A2" w:rsidP="00C870A2">
            <w:pPr>
              <w:spacing w:after="0"/>
              <w:jc w:val="right"/>
              <w:rPr>
                <w:color w:val="000000"/>
                <w:lang w:val="en-IN"/>
              </w:rPr>
            </w:pPr>
            <w:r w:rsidRPr="00C870A2">
              <w:rPr>
                <w:color w:val="000000"/>
                <w:lang w:val="en-IN"/>
              </w:rPr>
              <w:t>11,393</w:t>
            </w:r>
          </w:p>
        </w:tc>
        <w:tc>
          <w:tcPr>
            <w:tcW w:w="735" w:type="pct"/>
            <w:tcBorders>
              <w:top w:val="nil"/>
              <w:left w:val="nil"/>
              <w:bottom w:val="single" w:sz="4" w:space="0" w:color="auto"/>
              <w:right w:val="single" w:sz="4" w:space="0" w:color="auto"/>
            </w:tcBorders>
            <w:noWrap/>
            <w:vAlign w:val="center"/>
            <w:hideMark/>
          </w:tcPr>
          <w:p w14:paraId="1124B75E" w14:textId="77777777" w:rsidR="00C870A2" w:rsidRPr="00C870A2" w:rsidRDefault="00C870A2" w:rsidP="00C870A2">
            <w:pPr>
              <w:spacing w:after="0"/>
              <w:jc w:val="right"/>
              <w:rPr>
                <w:color w:val="000000"/>
                <w:lang w:val="en-IN"/>
              </w:rPr>
            </w:pPr>
            <w:r w:rsidRPr="00C870A2">
              <w:rPr>
                <w:color w:val="000000"/>
                <w:lang w:val="en-IN"/>
              </w:rPr>
              <w:t>-92,254</w:t>
            </w:r>
          </w:p>
        </w:tc>
        <w:tc>
          <w:tcPr>
            <w:tcW w:w="735" w:type="pct"/>
            <w:tcBorders>
              <w:top w:val="nil"/>
              <w:left w:val="nil"/>
              <w:bottom w:val="single" w:sz="4" w:space="0" w:color="auto"/>
              <w:right w:val="single" w:sz="8" w:space="0" w:color="auto"/>
            </w:tcBorders>
            <w:noWrap/>
            <w:vAlign w:val="center"/>
            <w:hideMark/>
          </w:tcPr>
          <w:p w14:paraId="489B4719" w14:textId="77777777" w:rsidR="00C870A2" w:rsidRPr="00C870A2" w:rsidRDefault="00C870A2" w:rsidP="00C870A2">
            <w:pPr>
              <w:spacing w:after="0"/>
              <w:jc w:val="right"/>
              <w:rPr>
                <w:color w:val="000000"/>
                <w:lang w:val="en-IN"/>
              </w:rPr>
            </w:pPr>
            <w:r w:rsidRPr="00C870A2">
              <w:rPr>
                <w:color w:val="000000"/>
                <w:lang w:val="en-IN"/>
              </w:rPr>
              <w:t>-18,598</w:t>
            </w:r>
          </w:p>
        </w:tc>
      </w:tr>
      <w:tr w:rsidR="00C870A2" w:rsidRPr="00C870A2" w14:paraId="79318C73"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03DB34E5" w14:textId="77777777" w:rsidR="00C870A2" w:rsidRPr="00C870A2" w:rsidRDefault="00C870A2" w:rsidP="00C870A2">
            <w:pPr>
              <w:spacing w:after="0"/>
              <w:jc w:val="left"/>
              <w:rPr>
                <w:color w:val="000000"/>
                <w:lang w:val="en-IN"/>
              </w:rPr>
            </w:pPr>
            <w:r w:rsidRPr="00C870A2">
              <w:rPr>
                <w:color w:val="000000"/>
                <w:lang w:val="en-IN"/>
              </w:rPr>
              <w:t>Total Assets (£m)</w:t>
            </w:r>
          </w:p>
        </w:tc>
        <w:tc>
          <w:tcPr>
            <w:tcW w:w="684" w:type="pct"/>
            <w:tcBorders>
              <w:top w:val="nil"/>
              <w:left w:val="nil"/>
              <w:bottom w:val="single" w:sz="4" w:space="0" w:color="auto"/>
              <w:right w:val="single" w:sz="4" w:space="0" w:color="auto"/>
            </w:tcBorders>
            <w:noWrap/>
            <w:vAlign w:val="bottom"/>
            <w:hideMark/>
          </w:tcPr>
          <w:p w14:paraId="0B88E96C" w14:textId="77777777" w:rsidR="00C870A2" w:rsidRPr="00C870A2" w:rsidRDefault="00C870A2" w:rsidP="00C870A2">
            <w:pPr>
              <w:spacing w:after="0"/>
              <w:jc w:val="right"/>
              <w:rPr>
                <w:color w:val="000000"/>
                <w:lang w:val="en-IN"/>
              </w:rPr>
            </w:pPr>
            <w:r w:rsidRPr="00C870A2">
              <w:rPr>
                <w:color w:val="000000"/>
                <w:lang w:val="en-IN"/>
              </w:rPr>
              <w:t>5,10,290</w:t>
            </w:r>
          </w:p>
        </w:tc>
        <w:tc>
          <w:tcPr>
            <w:tcW w:w="684" w:type="pct"/>
            <w:tcBorders>
              <w:top w:val="nil"/>
              <w:left w:val="nil"/>
              <w:bottom w:val="single" w:sz="4" w:space="0" w:color="auto"/>
              <w:right w:val="single" w:sz="4" w:space="0" w:color="auto"/>
            </w:tcBorders>
            <w:noWrap/>
            <w:vAlign w:val="bottom"/>
            <w:hideMark/>
          </w:tcPr>
          <w:p w14:paraId="1E6F7881" w14:textId="77777777" w:rsidR="00C870A2" w:rsidRPr="00C870A2" w:rsidRDefault="00C870A2" w:rsidP="00C870A2">
            <w:pPr>
              <w:spacing w:after="0"/>
              <w:jc w:val="right"/>
              <w:rPr>
                <w:color w:val="000000"/>
                <w:lang w:val="en-IN"/>
              </w:rPr>
            </w:pPr>
            <w:r w:rsidRPr="00C870A2">
              <w:rPr>
                <w:color w:val="000000"/>
                <w:lang w:val="en-IN"/>
              </w:rPr>
              <w:t>5,10,348</w:t>
            </w:r>
          </w:p>
        </w:tc>
        <w:tc>
          <w:tcPr>
            <w:tcW w:w="684" w:type="pct"/>
            <w:tcBorders>
              <w:top w:val="nil"/>
              <w:left w:val="nil"/>
              <w:bottom w:val="single" w:sz="4" w:space="0" w:color="auto"/>
              <w:right w:val="single" w:sz="4" w:space="0" w:color="auto"/>
            </w:tcBorders>
            <w:noWrap/>
            <w:vAlign w:val="bottom"/>
            <w:hideMark/>
          </w:tcPr>
          <w:p w14:paraId="356E9D0B" w14:textId="77777777" w:rsidR="00C870A2" w:rsidRPr="00C870A2" w:rsidRDefault="00C870A2" w:rsidP="00C870A2">
            <w:pPr>
              <w:spacing w:after="0"/>
              <w:jc w:val="right"/>
              <w:rPr>
                <w:color w:val="000000"/>
                <w:lang w:val="en-IN"/>
              </w:rPr>
            </w:pPr>
            <w:r w:rsidRPr="00C870A2">
              <w:rPr>
                <w:color w:val="000000"/>
                <w:lang w:val="en-IN"/>
              </w:rPr>
              <w:t>5,04,163</w:t>
            </w:r>
          </w:p>
        </w:tc>
        <w:tc>
          <w:tcPr>
            <w:tcW w:w="735" w:type="pct"/>
            <w:tcBorders>
              <w:top w:val="nil"/>
              <w:left w:val="nil"/>
              <w:bottom w:val="single" w:sz="4" w:space="0" w:color="auto"/>
              <w:right w:val="single" w:sz="4" w:space="0" w:color="auto"/>
            </w:tcBorders>
            <w:noWrap/>
            <w:vAlign w:val="bottom"/>
            <w:hideMark/>
          </w:tcPr>
          <w:p w14:paraId="6F8B80F7" w14:textId="77777777" w:rsidR="00C870A2" w:rsidRPr="00C870A2" w:rsidRDefault="00C870A2" w:rsidP="00C870A2">
            <w:pPr>
              <w:spacing w:after="0"/>
              <w:jc w:val="right"/>
              <w:rPr>
                <w:color w:val="000000"/>
                <w:lang w:val="en-IN"/>
              </w:rPr>
            </w:pPr>
            <w:r w:rsidRPr="00C870A2">
              <w:rPr>
                <w:color w:val="000000"/>
                <w:lang w:val="en-IN"/>
              </w:rPr>
              <w:t>3,55,872</w:t>
            </w:r>
          </w:p>
        </w:tc>
        <w:tc>
          <w:tcPr>
            <w:tcW w:w="735" w:type="pct"/>
            <w:tcBorders>
              <w:top w:val="nil"/>
              <w:left w:val="nil"/>
              <w:bottom w:val="single" w:sz="4" w:space="0" w:color="auto"/>
              <w:right w:val="single" w:sz="8" w:space="0" w:color="auto"/>
            </w:tcBorders>
            <w:noWrap/>
            <w:vAlign w:val="bottom"/>
            <w:hideMark/>
          </w:tcPr>
          <w:p w14:paraId="55DF78FE" w14:textId="77777777" w:rsidR="00C870A2" w:rsidRPr="00C870A2" w:rsidRDefault="00C870A2" w:rsidP="00C870A2">
            <w:pPr>
              <w:spacing w:after="0"/>
              <w:jc w:val="right"/>
              <w:rPr>
                <w:color w:val="000000"/>
                <w:lang w:val="en-IN"/>
              </w:rPr>
            </w:pPr>
            <w:r w:rsidRPr="00C870A2">
              <w:rPr>
                <w:color w:val="000000"/>
                <w:lang w:val="en-IN"/>
              </w:rPr>
              <w:t>3,23,354</w:t>
            </w:r>
          </w:p>
        </w:tc>
      </w:tr>
      <w:tr w:rsidR="00C870A2" w:rsidRPr="00C870A2" w14:paraId="42BADB8B"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7CE6125B" w14:textId="77777777" w:rsidR="00C870A2" w:rsidRPr="00C870A2" w:rsidRDefault="00C870A2" w:rsidP="00C870A2">
            <w:pPr>
              <w:spacing w:after="0"/>
              <w:jc w:val="left"/>
              <w:rPr>
                <w:color w:val="000000"/>
                <w:lang w:val="en-IN"/>
              </w:rPr>
            </w:pPr>
            <w:r w:rsidRPr="00C870A2">
              <w:rPr>
                <w:color w:val="000000"/>
                <w:lang w:val="en-IN"/>
              </w:rPr>
              <w:t>Total Equity (£m)</w:t>
            </w:r>
          </w:p>
        </w:tc>
        <w:tc>
          <w:tcPr>
            <w:tcW w:w="684" w:type="pct"/>
            <w:tcBorders>
              <w:top w:val="nil"/>
              <w:left w:val="nil"/>
              <w:bottom w:val="single" w:sz="4" w:space="0" w:color="auto"/>
              <w:right w:val="single" w:sz="4" w:space="0" w:color="auto"/>
            </w:tcBorders>
            <w:noWrap/>
            <w:vAlign w:val="bottom"/>
            <w:hideMark/>
          </w:tcPr>
          <w:p w14:paraId="215B338F" w14:textId="77777777" w:rsidR="00C870A2" w:rsidRPr="00C870A2" w:rsidRDefault="00C870A2" w:rsidP="00C870A2">
            <w:pPr>
              <w:spacing w:after="0"/>
              <w:jc w:val="right"/>
              <w:rPr>
                <w:color w:val="000000"/>
                <w:lang w:val="en-IN"/>
              </w:rPr>
            </w:pPr>
            <w:r w:rsidRPr="00C870A2">
              <w:rPr>
                <w:color w:val="000000"/>
                <w:lang w:val="en-IN"/>
              </w:rPr>
              <w:t>3,13,301</w:t>
            </w:r>
          </w:p>
        </w:tc>
        <w:tc>
          <w:tcPr>
            <w:tcW w:w="684" w:type="pct"/>
            <w:tcBorders>
              <w:top w:val="nil"/>
              <w:left w:val="nil"/>
              <w:bottom w:val="single" w:sz="4" w:space="0" w:color="auto"/>
              <w:right w:val="single" w:sz="4" w:space="0" w:color="auto"/>
            </w:tcBorders>
            <w:noWrap/>
            <w:vAlign w:val="bottom"/>
            <w:hideMark/>
          </w:tcPr>
          <w:p w14:paraId="42D5AA39" w14:textId="77777777" w:rsidR="00C870A2" w:rsidRPr="00C870A2" w:rsidRDefault="00C870A2" w:rsidP="00C870A2">
            <w:pPr>
              <w:spacing w:after="0"/>
              <w:jc w:val="right"/>
              <w:rPr>
                <w:color w:val="000000"/>
                <w:lang w:val="en-IN"/>
              </w:rPr>
            </w:pPr>
            <w:r w:rsidRPr="00C870A2">
              <w:rPr>
                <w:color w:val="000000"/>
                <w:lang w:val="en-IN"/>
              </w:rPr>
              <w:t>2,75,949</w:t>
            </w:r>
          </w:p>
        </w:tc>
        <w:tc>
          <w:tcPr>
            <w:tcW w:w="684" w:type="pct"/>
            <w:tcBorders>
              <w:top w:val="nil"/>
              <w:left w:val="nil"/>
              <w:bottom w:val="single" w:sz="4" w:space="0" w:color="auto"/>
              <w:right w:val="single" w:sz="4" w:space="0" w:color="auto"/>
            </w:tcBorders>
            <w:noWrap/>
            <w:vAlign w:val="bottom"/>
            <w:hideMark/>
          </w:tcPr>
          <w:p w14:paraId="19F02C2B" w14:textId="77777777" w:rsidR="00C870A2" w:rsidRPr="00C870A2" w:rsidRDefault="00C870A2" w:rsidP="00C870A2">
            <w:pPr>
              <w:spacing w:after="0"/>
              <w:jc w:val="right"/>
              <w:rPr>
                <w:color w:val="000000"/>
                <w:lang w:val="en-IN"/>
              </w:rPr>
            </w:pPr>
            <w:r w:rsidRPr="00C870A2">
              <w:rPr>
                <w:color w:val="000000"/>
                <w:lang w:val="en-IN"/>
              </w:rPr>
              <w:t>2,68,406</w:t>
            </w:r>
          </w:p>
        </w:tc>
        <w:tc>
          <w:tcPr>
            <w:tcW w:w="735" w:type="pct"/>
            <w:tcBorders>
              <w:top w:val="nil"/>
              <w:left w:val="nil"/>
              <w:bottom w:val="single" w:sz="4" w:space="0" w:color="auto"/>
              <w:right w:val="single" w:sz="4" w:space="0" w:color="auto"/>
            </w:tcBorders>
            <w:noWrap/>
            <w:vAlign w:val="bottom"/>
            <w:hideMark/>
          </w:tcPr>
          <w:p w14:paraId="2DDB30D5" w14:textId="77777777" w:rsidR="00C870A2" w:rsidRPr="00C870A2" w:rsidRDefault="00C870A2" w:rsidP="00C870A2">
            <w:pPr>
              <w:spacing w:after="0"/>
              <w:jc w:val="right"/>
              <w:rPr>
                <w:color w:val="000000"/>
                <w:lang w:val="en-IN"/>
              </w:rPr>
            </w:pPr>
            <w:r w:rsidRPr="00C870A2">
              <w:rPr>
                <w:color w:val="000000"/>
                <w:lang w:val="en-IN"/>
              </w:rPr>
              <w:t>1,78,920</w:t>
            </w:r>
          </w:p>
        </w:tc>
        <w:tc>
          <w:tcPr>
            <w:tcW w:w="735" w:type="pct"/>
            <w:tcBorders>
              <w:top w:val="nil"/>
              <w:left w:val="nil"/>
              <w:bottom w:val="single" w:sz="4" w:space="0" w:color="auto"/>
              <w:right w:val="single" w:sz="8" w:space="0" w:color="auto"/>
            </w:tcBorders>
            <w:noWrap/>
            <w:vAlign w:val="bottom"/>
            <w:hideMark/>
          </w:tcPr>
          <w:p w14:paraId="4CED3298" w14:textId="77777777" w:rsidR="00C870A2" w:rsidRPr="00C870A2" w:rsidRDefault="00C870A2" w:rsidP="00C870A2">
            <w:pPr>
              <w:spacing w:after="0"/>
              <w:jc w:val="right"/>
              <w:rPr>
                <w:color w:val="000000"/>
                <w:lang w:val="en-IN"/>
              </w:rPr>
            </w:pPr>
            <w:r w:rsidRPr="00C870A2">
              <w:rPr>
                <w:color w:val="000000"/>
                <w:lang w:val="en-IN"/>
              </w:rPr>
              <w:t>1,53,105</w:t>
            </w:r>
          </w:p>
        </w:tc>
      </w:tr>
      <w:tr w:rsidR="00C870A2" w:rsidRPr="00C870A2" w14:paraId="562B7B9C"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158533AC" w14:textId="77777777" w:rsidR="00C870A2" w:rsidRPr="00C870A2" w:rsidRDefault="00C870A2" w:rsidP="00C870A2">
            <w:pPr>
              <w:spacing w:after="0"/>
              <w:jc w:val="left"/>
              <w:rPr>
                <w:color w:val="000000"/>
                <w:lang w:val="en-IN"/>
              </w:rPr>
            </w:pPr>
            <w:r w:rsidRPr="00C870A2">
              <w:rPr>
                <w:color w:val="000000"/>
                <w:lang w:val="en-IN"/>
              </w:rPr>
              <w:t>Net Income (£m)</w:t>
            </w:r>
          </w:p>
        </w:tc>
        <w:tc>
          <w:tcPr>
            <w:tcW w:w="684" w:type="pct"/>
            <w:tcBorders>
              <w:top w:val="nil"/>
              <w:left w:val="nil"/>
              <w:bottom w:val="single" w:sz="4" w:space="0" w:color="auto"/>
              <w:right w:val="single" w:sz="4" w:space="0" w:color="auto"/>
            </w:tcBorders>
            <w:noWrap/>
            <w:vAlign w:val="center"/>
            <w:hideMark/>
          </w:tcPr>
          <w:p w14:paraId="321C0E99" w14:textId="77777777" w:rsidR="00C870A2" w:rsidRPr="00C870A2" w:rsidRDefault="00C870A2" w:rsidP="00C870A2">
            <w:pPr>
              <w:spacing w:after="0"/>
              <w:jc w:val="right"/>
              <w:rPr>
                <w:color w:val="000000"/>
                <w:lang w:val="en-IN"/>
              </w:rPr>
            </w:pPr>
            <w:r w:rsidRPr="00C870A2">
              <w:rPr>
                <w:color w:val="000000"/>
                <w:lang w:val="en-IN"/>
              </w:rPr>
              <w:t>38,572</w:t>
            </w:r>
          </w:p>
        </w:tc>
        <w:tc>
          <w:tcPr>
            <w:tcW w:w="684" w:type="pct"/>
            <w:tcBorders>
              <w:top w:val="nil"/>
              <w:left w:val="nil"/>
              <w:bottom w:val="single" w:sz="4" w:space="0" w:color="auto"/>
              <w:right w:val="single" w:sz="4" w:space="0" w:color="auto"/>
            </w:tcBorders>
            <w:noWrap/>
            <w:vAlign w:val="center"/>
            <w:hideMark/>
          </w:tcPr>
          <w:p w14:paraId="7968D780" w14:textId="77777777" w:rsidR="00C870A2" w:rsidRPr="00C870A2" w:rsidRDefault="00C870A2" w:rsidP="00C870A2">
            <w:pPr>
              <w:spacing w:after="0"/>
              <w:jc w:val="right"/>
              <w:rPr>
                <w:color w:val="000000"/>
                <w:lang w:val="en-IN"/>
              </w:rPr>
            </w:pPr>
            <w:r w:rsidRPr="00C870A2">
              <w:rPr>
                <w:color w:val="000000"/>
                <w:lang w:val="en-IN"/>
              </w:rPr>
              <w:t>5,301</w:t>
            </w:r>
          </w:p>
        </w:tc>
        <w:tc>
          <w:tcPr>
            <w:tcW w:w="684" w:type="pct"/>
            <w:tcBorders>
              <w:top w:val="nil"/>
              <w:left w:val="nil"/>
              <w:bottom w:val="single" w:sz="4" w:space="0" w:color="auto"/>
              <w:right w:val="single" w:sz="4" w:space="0" w:color="auto"/>
            </w:tcBorders>
            <w:noWrap/>
            <w:vAlign w:val="center"/>
            <w:hideMark/>
          </w:tcPr>
          <w:p w14:paraId="4620341F" w14:textId="77777777" w:rsidR="00C870A2" w:rsidRPr="00C870A2" w:rsidRDefault="00C870A2" w:rsidP="00C870A2">
            <w:pPr>
              <w:spacing w:after="0"/>
              <w:jc w:val="right"/>
              <w:rPr>
                <w:color w:val="000000"/>
                <w:lang w:val="en-IN"/>
              </w:rPr>
            </w:pPr>
            <w:r w:rsidRPr="00C870A2">
              <w:rPr>
                <w:color w:val="000000"/>
                <w:lang w:val="en-IN"/>
              </w:rPr>
              <w:t>407</w:t>
            </w:r>
          </w:p>
        </w:tc>
        <w:tc>
          <w:tcPr>
            <w:tcW w:w="735" w:type="pct"/>
            <w:tcBorders>
              <w:top w:val="nil"/>
              <w:left w:val="nil"/>
              <w:bottom w:val="single" w:sz="4" w:space="0" w:color="auto"/>
              <w:right w:val="single" w:sz="4" w:space="0" w:color="auto"/>
            </w:tcBorders>
            <w:noWrap/>
            <w:vAlign w:val="center"/>
            <w:hideMark/>
          </w:tcPr>
          <w:p w14:paraId="5C7C7562" w14:textId="77777777" w:rsidR="00C870A2" w:rsidRPr="00C870A2" w:rsidRDefault="00C870A2" w:rsidP="00C870A2">
            <w:pPr>
              <w:spacing w:after="0"/>
              <w:jc w:val="right"/>
              <w:rPr>
                <w:color w:val="000000"/>
                <w:lang w:val="en-IN"/>
              </w:rPr>
            </w:pPr>
            <w:r w:rsidRPr="00C870A2">
              <w:rPr>
                <w:color w:val="000000"/>
                <w:lang w:val="en-IN"/>
              </w:rPr>
              <w:t>-98,238</w:t>
            </w:r>
          </w:p>
        </w:tc>
        <w:tc>
          <w:tcPr>
            <w:tcW w:w="735" w:type="pct"/>
            <w:tcBorders>
              <w:top w:val="nil"/>
              <w:left w:val="nil"/>
              <w:bottom w:val="single" w:sz="4" w:space="0" w:color="auto"/>
              <w:right w:val="single" w:sz="8" w:space="0" w:color="auto"/>
            </w:tcBorders>
            <w:noWrap/>
            <w:vAlign w:val="center"/>
            <w:hideMark/>
          </w:tcPr>
          <w:p w14:paraId="2DB00E90" w14:textId="77777777" w:rsidR="00C870A2" w:rsidRPr="00C870A2" w:rsidRDefault="00C870A2" w:rsidP="00C870A2">
            <w:pPr>
              <w:spacing w:after="0"/>
              <w:jc w:val="right"/>
              <w:rPr>
                <w:color w:val="000000"/>
                <w:lang w:val="en-IN"/>
              </w:rPr>
            </w:pPr>
            <w:r w:rsidRPr="00C870A2">
              <w:rPr>
                <w:color w:val="000000"/>
                <w:lang w:val="en-IN"/>
              </w:rPr>
              <w:t>-24,029</w:t>
            </w:r>
          </w:p>
        </w:tc>
      </w:tr>
      <w:tr w:rsidR="00C870A2" w:rsidRPr="00C870A2" w14:paraId="3ECF0C5F"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5D31EC95" w14:textId="77777777" w:rsidR="00C870A2" w:rsidRPr="00C870A2" w:rsidRDefault="00C870A2" w:rsidP="00C870A2">
            <w:pPr>
              <w:spacing w:after="0"/>
              <w:jc w:val="left"/>
              <w:rPr>
                <w:b/>
                <w:bCs/>
                <w:color w:val="000000"/>
                <w:lang w:val="en-IN"/>
              </w:rPr>
            </w:pPr>
            <w:r w:rsidRPr="00C870A2">
              <w:rPr>
                <w:b/>
                <w:bCs/>
                <w:color w:val="000000"/>
                <w:lang w:val="en-IN"/>
              </w:rPr>
              <w:t xml:space="preserve">Return On </w:t>
            </w:r>
            <w:proofErr w:type="spellStart"/>
            <w:r w:rsidRPr="00C870A2">
              <w:rPr>
                <w:b/>
                <w:bCs/>
                <w:color w:val="000000"/>
                <w:lang w:val="en-IN"/>
              </w:rPr>
              <w:t>Assest</w:t>
            </w:r>
            <w:proofErr w:type="spellEnd"/>
            <w:r w:rsidRPr="00C870A2">
              <w:rPr>
                <w:b/>
                <w:bCs/>
                <w:color w:val="000000"/>
                <w:lang w:val="en-IN"/>
              </w:rPr>
              <w:t xml:space="preserve"> (ROA)</w:t>
            </w:r>
          </w:p>
        </w:tc>
        <w:tc>
          <w:tcPr>
            <w:tcW w:w="684" w:type="pct"/>
            <w:tcBorders>
              <w:top w:val="nil"/>
              <w:left w:val="nil"/>
              <w:bottom w:val="single" w:sz="4" w:space="0" w:color="auto"/>
              <w:right w:val="single" w:sz="4" w:space="0" w:color="auto"/>
            </w:tcBorders>
            <w:noWrap/>
            <w:vAlign w:val="center"/>
            <w:hideMark/>
          </w:tcPr>
          <w:p w14:paraId="5F4DF2F5" w14:textId="77777777" w:rsidR="00C870A2" w:rsidRPr="00C870A2" w:rsidRDefault="00C870A2" w:rsidP="00C870A2">
            <w:pPr>
              <w:spacing w:after="0"/>
              <w:jc w:val="center"/>
              <w:rPr>
                <w:b/>
                <w:bCs/>
                <w:color w:val="000000"/>
                <w:lang w:val="en-IN"/>
              </w:rPr>
            </w:pPr>
            <w:r w:rsidRPr="00C870A2">
              <w:rPr>
                <w:b/>
                <w:bCs/>
                <w:color w:val="000000"/>
                <w:lang w:val="en-IN"/>
              </w:rPr>
              <w:t xml:space="preserve">               0.09 </w:t>
            </w:r>
          </w:p>
        </w:tc>
        <w:tc>
          <w:tcPr>
            <w:tcW w:w="684" w:type="pct"/>
            <w:tcBorders>
              <w:top w:val="nil"/>
              <w:left w:val="nil"/>
              <w:bottom w:val="single" w:sz="4" w:space="0" w:color="auto"/>
              <w:right w:val="single" w:sz="4" w:space="0" w:color="auto"/>
            </w:tcBorders>
            <w:noWrap/>
            <w:vAlign w:val="center"/>
            <w:hideMark/>
          </w:tcPr>
          <w:p w14:paraId="4C6E913F" w14:textId="77777777" w:rsidR="00C870A2" w:rsidRPr="00C870A2" w:rsidRDefault="00C870A2" w:rsidP="00C870A2">
            <w:pPr>
              <w:spacing w:after="0"/>
              <w:jc w:val="center"/>
              <w:rPr>
                <w:b/>
                <w:bCs/>
                <w:color w:val="000000"/>
                <w:lang w:val="en-IN"/>
              </w:rPr>
            </w:pPr>
            <w:r w:rsidRPr="00C870A2">
              <w:rPr>
                <w:b/>
                <w:bCs/>
                <w:color w:val="000000"/>
                <w:lang w:val="en-IN"/>
              </w:rPr>
              <w:t xml:space="preserve">               0.03 </w:t>
            </w:r>
          </w:p>
        </w:tc>
        <w:tc>
          <w:tcPr>
            <w:tcW w:w="684" w:type="pct"/>
            <w:tcBorders>
              <w:top w:val="nil"/>
              <w:left w:val="nil"/>
              <w:bottom w:val="single" w:sz="4" w:space="0" w:color="auto"/>
              <w:right w:val="single" w:sz="4" w:space="0" w:color="auto"/>
            </w:tcBorders>
            <w:noWrap/>
            <w:vAlign w:val="center"/>
            <w:hideMark/>
          </w:tcPr>
          <w:p w14:paraId="48C6FB79" w14:textId="77777777" w:rsidR="00C870A2" w:rsidRPr="00C870A2" w:rsidRDefault="00C870A2" w:rsidP="00C870A2">
            <w:pPr>
              <w:spacing w:after="0"/>
              <w:jc w:val="center"/>
              <w:rPr>
                <w:b/>
                <w:bCs/>
                <w:color w:val="000000"/>
                <w:lang w:val="en-IN"/>
              </w:rPr>
            </w:pPr>
            <w:r w:rsidRPr="00C870A2">
              <w:rPr>
                <w:b/>
                <w:bCs/>
                <w:color w:val="000000"/>
                <w:lang w:val="en-IN"/>
              </w:rPr>
              <w:t xml:space="preserve">               0.02 </w:t>
            </w:r>
          </w:p>
        </w:tc>
        <w:tc>
          <w:tcPr>
            <w:tcW w:w="735" w:type="pct"/>
            <w:tcBorders>
              <w:top w:val="nil"/>
              <w:left w:val="nil"/>
              <w:bottom w:val="single" w:sz="4" w:space="0" w:color="auto"/>
              <w:right w:val="single" w:sz="4" w:space="0" w:color="auto"/>
            </w:tcBorders>
            <w:noWrap/>
            <w:vAlign w:val="center"/>
            <w:hideMark/>
          </w:tcPr>
          <w:p w14:paraId="14AA25C7" w14:textId="77777777" w:rsidR="00C870A2" w:rsidRPr="00C870A2" w:rsidRDefault="00C870A2" w:rsidP="00C870A2">
            <w:pPr>
              <w:spacing w:after="0"/>
              <w:jc w:val="center"/>
              <w:rPr>
                <w:b/>
                <w:bCs/>
                <w:color w:val="000000"/>
                <w:lang w:val="en-IN"/>
              </w:rPr>
            </w:pPr>
            <w:r w:rsidRPr="00C870A2">
              <w:rPr>
                <w:b/>
                <w:bCs/>
                <w:color w:val="000000"/>
                <w:lang w:val="en-IN"/>
              </w:rPr>
              <w:t xml:space="preserve">              (0.26)</w:t>
            </w:r>
          </w:p>
        </w:tc>
        <w:tc>
          <w:tcPr>
            <w:tcW w:w="735" w:type="pct"/>
            <w:tcBorders>
              <w:top w:val="nil"/>
              <w:left w:val="nil"/>
              <w:bottom w:val="single" w:sz="4" w:space="0" w:color="auto"/>
              <w:right w:val="single" w:sz="4" w:space="0" w:color="auto"/>
            </w:tcBorders>
            <w:noWrap/>
            <w:vAlign w:val="center"/>
            <w:hideMark/>
          </w:tcPr>
          <w:p w14:paraId="5E780E72" w14:textId="77777777" w:rsidR="00C870A2" w:rsidRPr="00C870A2" w:rsidRDefault="00C870A2" w:rsidP="00C870A2">
            <w:pPr>
              <w:spacing w:after="0"/>
              <w:jc w:val="center"/>
              <w:rPr>
                <w:b/>
                <w:bCs/>
                <w:color w:val="000000"/>
                <w:lang w:val="en-IN"/>
              </w:rPr>
            </w:pPr>
            <w:r w:rsidRPr="00C870A2">
              <w:rPr>
                <w:b/>
                <w:bCs/>
                <w:color w:val="000000"/>
                <w:lang w:val="en-IN"/>
              </w:rPr>
              <w:t xml:space="preserve">              (0.06)</w:t>
            </w:r>
          </w:p>
        </w:tc>
      </w:tr>
      <w:tr w:rsidR="00C870A2" w:rsidRPr="00C870A2" w14:paraId="47DBD66F" w14:textId="77777777" w:rsidTr="00C870A2">
        <w:trPr>
          <w:trHeight w:val="324"/>
        </w:trPr>
        <w:tc>
          <w:tcPr>
            <w:tcW w:w="1477" w:type="pct"/>
            <w:tcBorders>
              <w:top w:val="nil"/>
              <w:left w:val="single" w:sz="8" w:space="0" w:color="auto"/>
              <w:bottom w:val="single" w:sz="8" w:space="0" w:color="auto"/>
              <w:right w:val="single" w:sz="4" w:space="0" w:color="auto"/>
            </w:tcBorders>
            <w:noWrap/>
            <w:vAlign w:val="center"/>
            <w:hideMark/>
          </w:tcPr>
          <w:p w14:paraId="281A7400" w14:textId="77777777" w:rsidR="00C870A2" w:rsidRPr="00C870A2" w:rsidRDefault="00C870A2" w:rsidP="00C870A2">
            <w:pPr>
              <w:spacing w:after="0"/>
              <w:jc w:val="left"/>
              <w:rPr>
                <w:b/>
                <w:bCs/>
                <w:color w:val="000000"/>
                <w:lang w:val="en-IN"/>
              </w:rPr>
            </w:pPr>
            <w:r w:rsidRPr="00C870A2">
              <w:rPr>
                <w:b/>
                <w:bCs/>
                <w:color w:val="000000"/>
                <w:lang w:val="en-IN"/>
              </w:rPr>
              <w:t>Return On Equity</w:t>
            </w:r>
          </w:p>
        </w:tc>
        <w:tc>
          <w:tcPr>
            <w:tcW w:w="684" w:type="pct"/>
            <w:tcBorders>
              <w:top w:val="nil"/>
              <w:left w:val="nil"/>
              <w:bottom w:val="single" w:sz="8" w:space="0" w:color="auto"/>
              <w:right w:val="single" w:sz="4" w:space="0" w:color="auto"/>
            </w:tcBorders>
            <w:noWrap/>
            <w:vAlign w:val="center"/>
            <w:hideMark/>
          </w:tcPr>
          <w:p w14:paraId="19E0F586" w14:textId="77777777" w:rsidR="00C870A2" w:rsidRPr="00C870A2" w:rsidRDefault="00C870A2" w:rsidP="00C870A2">
            <w:pPr>
              <w:spacing w:after="0"/>
              <w:jc w:val="center"/>
              <w:rPr>
                <w:b/>
                <w:bCs/>
                <w:color w:val="000000"/>
                <w:lang w:val="en-IN"/>
              </w:rPr>
            </w:pPr>
            <w:r w:rsidRPr="00C870A2">
              <w:rPr>
                <w:b/>
                <w:bCs/>
                <w:color w:val="000000"/>
                <w:lang w:val="en-IN"/>
              </w:rPr>
              <w:t xml:space="preserve">               0.12 </w:t>
            </w:r>
          </w:p>
        </w:tc>
        <w:tc>
          <w:tcPr>
            <w:tcW w:w="684" w:type="pct"/>
            <w:tcBorders>
              <w:top w:val="nil"/>
              <w:left w:val="nil"/>
              <w:bottom w:val="single" w:sz="8" w:space="0" w:color="auto"/>
              <w:right w:val="single" w:sz="4" w:space="0" w:color="auto"/>
            </w:tcBorders>
            <w:noWrap/>
            <w:vAlign w:val="center"/>
            <w:hideMark/>
          </w:tcPr>
          <w:p w14:paraId="6637E121" w14:textId="77777777" w:rsidR="00C870A2" w:rsidRPr="00C870A2" w:rsidRDefault="00C870A2" w:rsidP="00C870A2">
            <w:pPr>
              <w:spacing w:after="0"/>
              <w:jc w:val="center"/>
              <w:rPr>
                <w:b/>
                <w:bCs/>
                <w:color w:val="000000"/>
                <w:lang w:val="en-IN"/>
              </w:rPr>
            </w:pPr>
            <w:r w:rsidRPr="00C870A2">
              <w:rPr>
                <w:b/>
                <w:bCs/>
                <w:color w:val="000000"/>
                <w:lang w:val="en-IN"/>
              </w:rPr>
              <w:t xml:space="preserve">               0.02 </w:t>
            </w:r>
          </w:p>
        </w:tc>
        <w:tc>
          <w:tcPr>
            <w:tcW w:w="684" w:type="pct"/>
            <w:tcBorders>
              <w:top w:val="nil"/>
              <w:left w:val="nil"/>
              <w:bottom w:val="single" w:sz="8" w:space="0" w:color="auto"/>
              <w:right w:val="single" w:sz="4" w:space="0" w:color="auto"/>
            </w:tcBorders>
            <w:noWrap/>
            <w:vAlign w:val="center"/>
            <w:hideMark/>
          </w:tcPr>
          <w:p w14:paraId="08C4ABD3" w14:textId="77777777" w:rsidR="00C870A2" w:rsidRPr="00C870A2" w:rsidRDefault="00C870A2" w:rsidP="00C870A2">
            <w:pPr>
              <w:spacing w:after="0"/>
              <w:jc w:val="center"/>
              <w:rPr>
                <w:b/>
                <w:bCs/>
                <w:color w:val="000000"/>
                <w:lang w:val="en-IN"/>
              </w:rPr>
            </w:pPr>
            <w:r w:rsidRPr="00C870A2">
              <w:rPr>
                <w:b/>
                <w:bCs/>
                <w:color w:val="000000"/>
                <w:lang w:val="en-IN"/>
              </w:rPr>
              <w:t xml:space="preserve">               0.00 </w:t>
            </w:r>
          </w:p>
        </w:tc>
        <w:tc>
          <w:tcPr>
            <w:tcW w:w="735" w:type="pct"/>
            <w:tcBorders>
              <w:top w:val="nil"/>
              <w:left w:val="nil"/>
              <w:bottom w:val="single" w:sz="8" w:space="0" w:color="auto"/>
              <w:right w:val="single" w:sz="4" w:space="0" w:color="auto"/>
            </w:tcBorders>
            <w:noWrap/>
            <w:vAlign w:val="center"/>
            <w:hideMark/>
          </w:tcPr>
          <w:p w14:paraId="7C00624A" w14:textId="77777777" w:rsidR="00C870A2" w:rsidRPr="00C870A2" w:rsidRDefault="00C870A2" w:rsidP="00C870A2">
            <w:pPr>
              <w:spacing w:after="0"/>
              <w:jc w:val="center"/>
              <w:rPr>
                <w:b/>
                <w:bCs/>
                <w:color w:val="000000"/>
                <w:lang w:val="en-IN"/>
              </w:rPr>
            </w:pPr>
            <w:r w:rsidRPr="00C870A2">
              <w:rPr>
                <w:b/>
                <w:bCs/>
                <w:color w:val="000000"/>
                <w:lang w:val="en-IN"/>
              </w:rPr>
              <w:t xml:space="preserve">              (0.55)</w:t>
            </w:r>
          </w:p>
        </w:tc>
        <w:tc>
          <w:tcPr>
            <w:tcW w:w="735" w:type="pct"/>
            <w:tcBorders>
              <w:top w:val="nil"/>
              <w:left w:val="nil"/>
              <w:bottom w:val="single" w:sz="8" w:space="0" w:color="auto"/>
              <w:right w:val="single" w:sz="4" w:space="0" w:color="auto"/>
            </w:tcBorders>
            <w:noWrap/>
            <w:vAlign w:val="center"/>
            <w:hideMark/>
          </w:tcPr>
          <w:p w14:paraId="35C7AA45" w14:textId="77777777" w:rsidR="00C870A2" w:rsidRPr="00C870A2" w:rsidRDefault="00C870A2" w:rsidP="00C870A2">
            <w:pPr>
              <w:spacing w:after="0"/>
              <w:jc w:val="center"/>
              <w:rPr>
                <w:b/>
                <w:bCs/>
                <w:color w:val="000000"/>
                <w:lang w:val="en-IN"/>
              </w:rPr>
            </w:pPr>
            <w:r w:rsidRPr="00C870A2">
              <w:rPr>
                <w:b/>
                <w:bCs/>
                <w:color w:val="000000"/>
                <w:lang w:val="en-IN"/>
              </w:rPr>
              <w:t xml:space="preserve">              (0.16)</w:t>
            </w:r>
          </w:p>
        </w:tc>
      </w:tr>
      <w:tr w:rsidR="00C870A2" w:rsidRPr="00C870A2" w14:paraId="4FAC03BB" w14:textId="77777777" w:rsidTr="00C870A2">
        <w:trPr>
          <w:trHeight w:val="312"/>
        </w:trPr>
        <w:tc>
          <w:tcPr>
            <w:tcW w:w="1477" w:type="pct"/>
            <w:tcBorders>
              <w:top w:val="nil"/>
              <w:left w:val="nil"/>
              <w:bottom w:val="nil"/>
              <w:right w:val="nil"/>
            </w:tcBorders>
            <w:noWrap/>
            <w:vAlign w:val="center"/>
            <w:hideMark/>
          </w:tcPr>
          <w:p w14:paraId="57BE3119" w14:textId="77777777" w:rsidR="00C870A2" w:rsidRPr="00C870A2" w:rsidRDefault="00C870A2" w:rsidP="00C870A2">
            <w:pPr>
              <w:spacing w:after="0"/>
              <w:jc w:val="center"/>
              <w:rPr>
                <w:b/>
                <w:bCs/>
                <w:color w:val="000000"/>
                <w:lang w:val="en-IN"/>
              </w:rPr>
            </w:pPr>
          </w:p>
        </w:tc>
        <w:tc>
          <w:tcPr>
            <w:tcW w:w="684" w:type="pct"/>
            <w:tcBorders>
              <w:top w:val="nil"/>
              <w:left w:val="nil"/>
              <w:bottom w:val="nil"/>
              <w:right w:val="nil"/>
            </w:tcBorders>
            <w:noWrap/>
            <w:vAlign w:val="center"/>
            <w:hideMark/>
          </w:tcPr>
          <w:p w14:paraId="366E5E94" w14:textId="77777777" w:rsidR="00C870A2" w:rsidRPr="00C870A2" w:rsidRDefault="00C870A2" w:rsidP="00C870A2">
            <w:pPr>
              <w:spacing w:after="0"/>
              <w:jc w:val="center"/>
              <w:rPr>
                <w:sz w:val="20"/>
                <w:szCs w:val="20"/>
                <w:lang w:val="en-IN"/>
              </w:rPr>
            </w:pPr>
          </w:p>
        </w:tc>
        <w:tc>
          <w:tcPr>
            <w:tcW w:w="684" w:type="pct"/>
            <w:tcBorders>
              <w:top w:val="nil"/>
              <w:left w:val="nil"/>
              <w:bottom w:val="nil"/>
              <w:right w:val="nil"/>
            </w:tcBorders>
            <w:noWrap/>
            <w:vAlign w:val="center"/>
            <w:hideMark/>
          </w:tcPr>
          <w:p w14:paraId="432F2D15" w14:textId="77777777" w:rsidR="00C870A2" w:rsidRPr="00C870A2" w:rsidRDefault="00C870A2" w:rsidP="00C870A2">
            <w:pPr>
              <w:spacing w:after="0"/>
              <w:jc w:val="center"/>
              <w:rPr>
                <w:sz w:val="20"/>
                <w:szCs w:val="20"/>
                <w:lang w:val="en-IN"/>
              </w:rPr>
            </w:pPr>
          </w:p>
        </w:tc>
        <w:tc>
          <w:tcPr>
            <w:tcW w:w="684" w:type="pct"/>
            <w:tcBorders>
              <w:top w:val="nil"/>
              <w:left w:val="nil"/>
              <w:bottom w:val="nil"/>
              <w:right w:val="nil"/>
            </w:tcBorders>
            <w:noWrap/>
            <w:vAlign w:val="center"/>
            <w:hideMark/>
          </w:tcPr>
          <w:p w14:paraId="03E145E4" w14:textId="77777777" w:rsidR="00C870A2" w:rsidRPr="00C870A2" w:rsidRDefault="00C870A2" w:rsidP="00C870A2">
            <w:pPr>
              <w:spacing w:after="0"/>
              <w:jc w:val="center"/>
              <w:rPr>
                <w:sz w:val="20"/>
                <w:szCs w:val="20"/>
                <w:lang w:val="en-IN"/>
              </w:rPr>
            </w:pPr>
          </w:p>
        </w:tc>
        <w:tc>
          <w:tcPr>
            <w:tcW w:w="735" w:type="pct"/>
            <w:tcBorders>
              <w:top w:val="nil"/>
              <w:left w:val="nil"/>
              <w:bottom w:val="nil"/>
              <w:right w:val="nil"/>
            </w:tcBorders>
            <w:noWrap/>
            <w:vAlign w:val="center"/>
            <w:hideMark/>
          </w:tcPr>
          <w:p w14:paraId="7442E556" w14:textId="77777777" w:rsidR="00C870A2" w:rsidRPr="00C870A2" w:rsidRDefault="00C870A2" w:rsidP="00C870A2">
            <w:pPr>
              <w:spacing w:after="0"/>
              <w:jc w:val="center"/>
              <w:rPr>
                <w:sz w:val="20"/>
                <w:szCs w:val="20"/>
                <w:lang w:val="en-IN"/>
              </w:rPr>
            </w:pPr>
          </w:p>
        </w:tc>
        <w:tc>
          <w:tcPr>
            <w:tcW w:w="735" w:type="pct"/>
            <w:tcBorders>
              <w:top w:val="nil"/>
              <w:left w:val="nil"/>
              <w:bottom w:val="nil"/>
              <w:right w:val="nil"/>
            </w:tcBorders>
            <w:noWrap/>
            <w:vAlign w:val="center"/>
            <w:hideMark/>
          </w:tcPr>
          <w:p w14:paraId="45650635" w14:textId="77777777" w:rsidR="00C870A2" w:rsidRPr="00C870A2" w:rsidRDefault="00C870A2" w:rsidP="00C870A2">
            <w:pPr>
              <w:spacing w:after="0"/>
              <w:jc w:val="center"/>
              <w:rPr>
                <w:sz w:val="20"/>
                <w:szCs w:val="20"/>
                <w:lang w:val="en-IN"/>
              </w:rPr>
            </w:pPr>
          </w:p>
        </w:tc>
      </w:tr>
      <w:tr w:rsidR="00C870A2" w:rsidRPr="00C870A2" w14:paraId="56B89531" w14:textId="77777777" w:rsidTr="00C870A2">
        <w:trPr>
          <w:trHeight w:val="324"/>
        </w:trPr>
        <w:tc>
          <w:tcPr>
            <w:tcW w:w="5000" w:type="pct"/>
            <w:gridSpan w:val="6"/>
            <w:tcBorders>
              <w:top w:val="single" w:sz="8" w:space="0" w:color="auto"/>
              <w:left w:val="single" w:sz="8" w:space="0" w:color="auto"/>
              <w:bottom w:val="single" w:sz="8" w:space="0" w:color="auto"/>
              <w:right w:val="single" w:sz="8" w:space="0" w:color="000000"/>
            </w:tcBorders>
            <w:noWrap/>
            <w:vAlign w:val="center"/>
            <w:hideMark/>
          </w:tcPr>
          <w:p w14:paraId="15180D07" w14:textId="77777777" w:rsidR="00C870A2" w:rsidRPr="00C870A2" w:rsidRDefault="00C870A2" w:rsidP="00C870A2">
            <w:pPr>
              <w:spacing w:after="0"/>
              <w:jc w:val="center"/>
              <w:rPr>
                <w:b/>
                <w:bCs/>
                <w:color w:val="000000"/>
                <w:lang w:val="en-IN"/>
              </w:rPr>
            </w:pPr>
            <w:r w:rsidRPr="00C870A2">
              <w:rPr>
                <w:b/>
                <w:bCs/>
                <w:color w:val="000000"/>
                <w:lang w:val="en-IN"/>
              </w:rPr>
              <w:t>Cashflow Ratios</w:t>
            </w:r>
          </w:p>
        </w:tc>
      </w:tr>
      <w:tr w:rsidR="00C870A2" w:rsidRPr="00C870A2" w14:paraId="590A6931"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024055DE" w14:textId="77777777" w:rsidR="00C870A2" w:rsidRPr="00C870A2" w:rsidRDefault="00C870A2" w:rsidP="00C870A2">
            <w:pPr>
              <w:spacing w:after="0"/>
              <w:jc w:val="center"/>
              <w:rPr>
                <w:b/>
                <w:bCs/>
                <w:color w:val="000000"/>
                <w:lang w:val="en-IN"/>
              </w:rPr>
            </w:pPr>
            <w:r w:rsidRPr="00C870A2">
              <w:rPr>
                <w:b/>
                <w:bCs/>
                <w:color w:val="000000"/>
                <w:lang w:val="en-IN"/>
              </w:rPr>
              <w:t>Particulars</w:t>
            </w:r>
          </w:p>
        </w:tc>
        <w:tc>
          <w:tcPr>
            <w:tcW w:w="684" w:type="pct"/>
            <w:tcBorders>
              <w:top w:val="nil"/>
              <w:left w:val="nil"/>
              <w:bottom w:val="single" w:sz="4" w:space="0" w:color="auto"/>
              <w:right w:val="single" w:sz="4" w:space="0" w:color="auto"/>
            </w:tcBorders>
            <w:noWrap/>
            <w:vAlign w:val="center"/>
            <w:hideMark/>
          </w:tcPr>
          <w:p w14:paraId="792AC9B0" w14:textId="77777777" w:rsidR="00C870A2" w:rsidRPr="00C870A2" w:rsidRDefault="00C870A2" w:rsidP="00C870A2">
            <w:pPr>
              <w:spacing w:after="0"/>
              <w:jc w:val="center"/>
              <w:rPr>
                <w:b/>
                <w:bCs/>
                <w:color w:val="000000"/>
                <w:lang w:val="en-IN"/>
              </w:rPr>
            </w:pPr>
            <w:r w:rsidRPr="00C870A2">
              <w:rPr>
                <w:b/>
                <w:bCs/>
                <w:color w:val="000000"/>
                <w:lang w:val="en-IN"/>
              </w:rPr>
              <w:t>2020</w:t>
            </w:r>
          </w:p>
        </w:tc>
        <w:tc>
          <w:tcPr>
            <w:tcW w:w="684" w:type="pct"/>
            <w:tcBorders>
              <w:top w:val="nil"/>
              <w:left w:val="nil"/>
              <w:bottom w:val="single" w:sz="4" w:space="0" w:color="auto"/>
              <w:right w:val="single" w:sz="4" w:space="0" w:color="auto"/>
            </w:tcBorders>
            <w:noWrap/>
            <w:vAlign w:val="center"/>
            <w:hideMark/>
          </w:tcPr>
          <w:p w14:paraId="79884CF0" w14:textId="77777777" w:rsidR="00C870A2" w:rsidRPr="00C870A2" w:rsidRDefault="00C870A2" w:rsidP="00C870A2">
            <w:pPr>
              <w:spacing w:after="0"/>
              <w:jc w:val="center"/>
              <w:rPr>
                <w:b/>
                <w:bCs/>
                <w:color w:val="000000"/>
                <w:lang w:val="en-IN"/>
              </w:rPr>
            </w:pPr>
            <w:r w:rsidRPr="00C870A2">
              <w:rPr>
                <w:b/>
                <w:bCs/>
                <w:color w:val="000000"/>
                <w:lang w:val="en-IN"/>
              </w:rPr>
              <w:t>2021</w:t>
            </w:r>
          </w:p>
        </w:tc>
        <w:tc>
          <w:tcPr>
            <w:tcW w:w="684" w:type="pct"/>
            <w:tcBorders>
              <w:top w:val="nil"/>
              <w:left w:val="nil"/>
              <w:bottom w:val="single" w:sz="4" w:space="0" w:color="auto"/>
              <w:right w:val="single" w:sz="4" w:space="0" w:color="auto"/>
            </w:tcBorders>
            <w:noWrap/>
            <w:vAlign w:val="center"/>
            <w:hideMark/>
          </w:tcPr>
          <w:p w14:paraId="7CFC8899" w14:textId="77777777" w:rsidR="00C870A2" w:rsidRPr="00C870A2" w:rsidRDefault="00C870A2" w:rsidP="00C870A2">
            <w:pPr>
              <w:spacing w:after="0"/>
              <w:jc w:val="center"/>
              <w:rPr>
                <w:b/>
                <w:bCs/>
                <w:color w:val="000000"/>
                <w:lang w:val="en-IN"/>
              </w:rPr>
            </w:pPr>
            <w:r w:rsidRPr="00C870A2">
              <w:rPr>
                <w:b/>
                <w:bCs/>
                <w:color w:val="000000"/>
                <w:lang w:val="en-IN"/>
              </w:rPr>
              <w:t>2022</w:t>
            </w:r>
          </w:p>
        </w:tc>
        <w:tc>
          <w:tcPr>
            <w:tcW w:w="735" w:type="pct"/>
            <w:tcBorders>
              <w:top w:val="nil"/>
              <w:left w:val="nil"/>
              <w:bottom w:val="single" w:sz="4" w:space="0" w:color="auto"/>
              <w:right w:val="single" w:sz="4" w:space="0" w:color="auto"/>
            </w:tcBorders>
            <w:noWrap/>
            <w:vAlign w:val="center"/>
            <w:hideMark/>
          </w:tcPr>
          <w:p w14:paraId="7F1147B2" w14:textId="77777777" w:rsidR="00C870A2" w:rsidRPr="00C870A2" w:rsidRDefault="00C870A2" w:rsidP="00C870A2">
            <w:pPr>
              <w:spacing w:after="0"/>
              <w:jc w:val="center"/>
              <w:rPr>
                <w:b/>
                <w:bCs/>
                <w:color w:val="000000"/>
                <w:lang w:val="en-IN"/>
              </w:rPr>
            </w:pPr>
            <w:r w:rsidRPr="00C870A2">
              <w:rPr>
                <w:b/>
                <w:bCs/>
                <w:color w:val="000000"/>
                <w:lang w:val="en-IN"/>
              </w:rPr>
              <w:t>2023</w:t>
            </w:r>
          </w:p>
        </w:tc>
        <w:tc>
          <w:tcPr>
            <w:tcW w:w="735" w:type="pct"/>
            <w:tcBorders>
              <w:top w:val="nil"/>
              <w:left w:val="nil"/>
              <w:bottom w:val="single" w:sz="4" w:space="0" w:color="auto"/>
              <w:right w:val="single" w:sz="8" w:space="0" w:color="auto"/>
            </w:tcBorders>
            <w:noWrap/>
            <w:vAlign w:val="center"/>
            <w:hideMark/>
          </w:tcPr>
          <w:p w14:paraId="54F86A14" w14:textId="77777777" w:rsidR="00C870A2" w:rsidRPr="00C870A2" w:rsidRDefault="00C870A2" w:rsidP="00C870A2">
            <w:pPr>
              <w:spacing w:after="0"/>
              <w:jc w:val="center"/>
              <w:rPr>
                <w:b/>
                <w:bCs/>
                <w:color w:val="000000"/>
                <w:lang w:val="en-IN"/>
              </w:rPr>
            </w:pPr>
            <w:r w:rsidRPr="00C870A2">
              <w:rPr>
                <w:b/>
                <w:bCs/>
                <w:color w:val="000000"/>
                <w:lang w:val="en-IN"/>
              </w:rPr>
              <w:t>2024</w:t>
            </w:r>
          </w:p>
        </w:tc>
      </w:tr>
      <w:tr w:rsidR="00C870A2" w:rsidRPr="00C870A2" w14:paraId="608AD088"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7F72542A" w14:textId="77777777" w:rsidR="00C870A2" w:rsidRPr="00C870A2" w:rsidRDefault="00C870A2" w:rsidP="00C870A2">
            <w:pPr>
              <w:spacing w:after="0"/>
              <w:jc w:val="left"/>
              <w:rPr>
                <w:color w:val="000000"/>
                <w:lang w:val="en-IN"/>
              </w:rPr>
            </w:pPr>
            <w:r w:rsidRPr="00C870A2">
              <w:rPr>
                <w:color w:val="000000"/>
                <w:lang w:val="en-IN"/>
              </w:rPr>
              <w:t>Cash From Operations</w:t>
            </w:r>
          </w:p>
        </w:tc>
        <w:tc>
          <w:tcPr>
            <w:tcW w:w="684" w:type="pct"/>
            <w:tcBorders>
              <w:top w:val="nil"/>
              <w:left w:val="nil"/>
              <w:bottom w:val="single" w:sz="4" w:space="0" w:color="auto"/>
              <w:right w:val="single" w:sz="4" w:space="0" w:color="auto"/>
            </w:tcBorders>
            <w:noWrap/>
            <w:vAlign w:val="center"/>
            <w:hideMark/>
          </w:tcPr>
          <w:p w14:paraId="6013C784" w14:textId="77777777" w:rsidR="00C870A2" w:rsidRPr="00C870A2" w:rsidRDefault="00C870A2" w:rsidP="00C870A2">
            <w:pPr>
              <w:spacing w:after="0"/>
              <w:jc w:val="right"/>
              <w:rPr>
                <w:color w:val="000000"/>
                <w:lang w:val="en-IN"/>
              </w:rPr>
            </w:pPr>
            <w:r w:rsidRPr="00C870A2">
              <w:rPr>
                <w:color w:val="000000"/>
                <w:lang w:val="en-IN"/>
              </w:rPr>
              <w:t>78,553</w:t>
            </w:r>
          </w:p>
        </w:tc>
        <w:tc>
          <w:tcPr>
            <w:tcW w:w="684" w:type="pct"/>
            <w:tcBorders>
              <w:top w:val="nil"/>
              <w:left w:val="nil"/>
              <w:bottom w:val="single" w:sz="4" w:space="0" w:color="auto"/>
              <w:right w:val="single" w:sz="4" w:space="0" w:color="auto"/>
            </w:tcBorders>
            <w:noWrap/>
            <w:vAlign w:val="center"/>
            <w:hideMark/>
          </w:tcPr>
          <w:p w14:paraId="71DA0152" w14:textId="77777777" w:rsidR="00C870A2" w:rsidRPr="00C870A2" w:rsidRDefault="00C870A2" w:rsidP="00C870A2">
            <w:pPr>
              <w:spacing w:after="0"/>
              <w:jc w:val="right"/>
              <w:rPr>
                <w:color w:val="000000"/>
                <w:lang w:val="en-IN"/>
              </w:rPr>
            </w:pPr>
            <w:r w:rsidRPr="00C870A2">
              <w:rPr>
                <w:color w:val="000000"/>
                <w:lang w:val="en-IN"/>
              </w:rPr>
              <w:t>44,887</w:t>
            </w:r>
          </w:p>
        </w:tc>
        <w:tc>
          <w:tcPr>
            <w:tcW w:w="684" w:type="pct"/>
            <w:tcBorders>
              <w:top w:val="nil"/>
              <w:left w:val="nil"/>
              <w:bottom w:val="single" w:sz="4" w:space="0" w:color="auto"/>
              <w:right w:val="single" w:sz="4" w:space="0" w:color="auto"/>
            </w:tcBorders>
            <w:noWrap/>
            <w:vAlign w:val="center"/>
            <w:hideMark/>
          </w:tcPr>
          <w:p w14:paraId="537195FB" w14:textId="77777777" w:rsidR="00C870A2" w:rsidRPr="00C870A2" w:rsidRDefault="00C870A2" w:rsidP="00C870A2">
            <w:pPr>
              <w:spacing w:after="0"/>
              <w:jc w:val="right"/>
              <w:rPr>
                <w:color w:val="000000"/>
                <w:lang w:val="en-IN"/>
              </w:rPr>
            </w:pPr>
            <w:r w:rsidRPr="00C870A2">
              <w:rPr>
                <w:color w:val="000000"/>
                <w:lang w:val="en-IN"/>
              </w:rPr>
              <w:t>39,735</w:t>
            </w:r>
          </w:p>
        </w:tc>
        <w:tc>
          <w:tcPr>
            <w:tcW w:w="735" w:type="pct"/>
            <w:tcBorders>
              <w:top w:val="nil"/>
              <w:left w:val="nil"/>
              <w:bottom w:val="single" w:sz="4" w:space="0" w:color="auto"/>
              <w:right w:val="single" w:sz="4" w:space="0" w:color="auto"/>
            </w:tcBorders>
            <w:noWrap/>
            <w:vAlign w:val="center"/>
            <w:hideMark/>
          </w:tcPr>
          <w:p w14:paraId="4793AD4D" w14:textId="77777777" w:rsidR="00C870A2" w:rsidRPr="00C870A2" w:rsidRDefault="00C870A2" w:rsidP="00C870A2">
            <w:pPr>
              <w:spacing w:after="0"/>
              <w:jc w:val="right"/>
              <w:rPr>
                <w:color w:val="000000"/>
                <w:lang w:val="en-IN"/>
              </w:rPr>
            </w:pPr>
            <w:r w:rsidRPr="00C870A2">
              <w:rPr>
                <w:color w:val="000000"/>
                <w:lang w:val="en-IN"/>
              </w:rPr>
              <w:t>-9,250</w:t>
            </w:r>
          </w:p>
        </w:tc>
        <w:tc>
          <w:tcPr>
            <w:tcW w:w="735" w:type="pct"/>
            <w:tcBorders>
              <w:top w:val="nil"/>
              <w:left w:val="nil"/>
              <w:bottom w:val="single" w:sz="4" w:space="0" w:color="auto"/>
              <w:right w:val="single" w:sz="4" w:space="0" w:color="auto"/>
            </w:tcBorders>
            <w:noWrap/>
            <w:vAlign w:val="center"/>
            <w:hideMark/>
          </w:tcPr>
          <w:p w14:paraId="076C4B20" w14:textId="77777777" w:rsidR="00C870A2" w:rsidRPr="00C870A2" w:rsidRDefault="00C870A2" w:rsidP="00C870A2">
            <w:pPr>
              <w:spacing w:after="0"/>
              <w:jc w:val="right"/>
              <w:rPr>
                <w:color w:val="000000"/>
                <w:lang w:val="en-IN"/>
              </w:rPr>
            </w:pPr>
            <w:r w:rsidRPr="00C870A2">
              <w:rPr>
                <w:color w:val="000000"/>
                <w:lang w:val="en-IN"/>
              </w:rPr>
              <w:t>2,950</w:t>
            </w:r>
          </w:p>
        </w:tc>
      </w:tr>
      <w:tr w:rsidR="00C870A2" w:rsidRPr="00C870A2" w14:paraId="6E0BF69F"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486EDD4E" w14:textId="77777777" w:rsidR="00C870A2" w:rsidRPr="00C870A2" w:rsidRDefault="00C870A2" w:rsidP="00C870A2">
            <w:pPr>
              <w:spacing w:after="0"/>
              <w:jc w:val="left"/>
              <w:rPr>
                <w:color w:val="000000"/>
                <w:lang w:val="en-IN"/>
              </w:rPr>
            </w:pPr>
            <w:r w:rsidRPr="00C870A2">
              <w:rPr>
                <w:color w:val="000000"/>
                <w:lang w:val="en-IN"/>
              </w:rPr>
              <w:t>Current Liabilities</w:t>
            </w:r>
          </w:p>
        </w:tc>
        <w:tc>
          <w:tcPr>
            <w:tcW w:w="684" w:type="pct"/>
            <w:tcBorders>
              <w:top w:val="nil"/>
              <w:left w:val="nil"/>
              <w:bottom w:val="single" w:sz="4" w:space="0" w:color="auto"/>
              <w:right w:val="single" w:sz="4" w:space="0" w:color="auto"/>
            </w:tcBorders>
            <w:noWrap/>
            <w:vAlign w:val="bottom"/>
            <w:hideMark/>
          </w:tcPr>
          <w:p w14:paraId="602CC264" w14:textId="77777777" w:rsidR="00C870A2" w:rsidRPr="00C870A2" w:rsidRDefault="00C870A2" w:rsidP="00C870A2">
            <w:pPr>
              <w:spacing w:after="0"/>
              <w:jc w:val="right"/>
              <w:rPr>
                <w:color w:val="000000"/>
                <w:lang w:val="en-IN"/>
              </w:rPr>
            </w:pPr>
            <w:r w:rsidRPr="00C870A2">
              <w:rPr>
                <w:color w:val="000000"/>
                <w:lang w:val="en-IN"/>
              </w:rPr>
              <w:t>1,79,510</w:t>
            </w:r>
          </w:p>
        </w:tc>
        <w:tc>
          <w:tcPr>
            <w:tcW w:w="684" w:type="pct"/>
            <w:tcBorders>
              <w:top w:val="nil"/>
              <w:left w:val="nil"/>
              <w:bottom w:val="single" w:sz="4" w:space="0" w:color="auto"/>
              <w:right w:val="single" w:sz="4" w:space="0" w:color="auto"/>
            </w:tcBorders>
            <w:noWrap/>
            <w:vAlign w:val="bottom"/>
            <w:hideMark/>
          </w:tcPr>
          <w:p w14:paraId="302A53FD" w14:textId="77777777" w:rsidR="00C870A2" w:rsidRPr="00C870A2" w:rsidRDefault="00C870A2" w:rsidP="00C870A2">
            <w:pPr>
              <w:spacing w:after="0"/>
              <w:jc w:val="right"/>
              <w:rPr>
                <w:color w:val="000000"/>
                <w:lang w:val="en-IN"/>
              </w:rPr>
            </w:pPr>
            <w:r w:rsidRPr="00C870A2">
              <w:rPr>
                <w:color w:val="000000"/>
                <w:lang w:val="en-IN"/>
              </w:rPr>
              <w:t>2,16,787</w:t>
            </w:r>
          </w:p>
        </w:tc>
        <w:tc>
          <w:tcPr>
            <w:tcW w:w="684" w:type="pct"/>
            <w:tcBorders>
              <w:top w:val="nil"/>
              <w:left w:val="nil"/>
              <w:bottom w:val="single" w:sz="4" w:space="0" w:color="auto"/>
              <w:right w:val="single" w:sz="4" w:space="0" w:color="auto"/>
            </w:tcBorders>
            <w:noWrap/>
            <w:vAlign w:val="bottom"/>
            <w:hideMark/>
          </w:tcPr>
          <w:p w14:paraId="62E4ECB2" w14:textId="77777777" w:rsidR="00C870A2" w:rsidRPr="00C870A2" w:rsidRDefault="00C870A2" w:rsidP="00C870A2">
            <w:pPr>
              <w:spacing w:after="0"/>
              <w:jc w:val="right"/>
              <w:rPr>
                <w:color w:val="000000"/>
                <w:lang w:val="en-IN"/>
              </w:rPr>
            </w:pPr>
            <w:r w:rsidRPr="00C870A2">
              <w:rPr>
                <w:color w:val="000000"/>
                <w:lang w:val="en-IN"/>
              </w:rPr>
              <w:t>2,16,473</w:t>
            </w:r>
          </w:p>
        </w:tc>
        <w:tc>
          <w:tcPr>
            <w:tcW w:w="735" w:type="pct"/>
            <w:tcBorders>
              <w:top w:val="nil"/>
              <w:left w:val="nil"/>
              <w:bottom w:val="single" w:sz="4" w:space="0" w:color="auto"/>
              <w:right w:val="single" w:sz="4" w:space="0" w:color="auto"/>
            </w:tcBorders>
            <w:noWrap/>
            <w:vAlign w:val="bottom"/>
            <w:hideMark/>
          </w:tcPr>
          <w:p w14:paraId="03595610" w14:textId="77777777" w:rsidR="00C870A2" w:rsidRPr="00C870A2" w:rsidRDefault="00C870A2" w:rsidP="00C870A2">
            <w:pPr>
              <w:spacing w:after="0"/>
              <w:jc w:val="right"/>
              <w:rPr>
                <w:color w:val="000000"/>
                <w:lang w:val="en-IN"/>
              </w:rPr>
            </w:pPr>
            <w:r w:rsidRPr="00C870A2">
              <w:rPr>
                <w:color w:val="000000"/>
                <w:lang w:val="en-IN"/>
              </w:rPr>
              <w:t>1,61,148</w:t>
            </w:r>
          </w:p>
        </w:tc>
        <w:tc>
          <w:tcPr>
            <w:tcW w:w="735" w:type="pct"/>
            <w:tcBorders>
              <w:top w:val="nil"/>
              <w:left w:val="nil"/>
              <w:bottom w:val="single" w:sz="4" w:space="0" w:color="auto"/>
              <w:right w:val="single" w:sz="8" w:space="0" w:color="auto"/>
            </w:tcBorders>
            <w:noWrap/>
            <w:vAlign w:val="bottom"/>
            <w:hideMark/>
          </w:tcPr>
          <w:p w14:paraId="15475EC9" w14:textId="77777777" w:rsidR="00C870A2" w:rsidRPr="00C870A2" w:rsidRDefault="00C870A2" w:rsidP="00C870A2">
            <w:pPr>
              <w:spacing w:after="0"/>
              <w:jc w:val="right"/>
              <w:rPr>
                <w:color w:val="000000"/>
                <w:lang w:val="en-IN"/>
              </w:rPr>
            </w:pPr>
            <w:r w:rsidRPr="00C870A2">
              <w:rPr>
                <w:color w:val="000000"/>
                <w:lang w:val="en-IN"/>
              </w:rPr>
              <w:t>1,58,291</w:t>
            </w:r>
          </w:p>
        </w:tc>
      </w:tr>
      <w:tr w:rsidR="00C870A2" w:rsidRPr="00C870A2" w14:paraId="1CF920A8"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5C01150A" w14:textId="77777777" w:rsidR="00C870A2" w:rsidRPr="00C870A2" w:rsidRDefault="00C870A2" w:rsidP="00C870A2">
            <w:pPr>
              <w:spacing w:after="0"/>
              <w:jc w:val="left"/>
              <w:rPr>
                <w:color w:val="000000"/>
                <w:lang w:val="en-IN"/>
              </w:rPr>
            </w:pPr>
            <w:r w:rsidRPr="00C870A2">
              <w:rPr>
                <w:color w:val="000000"/>
                <w:lang w:val="en-IN"/>
              </w:rPr>
              <w:t>Net Sales</w:t>
            </w:r>
          </w:p>
        </w:tc>
        <w:tc>
          <w:tcPr>
            <w:tcW w:w="684" w:type="pct"/>
            <w:tcBorders>
              <w:top w:val="nil"/>
              <w:left w:val="nil"/>
              <w:bottom w:val="single" w:sz="4" w:space="0" w:color="auto"/>
              <w:right w:val="single" w:sz="4" w:space="0" w:color="auto"/>
            </w:tcBorders>
            <w:noWrap/>
            <w:vAlign w:val="center"/>
            <w:hideMark/>
          </w:tcPr>
          <w:p w14:paraId="30911466" w14:textId="77777777" w:rsidR="00C870A2" w:rsidRPr="00C870A2" w:rsidRDefault="00C870A2" w:rsidP="00C870A2">
            <w:pPr>
              <w:spacing w:after="0"/>
              <w:jc w:val="right"/>
              <w:rPr>
                <w:color w:val="000000"/>
                <w:lang w:val="en-IN"/>
              </w:rPr>
            </w:pPr>
            <w:r w:rsidRPr="00C870A2">
              <w:rPr>
                <w:color w:val="000000"/>
                <w:lang w:val="en-IN"/>
              </w:rPr>
              <w:t>6,14,680</w:t>
            </w:r>
          </w:p>
        </w:tc>
        <w:tc>
          <w:tcPr>
            <w:tcW w:w="684" w:type="pct"/>
            <w:tcBorders>
              <w:top w:val="nil"/>
              <w:left w:val="nil"/>
              <w:bottom w:val="single" w:sz="4" w:space="0" w:color="auto"/>
              <w:right w:val="single" w:sz="4" w:space="0" w:color="auto"/>
            </w:tcBorders>
            <w:noWrap/>
            <w:vAlign w:val="center"/>
            <w:hideMark/>
          </w:tcPr>
          <w:p w14:paraId="48C858E2" w14:textId="77777777" w:rsidR="00C870A2" w:rsidRPr="00C870A2" w:rsidRDefault="00C870A2" w:rsidP="00C870A2">
            <w:pPr>
              <w:spacing w:after="0"/>
              <w:jc w:val="right"/>
              <w:rPr>
                <w:color w:val="000000"/>
                <w:lang w:val="en-IN"/>
              </w:rPr>
            </w:pPr>
            <w:r w:rsidRPr="00C870A2">
              <w:rPr>
                <w:color w:val="000000"/>
                <w:lang w:val="en-IN"/>
              </w:rPr>
              <w:t>6,01,602</w:t>
            </w:r>
          </w:p>
        </w:tc>
        <w:tc>
          <w:tcPr>
            <w:tcW w:w="684" w:type="pct"/>
            <w:tcBorders>
              <w:top w:val="nil"/>
              <w:left w:val="nil"/>
              <w:bottom w:val="single" w:sz="4" w:space="0" w:color="auto"/>
              <w:right w:val="single" w:sz="4" w:space="0" w:color="auto"/>
            </w:tcBorders>
            <w:noWrap/>
            <w:vAlign w:val="center"/>
            <w:hideMark/>
          </w:tcPr>
          <w:p w14:paraId="4906A90C" w14:textId="77777777" w:rsidR="00C870A2" w:rsidRPr="00C870A2" w:rsidRDefault="00C870A2" w:rsidP="00C870A2">
            <w:pPr>
              <w:spacing w:after="0"/>
              <w:jc w:val="right"/>
              <w:rPr>
                <w:color w:val="000000"/>
                <w:lang w:val="en-IN"/>
              </w:rPr>
            </w:pPr>
            <w:r w:rsidRPr="00C870A2">
              <w:rPr>
                <w:color w:val="000000"/>
                <w:lang w:val="en-IN"/>
              </w:rPr>
              <w:t>5,42,751</w:t>
            </w:r>
          </w:p>
        </w:tc>
        <w:tc>
          <w:tcPr>
            <w:tcW w:w="735" w:type="pct"/>
            <w:tcBorders>
              <w:top w:val="nil"/>
              <w:left w:val="nil"/>
              <w:bottom w:val="single" w:sz="4" w:space="0" w:color="auto"/>
              <w:right w:val="single" w:sz="4" w:space="0" w:color="auto"/>
            </w:tcBorders>
            <w:noWrap/>
            <w:vAlign w:val="center"/>
            <w:hideMark/>
          </w:tcPr>
          <w:p w14:paraId="1F900E1F" w14:textId="77777777" w:rsidR="00C870A2" w:rsidRPr="00C870A2" w:rsidRDefault="00C870A2" w:rsidP="00C870A2">
            <w:pPr>
              <w:spacing w:after="0"/>
              <w:jc w:val="right"/>
              <w:rPr>
                <w:color w:val="000000"/>
                <w:lang w:val="en-IN"/>
              </w:rPr>
            </w:pPr>
            <w:r w:rsidRPr="00C870A2">
              <w:rPr>
                <w:color w:val="000000"/>
                <w:lang w:val="en-IN"/>
              </w:rPr>
              <w:t>4,20,457</w:t>
            </w:r>
          </w:p>
        </w:tc>
        <w:tc>
          <w:tcPr>
            <w:tcW w:w="735" w:type="pct"/>
            <w:tcBorders>
              <w:top w:val="nil"/>
              <w:left w:val="nil"/>
              <w:bottom w:val="single" w:sz="4" w:space="0" w:color="auto"/>
              <w:right w:val="single" w:sz="8" w:space="0" w:color="auto"/>
            </w:tcBorders>
            <w:noWrap/>
            <w:vAlign w:val="center"/>
            <w:hideMark/>
          </w:tcPr>
          <w:p w14:paraId="747A9027" w14:textId="77777777" w:rsidR="00C870A2" w:rsidRPr="00C870A2" w:rsidRDefault="00C870A2" w:rsidP="00C870A2">
            <w:pPr>
              <w:spacing w:after="0"/>
              <w:jc w:val="right"/>
              <w:rPr>
                <w:color w:val="000000"/>
                <w:lang w:val="en-IN"/>
              </w:rPr>
            </w:pPr>
            <w:r w:rsidRPr="00C870A2">
              <w:rPr>
                <w:color w:val="000000"/>
                <w:lang w:val="en-IN"/>
              </w:rPr>
              <w:t>3,94,879</w:t>
            </w:r>
          </w:p>
        </w:tc>
      </w:tr>
      <w:tr w:rsidR="00C870A2" w:rsidRPr="00C870A2" w14:paraId="510A1AFD" w14:textId="77777777" w:rsidTr="00C870A2">
        <w:trPr>
          <w:trHeight w:val="312"/>
        </w:trPr>
        <w:tc>
          <w:tcPr>
            <w:tcW w:w="1477" w:type="pct"/>
            <w:tcBorders>
              <w:top w:val="nil"/>
              <w:left w:val="single" w:sz="8" w:space="0" w:color="auto"/>
              <w:bottom w:val="single" w:sz="4" w:space="0" w:color="auto"/>
              <w:right w:val="single" w:sz="4" w:space="0" w:color="auto"/>
            </w:tcBorders>
            <w:noWrap/>
            <w:vAlign w:val="center"/>
            <w:hideMark/>
          </w:tcPr>
          <w:p w14:paraId="1C668382" w14:textId="77777777" w:rsidR="00C870A2" w:rsidRPr="00C870A2" w:rsidRDefault="00C870A2" w:rsidP="00C870A2">
            <w:pPr>
              <w:spacing w:after="0"/>
              <w:jc w:val="left"/>
              <w:rPr>
                <w:b/>
                <w:bCs/>
                <w:color w:val="000000"/>
                <w:lang w:val="en-IN"/>
              </w:rPr>
            </w:pPr>
            <w:r w:rsidRPr="00C870A2">
              <w:rPr>
                <w:b/>
                <w:bCs/>
                <w:color w:val="000000"/>
                <w:lang w:val="en-IN"/>
              </w:rPr>
              <w:t>Operating Cash Flow Ratio</w:t>
            </w:r>
          </w:p>
        </w:tc>
        <w:tc>
          <w:tcPr>
            <w:tcW w:w="684" w:type="pct"/>
            <w:tcBorders>
              <w:top w:val="nil"/>
              <w:left w:val="nil"/>
              <w:bottom w:val="single" w:sz="4" w:space="0" w:color="auto"/>
              <w:right w:val="single" w:sz="4" w:space="0" w:color="auto"/>
            </w:tcBorders>
            <w:noWrap/>
            <w:vAlign w:val="center"/>
            <w:hideMark/>
          </w:tcPr>
          <w:p w14:paraId="23CFC7BA" w14:textId="77777777" w:rsidR="00C870A2" w:rsidRPr="00C870A2" w:rsidRDefault="00C870A2" w:rsidP="00C870A2">
            <w:pPr>
              <w:spacing w:after="0"/>
              <w:jc w:val="center"/>
              <w:rPr>
                <w:b/>
                <w:bCs/>
                <w:color w:val="000000"/>
                <w:lang w:val="en-IN"/>
              </w:rPr>
            </w:pPr>
            <w:r w:rsidRPr="00C870A2">
              <w:rPr>
                <w:b/>
                <w:bCs/>
                <w:color w:val="000000"/>
                <w:lang w:val="en-IN"/>
              </w:rPr>
              <w:t xml:space="preserve">               0.44 </w:t>
            </w:r>
          </w:p>
        </w:tc>
        <w:tc>
          <w:tcPr>
            <w:tcW w:w="684" w:type="pct"/>
            <w:tcBorders>
              <w:top w:val="nil"/>
              <w:left w:val="nil"/>
              <w:bottom w:val="single" w:sz="4" w:space="0" w:color="auto"/>
              <w:right w:val="single" w:sz="4" w:space="0" w:color="auto"/>
            </w:tcBorders>
            <w:noWrap/>
            <w:vAlign w:val="center"/>
            <w:hideMark/>
          </w:tcPr>
          <w:p w14:paraId="752DF891" w14:textId="77777777" w:rsidR="00C870A2" w:rsidRPr="00C870A2" w:rsidRDefault="00C870A2" w:rsidP="00C870A2">
            <w:pPr>
              <w:spacing w:after="0"/>
              <w:jc w:val="center"/>
              <w:rPr>
                <w:b/>
                <w:bCs/>
                <w:color w:val="000000"/>
                <w:lang w:val="en-IN"/>
              </w:rPr>
            </w:pPr>
            <w:r w:rsidRPr="00C870A2">
              <w:rPr>
                <w:b/>
                <w:bCs/>
                <w:color w:val="000000"/>
                <w:lang w:val="en-IN"/>
              </w:rPr>
              <w:t xml:space="preserve">               0.21 </w:t>
            </w:r>
          </w:p>
        </w:tc>
        <w:tc>
          <w:tcPr>
            <w:tcW w:w="684" w:type="pct"/>
            <w:tcBorders>
              <w:top w:val="nil"/>
              <w:left w:val="nil"/>
              <w:bottom w:val="single" w:sz="4" w:space="0" w:color="auto"/>
              <w:right w:val="single" w:sz="4" w:space="0" w:color="auto"/>
            </w:tcBorders>
            <w:noWrap/>
            <w:vAlign w:val="center"/>
            <w:hideMark/>
          </w:tcPr>
          <w:p w14:paraId="7FA5D63F" w14:textId="77777777" w:rsidR="00C870A2" w:rsidRPr="00C870A2" w:rsidRDefault="00C870A2" w:rsidP="00C870A2">
            <w:pPr>
              <w:spacing w:after="0"/>
              <w:jc w:val="center"/>
              <w:rPr>
                <w:b/>
                <w:bCs/>
                <w:color w:val="000000"/>
                <w:lang w:val="en-IN"/>
              </w:rPr>
            </w:pPr>
            <w:r w:rsidRPr="00C870A2">
              <w:rPr>
                <w:b/>
                <w:bCs/>
                <w:color w:val="000000"/>
                <w:lang w:val="en-IN"/>
              </w:rPr>
              <w:t xml:space="preserve">               0.18 </w:t>
            </w:r>
          </w:p>
        </w:tc>
        <w:tc>
          <w:tcPr>
            <w:tcW w:w="735" w:type="pct"/>
            <w:tcBorders>
              <w:top w:val="nil"/>
              <w:left w:val="nil"/>
              <w:bottom w:val="single" w:sz="4" w:space="0" w:color="auto"/>
              <w:right w:val="single" w:sz="4" w:space="0" w:color="auto"/>
            </w:tcBorders>
            <w:noWrap/>
            <w:vAlign w:val="center"/>
            <w:hideMark/>
          </w:tcPr>
          <w:p w14:paraId="18192D98" w14:textId="77777777" w:rsidR="00C870A2" w:rsidRPr="00C870A2" w:rsidRDefault="00C870A2" w:rsidP="00C870A2">
            <w:pPr>
              <w:spacing w:after="0"/>
              <w:jc w:val="center"/>
              <w:rPr>
                <w:b/>
                <w:bCs/>
                <w:color w:val="000000"/>
                <w:lang w:val="en-IN"/>
              </w:rPr>
            </w:pPr>
            <w:r w:rsidRPr="00C870A2">
              <w:rPr>
                <w:b/>
                <w:bCs/>
                <w:color w:val="000000"/>
                <w:lang w:val="en-IN"/>
              </w:rPr>
              <w:t xml:space="preserve">              (0.06)</w:t>
            </w:r>
          </w:p>
        </w:tc>
        <w:tc>
          <w:tcPr>
            <w:tcW w:w="735" w:type="pct"/>
            <w:tcBorders>
              <w:top w:val="nil"/>
              <w:left w:val="nil"/>
              <w:bottom w:val="single" w:sz="4" w:space="0" w:color="auto"/>
              <w:right w:val="single" w:sz="4" w:space="0" w:color="auto"/>
            </w:tcBorders>
            <w:noWrap/>
            <w:vAlign w:val="center"/>
            <w:hideMark/>
          </w:tcPr>
          <w:p w14:paraId="18F6D9B1" w14:textId="77777777" w:rsidR="00C870A2" w:rsidRPr="00C870A2" w:rsidRDefault="00C870A2" w:rsidP="00C870A2">
            <w:pPr>
              <w:spacing w:after="0"/>
              <w:jc w:val="center"/>
              <w:rPr>
                <w:b/>
                <w:bCs/>
                <w:color w:val="000000"/>
                <w:lang w:val="en-IN"/>
              </w:rPr>
            </w:pPr>
            <w:r w:rsidRPr="00C870A2">
              <w:rPr>
                <w:b/>
                <w:bCs/>
                <w:color w:val="000000"/>
                <w:lang w:val="en-IN"/>
              </w:rPr>
              <w:t xml:space="preserve">               0.02 </w:t>
            </w:r>
          </w:p>
        </w:tc>
      </w:tr>
      <w:tr w:rsidR="00C870A2" w:rsidRPr="00C870A2" w14:paraId="27D0C725" w14:textId="77777777" w:rsidTr="00C870A2">
        <w:trPr>
          <w:trHeight w:val="324"/>
        </w:trPr>
        <w:tc>
          <w:tcPr>
            <w:tcW w:w="1477" w:type="pct"/>
            <w:tcBorders>
              <w:top w:val="nil"/>
              <w:left w:val="single" w:sz="8" w:space="0" w:color="auto"/>
              <w:bottom w:val="single" w:sz="8" w:space="0" w:color="auto"/>
              <w:right w:val="single" w:sz="4" w:space="0" w:color="auto"/>
            </w:tcBorders>
            <w:noWrap/>
            <w:vAlign w:val="center"/>
            <w:hideMark/>
          </w:tcPr>
          <w:p w14:paraId="0BBA44E3" w14:textId="77777777" w:rsidR="00C870A2" w:rsidRPr="00C870A2" w:rsidRDefault="00C870A2" w:rsidP="00C870A2">
            <w:pPr>
              <w:spacing w:after="0"/>
              <w:jc w:val="left"/>
              <w:rPr>
                <w:b/>
                <w:bCs/>
                <w:color w:val="000000"/>
                <w:lang w:val="en-IN"/>
              </w:rPr>
            </w:pPr>
            <w:r w:rsidRPr="00C870A2">
              <w:rPr>
                <w:b/>
                <w:bCs/>
                <w:color w:val="000000"/>
                <w:lang w:val="en-IN"/>
              </w:rPr>
              <w:t>Sales Ratio</w:t>
            </w:r>
          </w:p>
        </w:tc>
        <w:tc>
          <w:tcPr>
            <w:tcW w:w="684" w:type="pct"/>
            <w:tcBorders>
              <w:top w:val="nil"/>
              <w:left w:val="nil"/>
              <w:bottom w:val="single" w:sz="8" w:space="0" w:color="auto"/>
              <w:right w:val="single" w:sz="4" w:space="0" w:color="auto"/>
            </w:tcBorders>
            <w:noWrap/>
            <w:vAlign w:val="center"/>
            <w:hideMark/>
          </w:tcPr>
          <w:p w14:paraId="03F17E4D" w14:textId="77777777" w:rsidR="00C870A2" w:rsidRPr="00C870A2" w:rsidRDefault="00C870A2" w:rsidP="00C870A2">
            <w:pPr>
              <w:spacing w:after="0"/>
              <w:jc w:val="center"/>
              <w:rPr>
                <w:b/>
                <w:bCs/>
                <w:color w:val="000000"/>
                <w:lang w:val="en-IN"/>
              </w:rPr>
            </w:pPr>
            <w:r w:rsidRPr="00C870A2">
              <w:rPr>
                <w:b/>
                <w:bCs/>
                <w:color w:val="000000"/>
                <w:lang w:val="en-IN"/>
              </w:rPr>
              <w:t xml:space="preserve">               0.13 </w:t>
            </w:r>
          </w:p>
        </w:tc>
        <w:tc>
          <w:tcPr>
            <w:tcW w:w="684" w:type="pct"/>
            <w:tcBorders>
              <w:top w:val="nil"/>
              <w:left w:val="nil"/>
              <w:bottom w:val="single" w:sz="8" w:space="0" w:color="auto"/>
              <w:right w:val="single" w:sz="4" w:space="0" w:color="auto"/>
            </w:tcBorders>
            <w:noWrap/>
            <w:vAlign w:val="center"/>
            <w:hideMark/>
          </w:tcPr>
          <w:p w14:paraId="62870E89" w14:textId="77777777" w:rsidR="00C870A2" w:rsidRPr="00C870A2" w:rsidRDefault="00C870A2" w:rsidP="00C870A2">
            <w:pPr>
              <w:spacing w:after="0"/>
              <w:jc w:val="center"/>
              <w:rPr>
                <w:b/>
                <w:bCs/>
                <w:color w:val="000000"/>
                <w:lang w:val="en-IN"/>
              </w:rPr>
            </w:pPr>
            <w:r w:rsidRPr="00C870A2">
              <w:rPr>
                <w:b/>
                <w:bCs/>
                <w:color w:val="000000"/>
                <w:lang w:val="en-IN"/>
              </w:rPr>
              <w:t xml:space="preserve">               0.07 </w:t>
            </w:r>
          </w:p>
        </w:tc>
        <w:tc>
          <w:tcPr>
            <w:tcW w:w="684" w:type="pct"/>
            <w:tcBorders>
              <w:top w:val="nil"/>
              <w:left w:val="nil"/>
              <w:bottom w:val="single" w:sz="8" w:space="0" w:color="auto"/>
              <w:right w:val="single" w:sz="4" w:space="0" w:color="auto"/>
            </w:tcBorders>
            <w:noWrap/>
            <w:vAlign w:val="center"/>
            <w:hideMark/>
          </w:tcPr>
          <w:p w14:paraId="7245914E" w14:textId="77777777" w:rsidR="00C870A2" w:rsidRPr="00C870A2" w:rsidRDefault="00C870A2" w:rsidP="00C870A2">
            <w:pPr>
              <w:spacing w:after="0"/>
              <w:jc w:val="center"/>
              <w:rPr>
                <w:b/>
                <w:bCs/>
                <w:color w:val="000000"/>
                <w:lang w:val="en-IN"/>
              </w:rPr>
            </w:pPr>
            <w:r w:rsidRPr="00C870A2">
              <w:rPr>
                <w:b/>
                <w:bCs/>
                <w:color w:val="000000"/>
                <w:lang w:val="en-IN"/>
              </w:rPr>
              <w:t xml:space="preserve">               0.07 </w:t>
            </w:r>
          </w:p>
        </w:tc>
        <w:tc>
          <w:tcPr>
            <w:tcW w:w="735" w:type="pct"/>
            <w:tcBorders>
              <w:top w:val="nil"/>
              <w:left w:val="nil"/>
              <w:bottom w:val="single" w:sz="8" w:space="0" w:color="auto"/>
              <w:right w:val="single" w:sz="4" w:space="0" w:color="auto"/>
            </w:tcBorders>
            <w:noWrap/>
            <w:vAlign w:val="center"/>
            <w:hideMark/>
          </w:tcPr>
          <w:p w14:paraId="71E460FB" w14:textId="77777777" w:rsidR="00C870A2" w:rsidRPr="00C870A2" w:rsidRDefault="00C870A2" w:rsidP="00C870A2">
            <w:pPr>
              <w:spacing w:after="0"/>
              <w:jc w:val="center"/>
              <w:rPr>
                <w:b/>
                <w:bCs/>
                <w:color w:val="000000"/>
                <w:lang w:val="en-IN"/>
              </w:rPr>
            </w:pPr>
            <w:r w:rsidRPr="00C870A2">
              <w:rPr>
                <w:b/>
                <w:bCs/>
                <w:color w:val="000000"/>
                <w:lang w:val="en-IN"/>
              </w:rPr>
              <w:t xml:space="preserve">              (0.02)</w:t>
            </w:r>
          </w:p>
        </w:tc>
        <w:tc>
          <w:tcPr>
            <w:tcW w:w="735" w:type="pct"/>
            <w:tcBorders>
              <w:top w:val="nil"/>
              <w:left w:val="nil"/>
              <w:bottom w:val="single" w:sz="8" w:space="0" w:color="auto"/>
              <w:right w:val="single" w:sz="4" w:space="0" w:color="auto"/>
            </w:tcBorders>
            <w:noWrap/>
            <w:vAlign w:val="center"/>
            <w:hideMark/>
          </w:tcPr>
          <w:p w14:paraId="616982EE" w14:textId="77777777" w:rsidR="00C870A2" w:rsidRPr="00C870A2" w:rsidRDefault="00C870A2" w:rsidP="00C870A2">
            <w:pPr>
              <w:spacing w:after="0"/>
              <w:jc w:val="center"/>
              <w:rPr>
                <w:b/>
                <w:bCs/>
                <w:color w:val="000000"/>
                <w:lang w:val="en-IN"/>
              </w:rPr>
            </w:pPr>
            <w:r w:rsidRPr="00C870A2">
              <w:rPr>
                <w:b/>
                <w:bCs/>
                <w:color w:val="000000"/>
                <w:lang w:val="en-IN"/>
              </w:rPr>
              <w:t xml:space="preserve">               0.01 </w:t>
            </w:r>
          </w:p>
        </w:tc>
      </w:tr>
    </w:tbl>
    <w:p w14:paraId="31AF4355" w14:textId="77777777" w:rsidR="00C870A2" w:rsidRPr="00C870A2" w:rsidRDefault="00C870A2" w:rsidP="00C870A2"/>
    <w:p w14:paraId="6AA68441" w14:textId="77777777" w:rsidR="00DE0959" w:rsidRDefault="00DE0959" w:rsidP="00C870A2"/>
    <w:p w14:paraId="112CB351" w14:textId="77777777" w:rsidR="00DE0959" w:rsidRDefault="00DE0959" w:rsidP="00C870A2"/>
    <w:p w14:paraId="7AE7EE02" w14:textId="75D35F4C" w:rsidR="00DE0959" w:rsidRDefault="00DE0959" w:rsidP="00950983"/>
    <w:sectPr w:rsidR="00DE0959" w:rsidSect="00C870A2">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2FC36D94-1C90-4BD7-9389-8CA3145A22F3}"/>
    <w:embedBold r:id="rId2" w:fontKey="{D9BC03DB-5866-4974-A8E7-E371460CBD9D}"/>
    <w:embedItalic r:id="rId3" w:fontKey="{6AEFA993-7D79-4332-92D7-EABCB138020E}"/>
    <w:embedBoldItalic r:id="rId4" w:fontKey="{9A0564C5-33B9-48B3-9EC8-CA169AF7C34D}"/>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embedRegular r:id="rId5" w:fontKey="{F4CDEF80-6CA3-40AE-87CD-8915ECBA4CCB}"/>
  </w:font>
  <w:font w:name="Cambria">
    <w:panose1 w:val="02040503050406030204"/>
    <w:charset w:val="00"/>
    <w:family w:val="roman"/>
    <w:pitch w:val="variable"/>
    <w:sig w:usb0="E00006FF" w:usb1="420024FF" w:usb2="02000000" w:usb3="00000000" w:csb0="0000019F" w:csb1="00000000"/>
    <w:embedRegular r:id="rId6" w:fontKey="{31FEED3F-9779-4DED-8A23-CF191BE7C09A}"/>
  </w:font>
  <w:font w:name="Cordia New">
    <w:panose1 w:val="020B0304020202020204"/>
    <w:charset w:val="DE"/>
    <w:family w:val="swiss"/>
    <w:pitch w:val="variable"/>
    <w:sig w:usb0="81000003" w:usb1="00000000" w:usb2="00000000" w:usb3="00000000" w:csb0="00010001" w:csb1="00000000"/>
    <w:embedRegular r:id="rId7" w:fontKey="{E1778D25-4B7D-4E81-9B00-3735A2FF40C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959"/>
    <w:rsid w:val="000D58A2"/>
    <w:rsid w:val="00435236"/>
    <w:rsid w:val="00950983"/>
    <w:rsid w:val="00B463B7"/>
    <w:rsid w:val="00C870A2"/>
    <w:rsid w:val="00D1708E"/>
    <w:rsid w:val="00DE0959"/>
    <w:rsid w:val="00F406BD"/>
    <w:rsid w:val="00FB4B67"/>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3B384"/>
  <w15:docId w15:val="{0900EC27-0295-410B-9A36-D99D944B4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zh-CN" w:bidi="th-TH"/>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styleId="TableGrid">
    <w:name w:val="Table Grid"/>
    <w:basedOn w:val="TableNormal"/>
    <w:uiPriority w:val="39"/>
    <w:rsid w:val="00B46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B463B7"/>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magnimetrics.com/" TargetMode="External"/><Relationship Id="rId18" Type="http://schemas.openxmlformats.org/officeDocument/2006/relationships/image" Target="media/image5.emf"/><Relationship Id="rId26" Type="http://schemas.openxmlformats.org/officeDocument/2006/relationships/image" Target="media/image13.emf"/><Relationship Id="rId39" Type="http://schemas.openxmlformats.org/officeDocument/2006/relationships/hyperlink" Target="https://www.fe.training/free-resources/accounting/asset-disposal/" TargetMode="External"/><Relationship Id="rId21" Type="http://schemas.openxmlformats.org/officeDocument/2006/relationships/image" Target="media/image8.emf"/><Relationship Id="rId34" Type="http://schemas.openxmlformats.org/officeDocument/2006/relationships/hyperlink" Target="https://doi.org/10.3390/fintech3040027" TargetMode="External"/><Relationship Id="rId42" Type="http://schemas.openxmlformats.org/officeDocument/2006/relationships/hyperlink" Target="https://corporatefinanceinstitute.com/resources/derivatives/debt-equity-swap/" TargetMode="External"/><Relationship Id="rId47" Type="http://schemas.openxmlformats.org/officeDocument/2006/relationships/hyperlink" Target="https://www.researchgate.net/publication/344031639_Strategic_alignment_and_its_impact_on_decision_effectiveness_a_comprehensive_model" TargetMode="External"/><Relationship Id="rId50" Type="http://schemas.openxmlformats.org/officeDocument/2006/relationships/hyperlink" Target="https://www.netsuite.com/portal/resource/articles/inventory-management/just-in-time-inventory.shtml" TargetMode="External"/><Relationship Id="rId55" Type="http://schemas.openxmlformats.org/officeDocument/2006/relationships/hyperlink" Target="https://www.accaglobal.com/gb/en/student/exam-support-resources/fundamentals-exams-study-resources/f9/technical-articles/optimum-capital-structure.html" TargetMode="External"/><Relationship Id="rId63" Type="http://schemas.openxmlformats.org/officeDocument/2006/relationships/hyperlink" Target="https://www.sap.com/norway/resources/procurement-cost-savings-strategies" TargetMode="External"/><Relationship Id="rId68" Type="http://schemas.openxmlformats.org/officeDocument/2006/relationships/hyperlink" Target="https://doi.org/10.1016/j.jfs.2024.101336" TargetMode="External"/><Relationship Id="rId76" Type="http://schemas.openxmlformats.org/officeDocument/2006/relationships/theme" Target="theme/theme1.xml"/><Relationship Id="rId7" Type="http://schemas.openxmlformats.org/officeDocument/2006/relationships/chart" Target="charts/chart3.xml"/><Relationship Id="rId71" Type="http://schemas.openxmlformats.org/officeDocument/2006/relationships/hyperlink" Target="https://www.wallstreetprep.com/knowledge/payback-period/" TargetMode="External"/><Relationship Id="rId2" Type="http://schemas.openxmlformats.org/officeDocument/2006/relationships/settings" Target="settings.xml"/><Relationship Id="rId16" Type="http://schemas.openxmlformats.org/officeDocument/2006/relationships/image" Target="media/image3.emf"/><Relationship Id="rId29" Type="http://schemas.openxmlformats.org/officeDocument/2006/relationships/image" Target="media/image16.emf"/><Relationship Id="rId11" Type="http://schemas.openxmlformats.org/officeDocument/2006/relationships/chart" Target="charts/chart7.xml"/><Relationship Id="rId24" Type="http://schemas.openxmlformats.org/officeDocument/2006/relationships/image" Target="media/image11.emf"/><Relationship Id="rId32" Type="http://schemas.openxmlformats.org/officeDocument/2006/relationships/hyperlink" Target="https://analystprep.com/cfa-level-1-exam/corporate-finance/measures-profitability-npv-irr-aar-pi/" TargetMode="External"/><Relationship Id="rId37" Type="http://schemas.openxmlformats.org/officeDocument/2006/relationships/hyperlink" Target="https://doi.org/10.1016/j.iref.2025.104189" TargetMode="External"/><Relationship Id="rId40" Type="http://schemas.openxmlformats.org/officeDocument/2006/relationships/hyperlink" Target="https://corporatefinanceinstitute.com/resources/accounting/efficiency-ratios/" TargetMode="External"/><Relationship Id="rId45" Type="http://schemas.openxmlformats.org/officeDocument/2006/relationships/hyperlink" Target="https://elephants-child.co.uk/2023/09/11/how-bad-business-credit-affects-your-supplier-relationships/" TargetMode="External"/><Relationship Id="rId53" Type="http://schemas.openxmlformats.org/officeDocument/2006/relationships/hyperlink" Target="https://kpmg.com/xx/en/our-insights/risk-and-regulation/top-risks-forecast/consumer-and-retail-top-risks-forecast.html" TargetMode="External"/><Relationship Id="rId58" Type="http://schemas.openxmlformats.org/officeDocument/2006/relationships/hyperlink" Target="https://dealroom.net/blog/capital-raising" TargetMode="External"/><Relationship Id="rId66" Type="http://schemas.openxmlformats.org/officeDocument/2006/relationships/hyperlink" Target="https://www.fe.training/free-resources/valuation/net-present-value-vs-internal-rate-of-return/" TargetMode="External"/><Relationship Id="rId74" Type="http://schemas.openxmlformats.org/officeDocument/2006/relationships/hyperlink" Target="https://doi.org/10.1080/20954816.2022.2163602" TargetMode="External"/><Relationship Id="rId5" Type="http://schemas.openxmlformats.org/officeDocument/2006/relationships/chart" Target="charts/chart1.xml"/><Relationship Id="rId15" Type="http://schemas.openxmlformats.org/officeDocument/2006/relationships/chart" Target="charts/chart9.xml"/><Relationship Id="rId23" Type="http://schemas.openxmlformats.org/officeDocument/2006/relationships/image" Target="media/image10.emf"/><Relationship Id="rId28" Type="http://schemas.openxmlformats.org/officeDocument/2006/relationships/image" Target="media/image15.emf"/><Relationship Id="rId36" Type="http://schemas.openxmlformats.org/officeDocument/2006/relationships/hyperlink" Target="https://365financialanalyst.com/knowledge-hub/financial-analysis/solvency-ratios/" TargetMode="External"/><Relationship Id="rId49" Type="http://schemas.openxmlformats.org/officeDocument/2006/relationships/hyperlink" Target="https://www.highradius.com/resources/Blog/what-is-credit-control-and-how-it-works/" TargetMode="External"/><Relationship Id="rId57" Type="http://schemas.openxmlformats.org/officeDocument/2006/relationships/hyperlink" Target="https://doi.org/10.1016/j.heliyon.2022.e10036" TargetMode="External"/><Relationship Id="rId61" Type="http://schemas.openxmlformats.org/officeDocument/2006/relationships/hyperlink" Target="https://www.prudentialprivatecapital.com/perspectives/the-benefits-of-long-term-vs-short-term-financing" TargetMode="External"/><Relationship Id="rId10" Type="http://schemas.openxmlformats.org/officeDocument/2006/relationships/chart" Target="charts/chart6.xml"/><Relationship Id="rId19" Type="http://schemas.openxmlformats.org/officeDocument/2006/relationships/image" Target="media/image6.emf"/><Relationship Id="rId31" Type="http://schemas.openxmlformats.org/officeDocument/2006/relationships/hyperlink" Target="https://www.accountingcoach.com/blog/inventory-days" TargetMode="External"/><Relationship Id="rId44" Type="http://schemas.openxmlformats.org/officeDocument/2006/relationships/hyperlink" Target="https://doi.org/10.3390/electronics14112151" TargetMode="External"/><Relationship Id="rId52" Type="http://schemas.openxmlformats.org/officeDocument/2006/relationships/hyperlink" Target="https://365financialanalyst.com/knowledge-hub/corporate-finance/what-is-profitability-index/" TargetMode="External"/><Relationship Id="rId60" Type="http://schemas.openxmlformats.org/officeDocument/2006/relationships/hyperlink" Target="https://doi.org/10.4018/979-8-3693-4066-0.ch006" TargetMode="External"/><Relationship Id="rId65" Type="http://schemas.openxmlformats.org/officeDocument/2006/relationships/hyperlink" Target="https://www.semanticscholar.org/paper/The-Impact-of-Strategic-Inventory-Management-on/cc5395bd57c67528b7bb76dd46d9eaf6a16e709e" TargetMode="External"/><Relationship Id="rId73" Type="http://schemas.openxmlformats.org/officeDocument/2006/relationships/hyperlink" Target="https://doi.org/10.1109/access.2022.3153478" TargetMode="External"/><Relationship Id="rId4" Type="http://schemas.openxmlformats.org/officeDocument/2006/relationships/image" Target="media/image1.png"/><Relationship Id="rId9" Type="http://schemas.openxmlformats.org/officeDocument/2006/relationships/chart" Target="charts/chart5.xml"/><Relationship Id="rId14" Type="http://schemas.openxmlformats.org/officeDocument/2006/relationships/image" Target="media/image2.png"/><Relationship Id="rId22" Type="http://schemas.openxmlformats.org/officeDocument/2006/relationships/image" Target="media/image9.emf"/><Relationship Id="rId27" Type="http://schemas.openxmlformats.org/officeDocument/2006/relationships/image" Target="media/image14.emf"/><Relationship Id="rId30" Type="http://schemas.openxmlformats.org/officeDocument/2006/relationships/image" Target="media/image17.emf"/><Relationship Id="rId35" Type="http://schemas.openxmlformats.org/officeDocument/2006/relationships/hyperlink" Target="https://doi.org/10.1108/jmb-10-2024-0062" TargetMode="External"/><Relationship Id="rId43" Type="http://schemas.openxmlformats.org/officeDocument/2006/relationships/hyperlink" Target="https://corporatefinanceinstitute.com/resources/valuation/divestiture-overview/" TargetMode="External"/><Relationship Id="rId48" Type="http://schemas.openxmlformats.org/officeDocument/2006/relationships/hyperlink" Target="https://doi.org/10.1016/j.iref.2025.104267" TargetMode="External"/><Relationship Id="rId56" Type="http://schemas.openxmlformats.org/officeDocument/2006/relationships/hyperlink" Target="https://doi.org/10.1108/ajar-12-2023-0411" TargetMode="External"/><Relationship Id="rId64" Type="http://schemas.openxmlformats.org/officeDocument/2006/relationships/hyperlink" Target="https://doi.org/10.1016/j.heliyon.2024.e27825" TargetMode="External"/><Relationship Id="rId69" Type="http://schemas.openxmlformats.org/officeDocument/2006/relationships/hyperlink" Target="https://corporatefinanceinstitute.com/resources/accounting/profitability-ratios/" TargetMode="External"/><Relationship Id="rId8" Type="http://schemas.openxmlformats.org/officeDocument/2006/relationships/chart" Target="charts/chart4.xml"/><Relationship Id="rId51" Type="http://schemas.openxmlformats.org/officeDocument/2006/relationships/hyperlink" Target="https://gacbe.ac.in/pdf/ematerial/18BBA31C-U5.pdf" TargetMode="External"/><Relationship Id="rId72" Type="http://schemas.openxmlformats.org/officeDocument/2006/relationships/hyperlink" Target="https://www.wallstreetprep.com/knowledge/solvency/" TargetMode="External"/><Relationship Id="rId3" Type="http://schemas.openxmlformats.org/officeDocument/2006/relationships/webSettings" Target="webSettings.xml"/><Relationship Id="rId12" Type="http://schemas.openxmlformats.org/officeDocument/2006/relationships/chart" Target="charts/chart8.xml"/><Relationship Id="rId17" Type="http://schemas.openxmlformats.org/officeDocument/2006/relationships/image" Target="media/image4.emf"/><Relationship Id="rId25" Type="http://schemas.openxmlformats.org/officeDocument/2006/relationships/image" Target="media/image12.emf"/><Relationship Id="rId33" Type="http://schemas.openxmlformats.org/officeDocument/2006/relationships/hyperlink" Target="https://www.indusind.bank.in/iblogs/personal-loan/difference-between-personal-loan-and-overdraft" TargetMode="External"/><Relationship Id="rId38" Type="http://schemas.openxmlformats.org/officeDocument/2006/relationships/hyperlink" Target="https://doi.org/10.3390/jrfm18080465" TargetMode="External"/><Relationship Id="rId46" Type="http://schemas.openxmlformats.org/officeDocument/2006/relationships/hyperlink" Target="https://doi.org/10.3390/jrfm17120580" TargetMode="External"/><Relationship Id="rId59" Type="http://schemas.openxmlformats.org/officeDocument/2006/relationships/hyperlink" Target="https://poonawallafincorp.com/blogs/financial-insights/overdraft-vs-cash-credit" TargetMode="External"/><Relationship Id="rId67" Type="http://schemas.openxmlformats.org/officeDocument/2006/relationships/hyperlink" Target="https://startupsavant.com/startup-finance/what-is-non-dilutive-funding" TargetMode="External"/><Relationship Id="rId20" Type="http://schemas.openxmlformats.org/officeDocument/2006/relationships/image" Target="media/image7.emf"/><Relationship Id="rId41" Type="http://schemas.openxmlformats.org/officeDocument/2006/relationships/hyperlink" Target="https://corporatefinanceinstitute.com/resources/accounting/liquidity-ratio/" TargetMode="External"/><Relationship Id="rId54" Type="http://schemas.openxmlformats.org/officeDocument/2006/relationships/hyperlink" Target="https://doi.org/1015423443/uDdTCPiQ8moQ08OY5AM" TargetMode="External"/><Relationship Id="rId62" Type="http://schemas.openxmlformats.org/officeDocument/2006/relationships/hyperlink" Target="https://tecex.com/what-is-import-tax/" TargetMode="External"/><Relationship Id="rId70" Type="http://schemas.openxmlformats.org/officeDocument/2006/relationships/hyperlink" Target="https://corporatefinanceinstitute.com/resources/accounting/arr-accounting-rate-of-return/" TargetMode="External"/><Relationship Id="rId75"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chart" Target="charts/chart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charts/_rels/chart1.xml.rels><?xml version="1.0" encoding="UTF-8" standalone="yes"?>
<Relationships xmlns="http://schemas.openxmlformats.org/package/2006/relationships"><Relationship Id="rId3" Type="http://schemas.openxmlformats.org/officeDocument/2006/relationships/oleObject" Target="file:///D:\Work\BM12246\Calculati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Work\BM12246\Calculatio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Work\BM12246\Calculatio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Work\BM12246\Calculation.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Work\BM12246\Calculation.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D:\Work\BM12246\Calculation.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D:\Work\BM12246\Calculation.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D:\Work\BM12246\Calculation.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D:\Work\BM12246\Calculation.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Trend Analysis</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tx>
            <c:strRef>
              <c:f>'Trend Analysis'!$B$3</c:f>
              <c:strCache>
                <c:ptCount val="1"/>
                <c:pt idx="0">
                  <c:v>Net sales</c:v>
                </c:pt>
              </c:strCache>
            </c:strRef>
          </c:tx>
          <c:spPr>
            <a:noFill/>
            <a:ln w="9525" cap="flat" cmpd="sng" algn="ctr">
              <a:solidFill>
                <a:schemeClr val="accent1"/>
              </a:solidFill>
              <a:miter lim="800000"/>
            </a:ln>
            <a:effectLst>
              <a:glow rad="63500">
                <a:schemeClr val="accent1">
                  <a:satMod val="175000"/>
                  <a:alpha val="25000"/>
                </a:schemeClr>
              </a:glow>
            </a:effectLst>
          </c:spPr>
          <c:invertIfNegative val="0"/>
          <c:cat>
            <c:numRef>
              <c:f>'Trend Analysis'!$C$2:$G$2</c:f>
              <c:numCache>
                <c:formatCode>General</c:formatCode>
                <c:ptCount val="5"/>
                <c:pt idx="0">
                  <c:v>2020</c:v>
                </c:pt>
                <c:pt idx="1">
                  <c:v>2021</c:v>
                </c:pt>
                <c:pt idx="2">
                  <c:v>2022</c:v>
                </c:pt>
                <c:pt idx="3">
                  <c:v>2023</c:v>
                </c:pt>
                <c:pt idx="4">
                  <c:v>2024</c:v>
                </c:pt>
              </c:numCache>
            </c:numRef>
          </c:cat>
          <c:val>
            <c:numRef>
              <c:f>'Trend Analysis'!$C$3:$G$3</c:f>
              <c:numCache>
                <c:formatCode>_-[$£-809]* #,##0.00_-;\-[$£-809]* #,##0.00_-;_-[$£-809]* "-"??_-;_-@_-</c:formatCode>
                <c:ptCount val="5"/>
                <c:pt idx="0">
                  <c:v>614680</c:v>
                </c:pt>
                <c:pt idx="1">
                  <c:v>601602</c:v>
                </c:pt>
                <c:pt idx="2">
                  <c:v>542751</c:v>
                </c:pt>
                <c:pt idx="3">
                  <c:v>420457</c:v>
                </c:pt>
                <c:pt idx="4">
                  <c:v>394879</c:v>
                </c:pt>
              </c:numCache>
            </c:numRef>
          </c:val>
          <c:extLst>
            <c:ext xmlns:c16="http://schemas.microsoft.com/office/drawing/2014/chart" uri="{C3380CC4-5D6E-409C-BE32-E72D297353CC}">
              <c16:uniqueId val="{00000000-3F42-42FD-AA1F-E046650335BA}"/>
            </c:ext>
          </c:extLst>
        </c:ser>
        <c:ser>
          <c:idx val="1"/>
          <c:order val="1"/>
          <c:tx>
            <c:strRef>
              <c:f>'Trend Analysis'!$B$4</c:f>
              <c:strCache>
                <c:ptCount val="1"/>
                <c:pt idx="0">
                  <c:v>Operating income (loss)</c:v>
                </c:pt>
              </c:strCache>
            </c:strRef>
          </c:tx>
          <c:spPr>
            <a:noFill/>
            <a:ln w="9525" cap="flat" cmpd="sng" algn="ctr">
              <a:solidFill>
                <a:schemeClr val="accent2"/>
              </a:solidFill>
              <a:miter lim="800000"/>
            </a:ln>
            <a:effectLst>
              <a:glow rad="63500">
                <a:schemeClr val="accent2">
                  <a:satMod val="175000"/>
                  <a:alpha val="25000"/>
                </a:schemeClr>
              </a:glow>
            </a:effectLst>
          </c:spPr>
          <c:invertIfNegative val="0"/>
          <c:cat>
            <c:numRef>
              <c:f>'Trend Analysis'!$C$2:$G$2</c:f>
              <c:numCache>
                <c:formatCode>General</c:formatCode>
                <c:ptCount val="5"/>
                <c:pt idx="0">
                  <c:v>2020</c:v>
                </c:pt>
                <c:pt idx="1">
                  <c:v>2021</c:v>
                </c:pt>
                <c:pt idx="2">
                  <c:v>2022</c:v>
                </c:pt>
                <c:pt idx="3">
                  <c:v>2023</c:v>
                </c:pt>
                <c:pt idx="4">
                  <c:v>2024</c:v>
                </c:pt>
              </c:numCache>
            </c:numRef>
          </c:cat>
          <c:val>
            <c:numRef>
              <c:f>'Trend Analysis'!$C$4:$G$4</c:f>
              <c:numCache>
                <c:formatCode>_-[$£-809]* #,##0.00_-;\-[$£-809]* #,##0.00_-;_-[$£-809]* "-"??_-;_-@_-</c:formatCode>
                <c:ptCount val="5"/>
                <c:pt idx="0">
                  <c:v>37267</c:v>
                </c:pt>
                <c:pt idx="1">
                  <c:v>23253</c:v>
                </c:pt>
                <c:pt idx="2">
                  <c:v>14548</c:v>
                </c:pt>
                <c:pt idx="3">
                  <c:v>-85301</c:v>
                </c:pt>
                <c:pt idx="4">
                  <c:v>-15297</c:v>
                </c:pt>
              </c:numCache>
            </c:numRef>
          </c:val>
          <c:extLst>
            <c:ext xmlns:c16="http://schemas.microsoft.com/office/drawing/2014/chart" uri="{C3380CC4-5D6E-409C-BE32-E72D297353CC}">
              <c16:uniqueId val="{00000001-3F42-42FD-AA1F-E046650335BA}"/>
            </c:ext>
          </c:extLst>
        </c:ser>
        <c:ser>
          <c:idx val="2"/>
          <c:order val="2"/>
          <c:tx>
            <c:strRef>
              <c:f>'Trend Analysis'!$B$5</c:f>
              <c:strCache>
                <c:ptCount val="1"/>
                <c:pt idx="0">
                  <c:v>Net income (loss)</c:v>
                </c:pt>
              </c:strCache>
            </c:strRef>
          </c:tx>
          <c:spPr>
            <a:noFill/>
            <a:ln w="9525" cap="flat" cmpd="sng" algn="ctr">
              <a:solidFill>
                <a:schemeClr val="accent3"/>
              </a:solidFill>
              <a:miter lim="800000"/>
            </a:ln>
            <a:effectLst>
              <a:glow rad="63500">
                <a:schemeClr val="accent3">
                  <a:satMod val="175000"/>
                  <a:alpha val="25000"/>
                </a:schemeClr>
              </a:glow>
            </a:effectLst>
          </c:spPr>
          <c:invertIfNegative val="0"/>
          <c:cat>
            <c:numRef>
              <c:f>'Trend Analysis'!$C$2:$G$2</c:f>
              <c:numCache>
                <c:formatCode>General</c:formatCode>
                <c:ptCount val="5"/>
                <c:pt idx="0">
                  <c:v>2020</c:v>
                </c:pt>
                <c:pt idx="1">
                  <c:v>2021</c:v>
                </c:pt>
                <c:pt idx="2">
                  <c:v>2022</c:v>
                </c:pt>
                <c:pt idx="3">
                  <c:v>2023</c:v>
                </c:pt>
                <c:pt idx="4">
                  <c:v>2024</c:v>
                </c:pt>
              </c:numCache>
            </c:numRef>
          </c:cat>
          <c:val>
            <c:numRef>
              <c:f>'Trend Analysis'!$C$5:$G$5</c:f>
              <c:numCache>
                <c:formatCode>_-[$£-809]* #,##0.00_-;\-[$£-809]* #,##0.00_-;_-[$£-809]* "-"??_-;_-@_-</c:formatCode>
                <c:ptCount val="5"/>
                <c:pt idx="0">
                  <c:v>38572</c:v>
                </c:pt>
                <c:pt idx="1">
                  <c:v>5301</c:v>
                </c:pt>
                <c:pt idx="2">
                  <c:v>407</c:v>
                </c:pt>
                <c:pt idx="3">
                  <c:v>-98238</c:v>
                </c:pt>
                <c:pt idx="4">
                  <c:v>-24029</c:v>
                </c:pt>
              </c:numCache>
            </c:numRef>
          </c:val>
          <c:extLst>
            <c:ext xmlns:c16="http://schemas.microsoft.com/office/drawing/2014/chart" uri="{C3380CC4-5D6E-409C-BE32-E72D297353CC}">
              <c16:uniqueId val="{00000002-3F42-42FD-AA1F-E046650335BA}"/>
            </c:ext>
          </c:extLst>
        </c:ser>
        <c:ser>
          <c:idx val="3"/>
          <c:order val="3"/>
          <c:tx>
            <c:strRef>
              <c:f>'Trend Analysis'!$B$6</c:f>
              <c:strCache>
                <c:ptCount val="1"/>
                <c:pt idx="0">
                  <c:v>Total assets</c:v>
                </c:pt>
              </c:strCache>
            </c:strRef>
          </c:tx>
          <c:spPr>
            <a:noFill/>
            <a:ln w="9525" cap="flat" cmpd="sng" algn="ctr">
              <a:solidFill>
                <a:schemeClr val="accent4"/>
              </a:solidFill>
              <a:miter lim="800000"/>
            </a:ln>
            <a:effectLst>
              <a:glow rad="63500">
                <a:schemeClr val="accent4">
                  <a:satMod val="175000"/>
                  <a:alpha val="25000"/>
                </a:schemeClr>
              </a:glow>
            </a:effectLst>
          </c:spPr>
          <c:invertIfNegative val="0"/>
          <c:cat>
            <c:numRef>
              <c:f>'Trend Analysis'!$C$2:$G$2</c:f>
              <c:numCache>
                <c:formatCode>General</c:formatCode>
                <c:ptCount val="5"/>
                <c:pt idx="0">
                  <c:v>2020</c:v>
                </c:pt>
                <c:pt idx="1">
                  <c:v>2021</c:v>
                </c:pt>
                <c:pt idx="2">
                  <c:v>2022</c:v>
                </c:pt>
                <c:pt idx="3">
                  <c:v>2023</c:v>
                </c:pt>
                <c:pt idx="4">
                  <c:v>2024</c:v>
                </c:pt>
              </c:numCache>
            </c:numRef>
          </c:cat>
          <c:val>
            <c:numRef>
              <c:f>'Trend Analysis'!$C$6:$G$6</c:f>
              <c:numCache>
                <c:formatCode>_-[$£-809]* #,##0.00_-;\-[$£-809]* #,##0.00_-;_-[$£-809]* "-"??_-;_-@_-</c:formatCode>
                <c:ptCount val="5"/>
                <c:pt idx="0">
                  <c:v>510290</c:v>
                </c:pt>
                <c:pt idx="1">
                  <c:v>510348</c:v>
                </c:pt>
                <c:pt idx="2">
                  <c:v>504163</c:v>
                </c:pt>
                <c:pt idx="3">
                  <c:v>355872</c:v>
                </c:pt>
                <c:pt idx="4">
                  <c:v>323354</c:v>
                </c:pt>
              </c:numCache>
            </c:numRef>
          </c:val>
          <c:extLst>
            <c:ext xmlns:c16="http://schemas.microsoft.com/office/drawing/2014/chart" uri="{C3380CC4-5D6E-409C-BE32-E72D297353CC}">
              <c16:uniqueId val="{00000003-3F42-42FD-AA1F-E046650335BA}"/>
            </c:ext>
          </c:extLst>
        </c:ser>
        <c:dLbls>
          <c:showLegendKey val="0"/>
          <c:showVal val="0"/>
          <c:showCatName val="0"/>
          <c:showSerName val="0"/>
          <c:showPercent val="0"/>
          <c:showBubbleSize val="0"/>
        </c:dLbls>
        <c:gapWidth val="315"/>
        <c:overlap val="-40"/>
        <c:axId val="1931244448"/>
        <c:axId val="1931229888"/>
      </c:barChart>
      <c:catAx>
        <c:axId val="1931244448"/>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931229888"/>
        <c:crosses val="autoZero"/>
        <c:auto val="1"/>
        <c:lblAlgn val="ctr"/>
        <c:lblOffset val="100"/>
        <c:noMultiLvlLbl val="0"/>
      </c:catAx>
      <c:valAx>
        <c:axId val="1931229888"/>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_-[$£-809]* #,##0.00_-;\-[$£-809]* #,##0.00_-;_-[$£-809]*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931244448"/>
        <c:crosses val="autoZero"/>
        <c:crossBetween val="between"/>
      </c:valAx>
      <c:dTable>
        <c:showHorzBorder val="1"/>
        <c:showVertBorder val="1"/>
        <c:showOutline val="1"/>
        <c:showKeys val="1"/>
        <c:spPr>
          <a:noFill/>
          <a:ln w="9525">
            <a:solidFill>
              <a:schemeClr val="dk1">
                <a:lumMod val="50000"/>
                <a:lumOff val="50000"/>
              </a:schemeClr>
            </a:solidFill>
          </a:ln>
          <a:effectLst/>
        </c:spPr>
        <c:txPr>
          <a:bodyPr rot="0" spcFirstLastPara="1" vertOverflow="ellipsis" vert="horz" wrap="square" anchor="ctr" anchorCtr="1"/>
          <a:lstStyle/>
          <a:p>
            <a:pPr rtl="0">
              <a:defRPr sz="900" b="0" i="0" u="none" strike="noStrike" kern="1200" baseline="0">
                <a:solidFill>
                  <a:schemeClr val="lt1">
                    <a:lumMod val="75000"/>
                  </a:schemeClr>
                </a:solidFill>
                <a:latin typeface="+mn-lt"/>
                <a:ea typeface="+mn-ea"/>
                <a:cs typeface="+mn-cs"/>
              </a:defRPr>
            </a:pPr>
            <a:endParaRPr lang="en-US"/>
          </a:p>
        </c:txPr>
      </c:dTable>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Profitability Ratios</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Ratio!$B$9</c:f>
              <c:strCache>
                <c:ptCount val="1"/>
                <c:pt idx="0">
                  <c:v>Net Margin</c:v>
                </c:pt>
              </c:strCache>
            </c:strRef>
          </c:tx>
          <c:spPr>
            <a:noFill/>
            <a:ln w="9525" cap="flat" cmpd="sng" algn="ctr">
              <a:solidFill>
                <a:schemeClr val="accent2"/>
              </a:solidFill>
              <a:miter lim="800000"/>
            </a:ln>
            <a:effectLst>
              <a:glow rad="63500">
                <a:schemeClr val="accent2">
                  <a:satMod val="175000"/>
                  <a:alpha val="25000"/>
                </a:schemeClr>
              </a:glow>
            </a:effectLst>
          </c:spPr>
          <c:invertIfNegative val="0"/>
          <c:cat>
            <c:numRef>
              <c:f>Ratio!$C$3:$G$3</c:f>
              <c:numCache>
                <c:formatCode>General</c:formatCode>
                <c:ptCount val="5"/>
                <c:pt idx="0">
                  <c:v>2020</c:v>
                </c:pt>
                <c:pt idx="1">
                  <c:v>2021</c:v>
                </c:pt>
                <c:pt idx="2">
                  <c:v>2022</c:v>
                </c:pt>
                <c:pt idx="3">
                  <c:v>2023</c:v>
                </c:pt>
                <c:pt idx="4">
                  <c:v>2024</c:v>
                </c:pt>
              </c:numCache>
            </c:numRef>
          </c:cat>
          <c:val>
            <c:numRef>
              <c:f>Ratio!$C$9:$G$9</c:f>
              <c:numCache>
                <c:formatCode>0.00%</c:formatCode>
                <c:ptCount val="5"/>
                <c:pt idx="0">
                  <c:v>6.2751350296089026E-2</c:v>
                </c:pt>
                <c:pt idx="1">
                  <c:v>8.8114733661124791E-3</c:v>
                </c:pt>
                <c:pt idx="2">
                  <c:v>7.4988346405626153E-4</c:v>
                </c:pt>
                <c:pt idx="3">
                  <c:v>-0.23364577114901167</c:v>
                </c:pt>
                <c:pt idx="4">
                  <c:v>-6.0851551994408414E-2</c:v>
                </c:pt>
              </c:numCache>
            </c:numRef>
          </c:val>
          <c:extLst>
            <c:ext xmlns:c16="http://schemas.microsoft.com/office/drawing/2014/chart" uri="{C3380CC4-5D6E-409C-BE32-E72D297353CC}">
              <c16:uniqueId val="{00000000-CDC9-4675-832A-930D7ADD5711}"/>
            </c:ext>
          </c:extLst>
        </c:ser>
        <c:ser>
          <c:idx val="1"/>
          <c:order val="1"/>
          <c:tx>
            <c:strRef>
              <c:f>Ratio!$B$10</c:f>
              <c:strCache>
                <c:ptCount val="1"/>
                <c:pt idx="0">
                  <c:v>Return on Capital Employed (ROCE)</c:v>
                </c:pt>
              </c:strCache>
            </c:strRef>
          </c:tx>
          <c:spPr>
            <a:noFill/>
            <a:ln w="9525" cap="flat" cmpd="sng" algn="ctr">
              <a:solidFill>
                <a:schemeClr val="accent4"/>
              </a:solidFill>
              <a:miter lim="800000"/>
            </a:ln>
            <a:effectLst>
              <a:glow rad="63500">
                <a:schemeClr val="accent4">
                  <a:satMod val="175000"/>
                  <a:alpha val="25000"/>
                </a:schemeClr>
              </a:glow>
            </a:effectLst>
          </c:spPr>
          <c:invertIfNegative val="0"/>
          <c:cat>
            <c:numRef>
              <c:f>Ratio!$C$3:$G$3</c:f>
              <c:numCache>
                <c:formatCode>General</c:formatCode>
                <c:ptCount val="5"/>
                <c:pt idx="0">
                  <c:v>2020</c:v>
                </c:pt>
                <c:pt idx="1">
                  <c:v>2021</c:v>
                </c:pt>
                <c:pt idx="2">
                  <c:v>2022</c:v>
                </c:pt>
                <c:pt idx="3">
                  <c:v>2023</c:v>
                </c:pt>
                <c:pt idx="4">
                  <c:v>2024</c:v>
                </c:pt>
              </c:numCache>
            </c:numRef>
          </c:cat>
          <c:val>
            <c:numRef>
              <c:f>Ratio!$C$10:$G$10</c:f>
              <c:numCache>
                <c:formatCode>0.00%</c:formatCode>
                <c:ptCount val="5"/>
                <c:pt idx="0">
                  <c:v>0.11266400628816736</c:v>
                </c:pt>
                <c:pt idx="1">
                  <c:v>7.9210113059977313E-2</c:v>
                </c:pt>
                <c:pt idx="2">
                  <c:v>5.0568320066738504E-2</c:v>
                </c:pt>
                <c:pt idx="3">
                  <c:v>-0.43806105051252031</c:v>
                </c:pt>
                <c:pt idx="4">
                  <c:v>-9.2673706403009759E-2</c:v>
                </c:pt>
              </c:numCache>
            </c:numRef>
          </c:val>
          <c:extLst>
            <c:ext xmlns:c16="http://schemas.microsoft.com/office/drawing/2014/chart" uri="{C3380CC4-5D6E-409C-BE32-E72D297353CC}">
              <c16:uniqueId val="{00000001-CDC9-4675-832A-930D7ADD5711}"/>
            </c:ext>
          </c:extLst>
        </c:ser>
        <c:dLbls>
          <c:showLegendKey val="0"/>
          <c:showVal val="0"/>
          <c:showCatName val="0"/>
          <c:showSerName val="0"/>
          <c:showPercent val="0"/>
          <c:showBubbleSize val="0"/>
        </c:dLbls>
        <c:gapWidth val="315"/>
        <c:overlap val="-40"/>
        <c:axId val="1340866224"/>
        <c:axId val="1340866768"/>
      </c:barChart>
      <c:catAx>
        <c:axId val="1340866224"/>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340866768"/>
        <c:crosses val="autoZero"/>
        <c:auto val="1"/>
        <c:lblAlgn val="ctr"/>
        <c:lblOffset val="100"/>
        <c:noMultiLvlLbl val="0"/>
      </c:catAx>
      <c:valAx>
        <c:axId val="1340866768"/>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340866224"/>
        <c:crosses val="autoZero"/>
        <c:crossBetween val="between"/>
      </c:valAx>
      <c:dTable>
        <c:showHorzBorder val="1"/>
        <c:showVertBorder val="1"/>
        <c:showOutline val="1"/>
        <c:showKeys val="1"/>
        <c:spPr>
          <a:noFill/>
          <a:ln w="9525">
            <a:solidFill>
              <a:schemeClr val="dk1">
                <a:lumMod val="50000"/>
                <a:lumOff val="50000"/>
              </a:schemeClr>
            </a:solidFill>
          </a:ln>
          <a:effectLst/>
        </c:spPr>
        <c:txPr>
          <a:bodyPr rot="0" spcFirstLastPara="1" vertOverflow="ellipsis" vert="horz" wrap="square" anchor="ctr" anchorCtr="1"/>
          <a:lstStyle/>
          <a:p>
            <a:pPr rtl="0">
              <a:defRPr sz="900" b="0" i="0" u="none" strike="noStrike" kern="1200" baseline="0">
                <a:solidFill>
                  <a:schemeClr val="lt1">
                    <a:lumMod val="7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Liquidity Ratios</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Ratio!$B$17</c:f>
              <c:strCache>
                <c:ptCount val="1"/>
                <c:pt idx="0">
                  <c:v>Current Ratio</c:v>
                </c:pt>
              </c:strCache>
            </c:strRef>
          </c:tx>
          <c:spPr>
            <a:noFill/>
            <a:ln w="9525" cap="flat" cmpd="sng" algn="ctr">
              <a:solidFill>
                <a:schemeClr val="accent2"/>
              </a:solidFill>
              <a:miter lim="800000"/>
            </a:ln>
            <a:effectLst>
              <a:glow rad="63500">
                <a:schemeClr val="accent2">
                  <a:satMod val="175000"/>
                  <a:alpha val="25000"/>
                </a:schemeClr>
              </a:glow>
            </a:effectLst>
          </c:spPr>
          <c:invertIfNegative val="0"/>
          <c:cat>
            <c:numRef>
              <c:f>Ratio!$C$13:$G$13</c:f>
              <c:numCache>
                <c:formatCode>General</c:formatCode>
                <c:ptCount val="5"/>
                <c:pt idx="0">
                  <c:v>2020</c:v>
                </c:pt>
                <c:pt idx="1">
                  <c:v>2021</c:v>
                </c:pt>
                <c:pt idx="2">
                  <c:v>2022</c:v>
                </c:pt>
                <c:pt idx="3">
                  <c:v>2023</c:v>
                </c:pt>
                <c:pt idx="4">
                  <c:v>2024</c:v>
                </c:pt>
              </c:numCache>
            </c:numRef>
          </c:cat>
          <c:val>
            <c:numRef>
              <c:f>Ratio!$C$17:$G$17</c:f>
              <c:numCache>
                <c:formatCode>_(* #,##0.00_);_(* \(#,##0.00\);_(* "-"??_);_(@_)</c:formatCode>
                <c:ptCount val="5"/>
                <c:pt idx="0">
                  <c:v>1.8207509330956493</c:v>
                </c:pt>
                <c:pt idx="1">
                  <c:v>1.5551947303113194</c:v>
                </c:pt>
                <c:pt idx="2">
                  <c:v>1.5615804280441441</c:v>
                </c:pt>
                <c:pt idx="3">
                  <c:v>1.6062935934668752</c:v>
                </c:pt>
                <c:pt idx="4">
                  <c:v>1.5319506478574272</c:v>
                </c:pt>
              </c:numCache>
            </c:numRef>
          </c:val>
          <c:extLst>
            <c:ext xmlns:c16="http://schemas.microsoft.com/office/drawing/2014/chart" uri="{C3380CC4-5D6E-409C-BE32-E72D297353CC}">
              <c16:uniqueId val="{00000000-8B9C-4E15-88E8-473C9CAA3D99}"/>
            </c:ext>
          </c:extLst>
        </c:ser>
        <c:ser>
          <c:idx val="1"/>
          <c:order val="1"/>
          <c:tx>
            <c:strRef>
              <c:f>Ratio!$B$18</c:f>
              <c:strCache>
                <c:ptCount val="1"/>
                <c:pt idx="0">
                  <c:v>Quick Ratio</c:v>
                </c:pt>
              </c:strCache>
            </c:strRef>
          </c:tx>
          <c:spPr>
            <a:noFill/>
            <a:ln w="9525" cap="flat" cmpd="sng" algn="ctr">
              <a:solidFill>
                <a:schemeClr val="accent4"/>
              </a:solidFill>
              <a:miter lim="800000"/>
            </a:ln>
            <a:effectLst>
              <a:glow rad="63500">
                <a:schemeClr val="accent4">
                  <a:satMod val="175000"/>
                  <a:alpha val="25000"/>
                </a:schemeClr>
              </a:glow>
            </a:effectLst>
          </c:spPr>
          <c:invertIfNegative val="0"/>
          <c:cat>
            <c:numRef>
              <c:f>Ratio!$C$13:$G$13</c:f>
              <c:numCache>
                <c:formatCode>General</c:formatCode>
                <c:ptCount val="5"/>
                <c:pt idx="0">
                  <c:v>2020</c:v>
                </c:pt>
                <c:pt idx="1">
                  <c:v>2021</c:v>
                </c:pt>
                <c:pt idx="2">
                  <c:v>2022</c:v>
                </c:pt>
                <c:pt idx="3">
                  <c:v>2023</c:v>
                </c:pt>
                <c:pt idx="4">
                  <c:v>2024</c:v>
                </c:pt>
              </c:numCache>
            </c:numRef>
          </c:cat>
          <c:val>
            <c:numRef>
              <c:f>Ratio!$C$18:$G$18</c:f>
              <c:numCache>
                <c:formatCode>_(* #,##0.00_);_(* \(#,##0.00\);_(* "-"??_);_(@_)</c:formatCode>
                <c:ptCount val="5"/>
                <c:pt idx="0">
                  <c:v>1.1498690880730877</c:v>
                </c:pt>
                <c:pt idx="1">
                  <c:v>0.93491307135575474</c:v>
                </c:pt>
                <c:pt idx="2">
                  <c:v>0.9140123710578224</c:v>
                </c:pt>
                <c:pt idx="3">
                  <c:v>1.0585176359619728</c:v>
                </c:pt>
                <c:pt idx="4">
                  <c:v>1.0306271360974408</c:v>
                </c:pt>
              </c:numCache>
            </c:numRef>
          </c:val>
          <c:extLst>
            <c:ext xmlns:c16="http://schemas.microsoft.com/office/drawing/2014/chart" uri="{C3380CC4-5D6E-409C-BE32-E72D297353CC}">
              <c16:uniqueId val="{00000001-8B9C-4E15-88E8-473C9CAA3D99}"/>
            </c:ext>
          </c:extLst>
        </c:ser>
        <c:dLbls>
          <c:showLegendKey val="0"/>
          <c:showVal val="0"/>
          <c:showCatName val="0"/>
          <c:showSerName val="0"/>
          <c:showPercent val="0"/>
          <c:showBubbleSize val="0"/>
        </c:dLbls>
        <c:gapWidth val="150"/>
        <c:axId val="1340868944"/>
        <c:axId val="1340869488"/>
      </c:barChart>
      <c:catAx>
        <c:axId val="13408689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340869488"/>
        <c:crosses val="autoZero"/>
        <c:auto val="1"/>
        <c:lblAlgn val="ctr"/>
        <c:lblOffset val="100"/>
        <c:noMultiLvlLbl val="0"/>
      </c:catAx>
      <c:valAx>
        <c:axId val="1340869488"/>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340868944"/>
        <c:crosses val="autoZero"/>
        <c:crossBetween val="between"/>
      </c:valAx>
      <c:dTable>
        <c:showHorzBorder val="1"/>
        <c:showVertBorder val="1"/>
        <c:showOutline val="1"/>
        <c:showKeys val="1"/>
        <c:spPr>
          <a:noFill/>
          <a:ln w="9525">
            <a:solidFill>
              <a:schemeClr val="dk1">
                <a:lumMod val="50000"/>
                <a:lumOff val="50000"/>
              </a:schemeClr>
            </a:solidFill>
          </a:ln>
          <a:effectLst/>
        </c:spPr>
        <c:txPr>
          <a:bodyPr rot="0" spcFirstLastPara="1" vertOverflow="ellipsis" vert="horz" wrap="square" anchor="ctr" anchorCtr="1"/>
          <a:lstStyle/>
          <a:p>
            <a:pPr rtl="0">
              <a:defRPr sz="900" b="0" i="0" u="none" strike="noStrike" kern="1200" baseline="0">
                <a:solidFill>
                  <a:schemeClr val="lt1">
                    <a:lumMod val="7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Efficiency Ratios</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Ratio!$B$36</c:f>
              <c:strCache>
                <c:ptCount val="1"/>
                <c:pt idx="0">
                  <c:v>Inventory Turnover Days</c:v>
                </c:pt>
              </c:strCache>
            </c:strRef>
          </c:tx>
          <c:spPr>
            <a:noFill/>
            <a:ln w="9525" cap="flat" cmpd="sng" algn="ctr">
              <a:solidFill>
                <a:schemeClr val="accent2"/>
              </a:solidFill>
              <a:miter lim="800000"/>
            </a:ln>
            <a:effectLst>
              <a:glow rad="63500">
                <a:schemeClr val="accent2">
                  <a:satMod val="175000"/>
                  <a:alpha val="25000"/>
                </a:schemeClr>
              </a:glow>
            </a:effectLst>
          </c:spPr>
          <c:invertIfNegative val="0"/>
          <c:cat>
            <c:numRef>
              <c:f>Ratio!$C$41:$G$41</c:f>
              <c:numCache>
                <c:formatCode>General</c:formatCode>
                <c:ptCount val="5"/>
                <c:pt idx="0">
                  <c:v>2020</c:v>
                </c:pt>
                <c:pt idx="1">
                  <c:v>2021</c:v>
                </c:pt>
                <c:pt idx="2">
                  <c:v>2022</c:v>
                </c:pt>
                <c:pt idx="3">
                  <c:v>2023</c:v>
                </c:pt>
                <c:pt idx="4">
                  <c:v>2024</c:v>
                </c:pt>
              </c:numCache>
            </c:numRef>
          </c:cat>
          <c:val>
            <c:numRef>
              <c:f>Ratio!$C$36:$G$36</c:f>
              <c:numCache>
                <c:formatCode>_(* #,##0_);_(* \(#,##0\);_(* "-"??_);_(@_)</c:formatCode>
                <c:ptCount val="5"/>
                <c:pt idx="0">
                  <c:v>50.130638377461089</c:v>
                </c:pt>
                <c:pt idx="1">
                  <c:v>57.259435679186907</c:v>
                </c:pt>
                <c:pt idx="2">
                  <c:v>65.520406752053361</c:v>
                </c:pt>
                <c:pt idx="3">
                  <c:v>49.891521135222689</c:v>
                </c:pt>
                <c:pt idx="4">
                  <c:v>51.55949053883262</c:v>
                </c:pt>
              </c:numCache>
            </c:numRef>
          </c:val>
          <c:extLst>
            <c:ext xmlns:c16="http://schemas.microsoft.com/office/drawing/2014/chart" uri="{C3380CC4-5D6E-409C-BE32-E72D297353CC}">
              <c16:uniqueId val="{00000000-8B5E-4AD3-BD0D-AC5F59014127}"/>
            </c:ext>
          </c:extLst>
        </c:ser>
        <c:ser>
          <c:idx val="1"/>
          <c:order val="1"/>
          <c:tx>
            <c:strRef>
              <c:f>Ratio!$B$37</c:f>
              <c:strCache>
                <c:ptCount val="1"/>
                <c:pt idx="0">
                  <c:v>Receivables Turnover Days</c:v>
                </c:pt>
              </c:strCache>
            </c:strRef>
          </c:tx>
          <c:spPr>
            <a:noFill/>
            <a:ln w="9525" cap="flat" cmpd="sng" algn="ctr">
              <a:solidFill>
                <a:schemeClr val="accent4"/>
              </a:solidFill>
              <a:miter lim="800000"/>
            </a:ln>
            <a:effectLst>
              <a:glow rad="63500">
                <a:schemeClr val="accent4">
                  <a:satMod val="175000"/>
                  <a:alpha val="25000"/>
                </a:schemeClr>
              </a:glow>
            </a:effectLst>
          </c:spPr>
          <c:invertIfNegative val="0"/>
          <c:cat>
            <c:numRef>
              <c:f>Ratio!$C$41:$G$41</c:f>
              <c:numCache>
                <c:formatCode>General</c:formatCode>
                <c:ptCount val="5"/>
                <c:pt idx="0">
                  <c:v>2020</c:v>
                </c:pt>
                <c:pt idx="1">
                  <c:v>2021</c:v>
                </c:pt>
                <c:pt idx="2">
                  <c:v>2022</c:v>
                </c:pt>
                <c:pt idx="3">
                  <c:v>2023</c:v>
                </c:pt>
                <c:pt idx="4">
                  <c:v>2024</c:v>
                </c:pt>
              </c:numCache>
            </c:numRef>
          </c:cat>
          <c:val>
            <c:numRef>
              <c:f>Ratio!$C$37:$G$37</c:f>
              <c:numCache>
                <c:formatCode>_(* #,##0_);_(* \(#,##0\);_(* "-"??_);_(@_)</c:formatCode>
                <c:ptCount val="5"/>
                <c:pt idx="0">
                  <c:v>38.428975239148826</c:v>
                </c:pt>
                <c:pt idx="1">
                  <c:v>39.198236541766818</c:v>
                </c:pt>
                <c:pt idx="2">
                  <c:v>37.776337583901274</c:v>
                </c:pt>
                <c:pt idx="3">
                  <c:v>48.872464960745091</c:v>
                </c:pt>
                <c:pt idx="4">
                  <c:v>52.771140020107424</c:v>
                </c:pt>
              </c:numCache>
            </c:numRef>
          </c:val>
          <c:extLst>
            <c:ext xmlns:c16="http://schemas.microsoft.com/office/drawing/2014/chart" uri="{C3380CC4-5D6E-409C-BE32-E72D297353CC}">
              <c16:uniqueId val="{00000001-8B5E-4AD3-BD0D-AC5F59014127}"/>
            </c:ext>
          </c:extLst>
        </c:ser>
        <c:ser>
          <c:idx val="2"/>
          <c:order val="2"/>
          <c:tx>
            <c:strRef>
              <c:f>Ratio!$B$38</c:f>
              <c:strCache>
                <c:ptCount val="1"/>
                <c:pt idx="0">
                  <c:v>Payables Turnover Days</c:v>
                </c:pt>
              </c:strCache>
            </c:strRef>
          </c:tx>
          <c:spPr>
            <a:noFill/>
            <a:ln w="9525" cap="flat" cmpd="sng" algn="ctr">
              <a:solidFill>
                <a:schemeClr val="accent6"/>
              </a:solidFill>
              <a:miter lim="800000"/>
            </a:ln>
            <a:effectLst>
              <a:glow rad="63500">
                <a:schemeClr val="accent6">
                  <a:satMod val="175000"/>
                  <a:alpha val="25000"/>
                </a:schemeClr>
              </a:glow>
            </a:effectLst>
          </c:spPr>
          <c:invertIfNegative val="0"/>
          <c:cat>
            <c:numRef>
              <c:f>Ratio!$C$41:$G$41</c:f>
              <c:numCache>
                <c:formatCode>General</c:formatCode>
                <c:ptCount val="5"/>
                <c:pt idx="0">
                  <c:v>2020</c:v>
                </c:pt>
                <c:pt idx="1">
                  <c:v>2021</c:v>
                </c:pt>
                <c:pt idx="2">
                  <c:v>2022</c:v>
                </c:pt>
                <c:pt idx="3">
                  <c:v>2023</c:v>
                </c:pt>
                <c:pt idx="4">
                  <c:v>2024</c:v>
                </c:pt>
              </c:numCache>
            </c:numRef>
          </c:cat>
          <c:val>
            <c:numRef>
              <c:f>Ratio!$C$38:$G$38</c:f>
              <c:numCache>
                <c:formatCode>_(* #,##0_);_(* \(#,##0\);_(* "-"??_);_(@_)</c:formatCode>
                <c:ptCount val="5"/>
                <c:pt idx="0">
                  <c:v>34.645212169041841</c:v>
                </c:pt>
                <c:pt idx="1">
                  <c:v>39.476388636119708</c:v>
                </c:pt>
                <c:pt idx="2">
                  <c:v>33.359642113512557</c:v>
                </c:pt>
                <c:pt idx="3">
                  <c:v>32.234807074701834</c:v>
                </c:pt>
                <c:pt idx="4">
                  <c:v>46.800852662121514</c:v>
                </c:pt>
              </c:numCache>
            </c:numRef>
          </c:val>
          <c:extLst>
            <c:ext xmlns:c16="http://schemas.microsoft.com/office/drawing/2014/chart" uri="{C3380CC4-5D6E-409C-BE32-E72D297353CC}">
              <c16:uniqueId val="{00000002-8B5E-4AD3-BD0D-AC5F59014127}"/>
            </c:ext>
          </c:extLst>
        </c:ser>
        <c:dLbls>
          <c:showLegendKey val="0"/>
          <c:showVal val="0"/>
          <c:showCatName val="0"/>
          <c:showSerName val="0"/>
          <c:showPercent val="0"/>
          <c:showBubbleSize val="0"/>
        </c:dLbls>
        <c:gapWidth val="315"/>
        <c:overlap val="-40"/>
        <c:axId val="1199536448"/>
        <c:axId val="1199529920"/>
      </c:barChart>
      <c:catAx>
        <c:axId val="1199536448"/>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199529920"/>
        <c:crosses val="autoZero"/>
        <c:auto val="1"/>
        <c:lblAlgn val="ctr"/>
        <c:lblOffset val="100"/>
        <c:noMultiLvlLbl val="0"/>
      </c:catAx>
      <c:valAx>
        <c:axId val="1199529920"/>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199536448"/>
        <c:crosses val="autoZero"/>
        <c:crossBetween val="between"/>
      </c:valAx>
      <c:dTable>
        <c:showHorzBorder val="1"/>
        <c:showVertBorder val="1"/>
        <c:showOutline val="1"/>
        <c:showKeys val="1"/>
        <c:spPr>
          <a:noFill/>
          <a:ln w="9525">
            <a:solidFill>
              <a:schemeClr val="dk1">
                <a:lumMod val="50000"/>
                <a:lumOff val="50000"/>
              </a:schemeClr>
            </a:solidFill>
          </a:ln>
          <a:effectLst/>
        </c:spPr>
        <c:txPr>
          <a:bodyPr rot="0" spcFirstLastPara="1" vertOverflow="ellipsis" vert="horz" wrap="square" anchor="ctr" anchorCtr="1"/>
          <a:lstStyle/>
          <a:p>
            <a:pPr rtl="0">
              <a:defRPr sz="900" b="0" i="0" u="none" strike="noStrike" kern="1200" baseline="0">
                <a:solidFill>
                  <a:schemeClr val="lt1">
                    <a:lumMod val="75000"/>
                  </a:schemeClr>
                </a:solidFill>
                <a:latin typeface="+mn-lt"/>
                <a:ea typeface="+mn-ea"/>
                <a:cs typeface="+mn-cs"/>
              </a:defRPr>
            </a:pPr>
            <a:endParaRPr lang="en-US"/>
          </a:p>
        </c:txPr>
      </c:dTable>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Gearing Ratios</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Ratio!$B$26</c:f>
              <c:strCache>
                <c:ptCount val="1"/>
                <c:pt idx="0">
                  <c:v>Debt/Equity Ratio</c:v>
                </c:pt>
              </c:strCache>
            </c:strRef>
          </c:tx>
          <c:spPr>
            <a:noFill/>
            <a:ln w="9525" cap="flat" cmpd="sng" algn="ctr">
              <a:solidFill>
                <a:schemeClr val="accent2"/>
              </a:solidFill>
              <a:miter lim="800000"/>
            </a:ln>
            <a:effectLst>
              <a:glow rad="63500">
                <a:schemeClr val="accent2">
                  <a:satMod val="175000"/>
                  <a:alpha val="25000"/>
                </a:schemeClr>
              </a:glow>
            </a:effectLst>
          </c:spPr>
          <c:invertIfNegative val="0"/>
          <c:cat>
            <c:numRef>
              <c:f>Ratio!$C$21:$G$21</c:f>
              <c:numCache>
                <c:formatCode>General</c:formatCode>
                <c:ptCount val="5"/>
                <c:pt idx="0">
                  <c:v>2020</c:v>
                </c:pt>
                <c:pt idx="1">
                  <c:v>2021</c:v>
                </c:pt>
                <c:pt idx="2">
                  <c:v>2022</c:v>
                </c:pt>
                <c:pt idx="3">
                  <c:v>2023</c:v>
                </c:pt>
                <c:pt idx="4">
                  <c:v>2024</c:v>
                </c:pt>
              </c:numCache>
            </c:numRef>
          </c:cat>
          <c:val>
            <c:numRef>
              <c:f>Ratio!$C$26:$G$26</c:f>
              <c:numCache>
                <c:formatCode>_(* #,##0.00_);_(* \(#,##0.00\);_(* "-"??_);_(@_)</c:formatCode>
                <c:ptCount val="5"/>
                <c:pt idx="0">
                  <c:v>0.62875317984941004</c:v>
                </c:pt>
                <c:pt idx="1">
                  <c:v>0.84942869878129657</c:v>
                </c:pt>
                <c:pt idx="2">
                  <c:v>0.87835964918817011</c:v>
                </c:pt>
                <c:pt idx="3">
                  <c:v>0.98900067069081155</c:v>
                </c:pt>
                <c:pt idx="4">
                  <c:v>1.1119754416903431</c:v>
                </c:pt>
              </c:numCache>
            </c:numRef>
          </c:val>
          <c:extLst>
            <c:ext xmlns:c16="http://schemas.microsoft.com/office/drawing/2014/chart" uri="{C3380CC4-5D6E-409C-BE32-E72D297353CC}">
              <c16:uniqueId val="{00000000-6676-4D81-AF56-909AF59CD8D6}"/>
            </c:ext>
          </c:extLst>
        </c:ser>
        <c:ser>
          <c:idx val="1"/>
          <c:order val="1"/>
          <c:tx>
            <c:strRef>
              <c:f>Ratio!$B$27</c:f>
              <c:strCache>
                <c:ptCount val="1"/>
                <c:pt idx="0">
                  <c:v>Interest Coverage Ratio</c:v>
                </c:pt>
              </c:strCache>
            </c:strRef>
          </c:tx>
          <c:spPr>
            <a:noFill/>
            <a:ln w="9525" cap="flat" cmpd="sng" algn="ctr">
              <a:solidFill>
                <a:schemeClr val="accent4"/>
              </a:solidFill>
              <a:miter lim="800000"/>
            </a:ln>
            <a:effectLst>
              <a:glow rad="63500">
                <a:schemeClr val="accent4">
                  <a:satMod val="175000"/>
                  <a:alpha val="25000"/>
                </a:schemeClr>
              </a:glow>
            </a:effectLst>
          </c:spPr>
          <c:invertIfNegative val="0"/>
          <c:cat>
            <c:numRef>
              <c:f>Ratio!$C$21:$G$21</c:f>
              <c:numCache>
                <c:formatCode>General</c:formatCode>
                <c:ptCount val="5"/>
                <c:pt idx="0">
                  <c:v>2020</c:v>
                </c:pt>
                <c:pt idx="1">
                  <c:v>2021</c:v>
                </c:pt>
                <c:pt idx="2">
                  <c:v>2022</c:v>
                </c:pt>
                <c:pt idx="3">
                  <c:v>2023</c:v>
                </c:pt>
                <c:pt idx="4">
                  <c:v>2024</c:v>
                </c:pt>
              </c:numCache>
            </c:numRef>
          </c:cat>
          <c:val>
            <c:numRef>
              <c:f>Ratio!$C$27:$G$27</c:f>
              <c:numCache>
                <c:formatCode>_(* #,##0.00_);_(* \(#,##0.00\);_(* "-"??_);_(@_)</c:formatCode>
                <c:ptCount val="5"/>
                <c:pt idx="0">
                  <c:v>1.8633500000000001</c:v>
                </c:pt>
                <c:pt idx="1">
                  <c:v>0.41523214285714288</c:v>
                </c:pt>
                <c:pt idx="2">
                  <c:v>0.16531818181818181</c:v>
                </c:pt>
                <c:pt idx="3">
                  <c:v>-1.5509272727272727</c:v>
                </c:pt>
                <c:pt idx="4">
                  <c:v>-0.41387987012987015</c:v>
                </c:pt>
              </c:numCache>
            </c:numRef>
          </c:val>
          <c:extLst>
            <c:ext xmlns:c16="http://schemas.microsoft.com/office/drawing/2014/chart" uri="{C3380CC4-5D6E-409C-BE32-E72D297353CC}">
              <c16:uniqueId val="{00000001-6676-4D81-AF56-909AF59CD8D6}"/>
            </c:ext>
          </c:extLst>
        </c:ser>
        <c:dLbls>
          <c:showLegendKey val="0"/>
          <c:showVal val="0"/>
          <c:showCatName val="0"/>
          <c:showSerName val="0"/>
          <c:showPercent val="0"/>
          <c:showBubbleSize val="0"/>
        </c:dLbls>
        <c:gapWidth val="315"/>
        <c:overlap val="-40"/>
        <c:axId val="1199013408"/>
        <c:axId val="1199009600"/>
      </c:barChart>
      <c:catAx>
        <c:axId val="1199013408"/>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199009600"/>
        <c:crosses val="autoZero"/>
        <c:auto val="1"/>
        <c:lblAlgn val="ctr"/>
        <c:lblOffset val="100"/>
        <c:noMultiLvlLbl val="0"/>
      </c:catAx>
      <c:valAx>
        <c:axId val="1199009600"/>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199013408"/>
        <c:crosses val="autoZero"/>
        <c:crossBetween val="between"/>
      </c:valAx>
      <c:dTable>
        <c:showHorzBorder val="1"/>
        <c:showVertBorder val="1"/>
        <c:showOutline val="1"/>
        <c:showKeys val="1"/>
        <c:spPr>
          <a:noFill/>
          <a:ln w="9525">
            <a:solidFill>
              <a:schemeClr val="dk1">
                <a:lumMod val="50000"/>
                <a:lumOff val="50000"/>
              </a:schemeClr>
            </a:solidFill>
          </a:ln>
          <a:effectLst/>
        </c:spPr>
        <c:txPr>
          <a:bodyPr rot="0" spcFirstLastPara="1" vertOverflow="ellipsis" vert="horz" wrap="square" anchor="ctr" anchorCtr="1"/>
          <a:lstStyle/>
          <a:p>
            <a:pPr rtl="0">
              <a:defRPr sz="900" b="0" i="0" u="none" strike="noStrike" kern="1200" baseline="0">
                <a:solidFill>
                  <a:schemeClr val="lt1">
                    <a:lumMod val="7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Investment Ratios</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Ratio!$B$52</c:f>
              <c:strCache>
                <c:ptCount val="1"/>
                <c:pt idx="0">
                  <c:v>Return On Assest (ROA)</c:v>
                </c:pt>
              </c:strCache>
            </c:strRef>
          </c:tx>
          <c:spPr>
            <a:noFill/>
            <a:ln w="9525" cap="flat" cmpd="sng" algn="ctr">
              <a:solidFill>
                <a:schemeClr val="accent6"/>
              </a:solidFill>
              <a:miter lim="800000"/>
            </a:ln>
            <a:effectLst>
              <a:glow rad="63500">
                <a:schemeClr val="accent6">
                  <a:satMod val="175000"/>
                  <a:alpha val="25000"/>
                </a:schemeClr>
              </a:glow>
            </a:effectLst>
          </c:spPr>
          <c:invertIfNegative val="0"/>
          <c:cat>
            <c:numRef>
              <c:f>Ratio!$C$56:$G$56</c:f>
              <c:numCache>
                <c:formatCode>General</c:formatCode>
                <c:ptCount val="5"/>
                <c:pt idx="0">
                  <c:v>2020</c:v>
                </c:pt>
                <c:pt idx="1">
                  <c:v>2021</c:v>
                </c:pt>
                <c:pt idx="2">
                  <c:v>2022</c:v>
                </c:pt>
                <c:pt idx="3">
                  <c:v>2023</c:v>
                </c:pt>
                <c:pt idx="4">
                  <c:v>2024</c:v>
                </c:pt>
              </c:numCache>
            </c:numRef>
          </c:cat>
          <c:val>
            <c:numRef>
              <c:f>Ratio!$C$52:$G$52</c:f>
              <c:numCache>
                <c:formatCode>_(* #,##0.00_);_(* \(#,##0.00\);_(* "-"??_);_(@_)</c:formatCode>
                <c:ptCount val="5"/>
                <c:pt idx="0">
                  <c:v>8.6039310980030967E-2</c:v>
                </c:pt>
                <c:pt idx="1">
                  <c:v>3.150791224811305E-2</c:v>
                </c:pt>
                <c:pt idx="2">
                  <c:v>2.2597850298415392E-2</c:v>
                </c:pt>
                <c:pt idx="3">
                  <c:v>-0.25923365704522977</c:v>
                </c:pt>
                <c:pt idx="4">
                  <c:v>-5.7515911354119632E-2</c:v>
                </c:pt>
              </c:numCache>
            </c:numRef>
          </c:val>
          <c:extLst>
            <c:ext xmlns:c16="http://schemas.microsoft.com/office/drawing/2014/chart" uri="{C3380CC4-5D6E-409C-BE32-E72D297353CC}">
              <c16:uniqueId val="{00000000-41F6-47F5-AE19-8C43DF1D009C}"/>
            </c:ext>
          </c:extLst>
        </c:ser>
        <c:ser>
          <c:idx val="1"/>
          <c:order val="1"/>
          <c:tx>
            <c:strRef>
              <c:f>Ratio!$B$53</c:f>
              <c:strCache>
                <c:ptCount val="1"/>
                <c:pt idx="0">
                  <c:v>Return On Equity</c:v>
                </c:pt>
              </c:strCache>
            </c:strRef>
          </c:tx>
          <c:spPr>
            <a:noFill/>
            <a:ln w="9525" cap="flat" cmpd="sng" algn="ctr">
              <a:solidFill>
                <a:schemeClr val="accent5"/>
              </a:solidFill>
              <a:miter lim="800000"/>
            </a:ln>
            <a:effectLst>
              <a:glow rad="63500">
                <a:schemeClr val="accent5">
                  <a:satMod val="175000"/>
                  <a:alpha val="25000"/>
                </a:schemeClr>
              </a:glow>
            </a:effectLst>
          </c:spPr>
          <c:invertIfNegative val="0"/>
          <c:cat>
            <c:numRef>
              <c:f>Ratio!$C$56:$G$56</c:f>
              <c:numCache>
                <c:formatCode>General</c:formatCode>
                <c:ptCount val="5"/>
                <c:pt idx="0">
                  <c:v>2020</c:v>
                </c:pt>
                <c:pt idx="1">
                  <c:v>2021</c:v>
                </c:pt>
                <c:pt idx="2">
                  <c:v>2022</c:v>
                </c:pt>
                <c:pt idx="3">
                  <c:v>2023</c:v>
                </c:pt>
                <c:pt idx="4">
                  <c:v>2024</c:v>
                </c:pt>
              </c:numCache>
            </c:numRef>
          </c:cat>
          <c:val>
            <c:numRef>
              <c:f>Ratio!$C$53:$G$53</c:f>
              <c:numCache>
                <c:formatCode>_(* #,##0.00_);_(* \(#,##0.00\);_(* "-"??_);_(@_)</c:formatCode>
                <c:ptCount val="5"/>
                <c:pt idx="0">
                  <c:v>0.1231148320624575</c:v>
                </c:pt>
                <c:pt idx="1">
                  <c:v>1.9210071426241804E-2</c:v>
                </c:pt>
                <c:pt idx="2">
                  <c:v>1.5163595448685946E-3</c:v>
                </c:pt>
                <c:pt idx="3">
                  <c:v>-0.54906103286384977</c:v>
                </c:pt>
                <c:pt idx="4">
                  <c:v>-0.1569445805166389</c:v>
                </c:pt>
              </c:numCache>
            </c:numRef>
          </c:val>
          <c:extLst>
            <c:ext xmlns:c16="http://schemas.microsoft.com/office/drawing/2014/chart" uri="{C3380CC4-5D6E-409C-BE32-E72D297353CC}">
              <c16:uniqueId val="{00000001-41F6-47F5-AE19-8C43DF1D009C}"/>
            </c:ext>
          </c:extLst>
        </c:ser>
        <c:dLbls>
          <c:showLegendKey val="0"/>
          <c:showVal val="0"/>
          <c:showCatName val="0"/>
          <c:showSerName val="0"/>
          <c:showPercent val="0"/>
          <c:showBubbleSize val="0"/>
        </c:dLbls>
        <c:gapWidth val="315"/>
        <c:overlap val="-40"/>
        <c:axId val="2046080928"/>
        <c:axId val="2046069280"/>
      </c:barChart>
      <c:catAx>
        <c:axId val="2046080928"/>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046069280"/>
        <c:crosses val="autoZero"/>
        <c:auto val="1"/>
        <c:lblAlgn val="ctr"/>
        <c:lblOffset val="100"/>
        <c:noMultiLvlLbl val="0"/>
      </c:catAx>
      <c:valAx>
        <c:axId val="2046069280"/>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046080928"/>
        <c:crosses val="autoZero"/>
        <c:crossBetween val="between"/>
      </c:valAx>
      <c:dTable>
        <c:showHorzBorder val="1"/>
        <c:showVertBorder val="1"/>
        <c:showOutline val="1"/>
        <c:showKeys val="1"/>
        <c:spPr>
          <a:noFill/>
          <a:ln w="9525">
            <a:solidFill>
              <a:schemeClr val="dk1">
                <a:lumMod val="50000"/>
                <a:lumOff val="50000"/>
              </a:schemeClr>
            </a:solidFill>
          </a:ln>
          <a:effectLst/>
        </c:spPr>
        <c:txPr>
          <a:bodyPr rot="0" spcFirstLastPara="1" vertOverflow="ellipsis" vert="horz" wrap="square" anchor="ctr" anchorCtr="1"/>
          <a:lstStyle/>
          <a:p>
            <a:pPr rtl="0">
              <a:defRPr sz="900" b="0" i="0" u="none" strike="noStrike" kern="1200" baseline="0">
                <a:solidFill>
                  <a:schemeClr val="lt1">
                    <a:lumMod val="75000"/>
                  </a:schemeClr>
                </a:solidFill>
                <a:latin typeface="+mn-lt"/>
                <a:ea typeface="+mn-ea"/>
                <a:cs typeface="+mn-cs"/>
              </a:defRPr>
            </a:pPr>
            <a:endParaRPr lang="en-US"/>
          </a:p>
        </c:txPr>
      </c:dTable>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Market Ratios</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Ratio!$B$44</c:f>
              <c:strCache>
                <c:ptCount val="1"/>
                <c:pt idx="0">
                  <c:v>Price/Earnings Ratio</c:v>
                </c:pt>
              </c:strCache>
            </c:strRef>
          </c:tx>
          <c:spPr>
            <a:noFill/>
            <a:ln w="9525" cap="flat" cmpd="sng" algn="ctr">
              <a:solidFill>
                <a:schemeClr val="accent6"/>
              </a:solidFill>
              <a:miter lim="800000"/>
            </a:ln>
            <a:effectLst>
              <a:glow rad="63500">
                <a:schemeClr val="accent6">
                  <a:satMod val="175000"/>
                  <a:alpha val="25000"/>
                </a:schemeClr>
              </a:glow>
            </a:effectLst>
          </c:spPr>
          <c:invertIfNegative val="0"/>
          <c:cat>
            <c:numRef>
              <c:f>Ratio!$C$41:$G$41</c:f>
              <c:numCache>
                <c:formatCode>General</c:formatCode>
                <c:ptCount val="5"/>
                <c:pt idx="0">
                  <c:v>2020</c:v>
                </c:pt>
                <c:pt idx="1">
                  <c:v>2021</c:v>
                </c:pt>
                <c:pt idx="2">
                  <c:v>2022</c:v>
                </c:pt>
                <c:pt idx="3">
                  <c:v>2023</c:v>
                </c:pt>
                <c:pt idx="4">
                  <c:v>2024</c:v>
                </c:pt>
              </c:numCache>
            </c:numRef>
          </c:cat>
          <c:val>
            <c:numRef>
              <c:f>Ratio!$C$44:$G$44</c:f>
              <c:numCache>
                <c:formatCode>_(* #,##0.00_);_(* \(#,##0.00\);_(* "-"??_);_(@_)</c:formatCode>
                <c:ptCount val="5"/>
                <c:pt idx="0">
                  <c:v>8.1118693902576062</c:v>
                </c:pt>
                <c:pt idx="1">
                  <c:v>52.548201890942323</c:v>
                </c:pt>
                <c:pt idx="2">
                  <c:v>704.31131753654006</c:v>
                </c:pt>
                <c:pt idx="3">
                  <c:v>-1.8217695968525296</c:v>
                </c:pt>
                <c:pt idx="4">
                  <c:v>-6.3862535272366276</c:v>
                </c:pt>
              </c:numCache>
            </c:numRef>
          </c:val>
          <c:extLst>
            <c:ext xmlns:c16="http://schemas.microsoft.com/office/drawing/2014/chart" uri="{C3380CC4-5D6E-409C-BE32-E72D297353CC}">
              <c16:uniqueId val="{00000000-C0A2-4568-B9D5-D1336A4E577B}"/>
            </c:ext>
          </c:extLst>
        </c:ser>
        <c:dLbls>
          <c:showLegendKey val="0"/>
          <c:showVal val="0"/>
          <c:showCatName val="0"/>
          <c:showSerName val="0"/>
          <c:showPercent val="0"/>
          <c:showBubbleSize val="0"/>
        </c:dLbls>
        <c:gapWidth val="150"/>
        <c:axId val="108280256"/>
        <c:axId val="108267744"/>
      </c:barChart>
      <c:catAx>
        <c:axId val="10828025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08267744"/>
        <c:crosses val="autoZero"/>
        <c:auto val="1"/>
        <c:lblAlgn val="ctr"/>
        <c:lblOffset val="100"/>
        <c:noMultiLvlLbl val="0"/>
      </c:catAx>
      <c:valAx>
        <c:axId val="108267744"/>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08280256"/>
        <c:crosses val="autoZero"/>
        <c:crossBetween val="between"/>
      </c:valAx>
      <c:dTable>
        <c:showHorzBorder val="1"/>
        <c:showVertBorder val="1"/>
        <c:showOutline val="1"/>
        <c:showKeys val="1"/>
        <c:spPr>
          <a:noFill/>
          <a:ln w="9525">
            <a:solidFill>
              <a:schemeClr val="dk1">
                <a:lumMod val="50000"/>
                <a:lumOff val="50000"/>
              </a:schemeClr>
            </a:solidFill>
          </a:ln>
          <a:effectLst/>
        </c:spPr>
        <c:txPr>
          <a:bodyPr rot="0" spcFirstLastPara="1" vertOverflow="ellipsis" vert="horz" wrap="square" anchor="ctr" anchorCtr="1"/>
          <a:lstStyle/>
          <a:p>
            <a:pPr rtl="0">
              <a:defRPr sz="900" b="0" i="0" u="none" strike="noStrike" kern="1200" baseline="0">
                <a:solidFill>
                  <a:schemeClr val="lt1">
                    <a:lumMod val="7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Cashflow Ratios</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Ratio!$B$60</c:f>
              <c:strCache>
                <c:ptCount val="1"/>
                <c:pt idx="0">
                  <c:v>Operating Cash Flow Ratio</c:v>
                </c:pt>
              </c:strCache>
            </c:strRef>
          </c:tx>
          <c:spPr>
            <a:noFill/>
            <a:ln w="9525" cap="flat" cmpd="sng" algn="ctr">
              <a:solidFill>
                <a:schemeClr val="accent2"/>
              </a:solidFill>
              <a:miter lim="800000"/>
            </a:ln>
            <a:effectLst>
              <a:glow rad="63500">
                <a:schemeClr val="accent2">
                  <a:satMod val="175000"/>
                  <a:alpha val="25000"/>
                </a:schemeClr>
              </a:glow>
            </a:effectLst>
          </c:spPr>
          <c:invertIfNegative val="0"/>
          <c:cat>
            <c:numRef>
              <c:f>Ratio!$C$56:$G$56</c:f>
              <c:numCache>
                <c:formatCode>General</c:formatCode>
                <c:ptCount val="5"/>
                <c:pt idx="0">
                  <c:v>2020</c:v>
                </c:pt>
                <c:pt idx="1">
                  <c:v>2021</c:v>
                </c:pt>
                <c:pt idx="2">
                  <c:v>2022</c:v>
                </c:pt>
                <c:pt idx="3">
                  <c:v>2023</c:v>
                </c:pt>
                <c:pt idx="4">
                  <c:v>2024</c:v>
                </c:pt>
              </c:numCache>
            </c:numRef>
          </c:cat>
          <c:val>
            <c:numRef>
              <c:f>Ratio!$C$60:$G$60</c:f>
              <c:numCache>
                <c:formatCode>_(* #,##0.00_);_(* \(#,##0.00\);_(* "-"??_);_(@_)</c:formatCode>
                <c:ptCount val="5"/>
                <c:pt idx="0">
                  <c:v>0.43759679126511059</c:v>
                </c:pt>
                <c:pt idx="1">
                  <c:v>0.20705577363956326</c:v>
                </c:pt>
                <c:pt idx="2">
                  <c:v>0.18355637885556167</c:v>
                </c:pt>
                <c:pt idx="3">
                  <c:v>-5.7400650333854594E-2</c:v>
                </c:pt>
                <c:pt idx="4">
                  <c:v>1.8636561775464178E-2</c:v>
                </c:pt>
              </c:numCache>
            </c:numRef>
          </c:val>
          <c:extLst>
            <c:ext xmlns:c16="http://schemas.microsoft.com/office/drawing/2014/chart" uri="{C3380CC4-5D6E-409C-BE32-E72D297353CC}">
              <c16:uniqueId val="{00000000-26AD-4927-8D3B-C6B424530425}"/>
            </c:ext>
          </c:extLst>
        </c:ser>
        <c:ser>
          <c:idx val="1"/>
          <c:order val="1"/>
          <c:tx>
            <c:strRef>
              <c:f>Ratio!$B$61</c:f>
              <c:strCache>
                <c:ptCount val="1"/>
                <c:pt idx="0">
                  <c:v>Sales Ratio</c:v>
                </c:pt>
              </c:strCache>
            </c:strRef>
          </c:tx>
          <c:spPr>
            <a:noFill/>
            <a:ln w="9525" cap="flat" cmpd="sng" algn="ctr">
              <a:solidFill>
                <a:schemeClr val="accent4"/>
              </a:solidFill>
              <a:miter lim="800000"/>
            </a:ln>
            <a:effectLst>
              <a:glow rad="63500">
                <a:schemeClr val="accent4">
                  <a:satMod val="175000"/>
                  <a:alpha val="25000"/>
                </a:schemeClr>
              </a:glow>
            </a:effectLst>
          </c:spPr>
          <c:invertIfNegative val="0"/>
          <c:cat>
            <c:numRef>
              <c:f>Ratio!$C$56:$G$56</c:f>
              <c:numCache>
                <c:formatCode>General</c:formatCode>
                <c:ptCount val="5"/>
                <c:pt idx="0">
                  <c:v>2020</c:v>
                </c:pt>
                <c:pt idx="1">
                  <c:v>2021</c:v>
                </c:pt>
                <c:pt idx="2">
                  <c:v>2022</c:v>
                </c:pt>
                <c:pt idx="3">
                  <c:v>2023</c:v>
                </c:pt>
                <c:pt idx="4">
                  <c:v>2024</c:v>
                </c:pt>
              </c:numCache>
            </c:numRef>
          </c:cat>
          <c:val>
            <c:numRef>
              <c:f>Ratio!$C$61:$G$61</c:f>
              <c:numCache>
                <c:formatCode>_(* #,##0.00_);_(* \(#,##0.00\);_(* "-"??_);_(@_)</c:formatCode>
                <c:ptCount val="5"/>
                <c:pt idx="0">
                  <c:v>0.12779495021799961</c:v>
                </c:pt>
                <c:pt idx="1">
                  <c:v>7.4612451421371601E-2</c:v>
                </c:pt>
                <c:pt idx="2">
                  <c:v>7.3210367184952219E-2</c:v>
                </c:pt>
                <c:pt idx="3">
                  <c:v>-2.1999871568317331E-2</c:v>
                </c:pt>
                <c:pt idx="4">
                  <c:v>7.4706429058015236E-3</c:v>
                </c:pt>
              </c:numCache>
            </c:numRef>
          </c:val>
          <c:extLst>
            <c:ext xmlns:c16="http://schemas.microsoft.com/office/drawing/2014/chart" uri="{C3380CC4-5D6E-409C-BE32-E72D297353CC}">
              <c16:uniqueId val="{00000001-26AD-4927-8D3B-C6B424530425}"/>
            </c:ext>
          </c:extLst>
        </c:ser>
        <c:dLbls>
          <c:showLegendKey val="0"/>
          <c:showVal val="0"/>
          <c:showCatName val="0"/>
          <c:showSerName val="0"/>
          <c:showPercent val="0"/>
          <c:showBubbleSize val="0"/>
        </c:dLbls>
        <c:gapWidth val="315"/>
        <c:overlap val="-40"/>
        <c:axId val="2045946336"/>
        <c:axId val="2045958816"/>
      </c:barChart>
      <c:catAx>
        <c:axId val="2045946336"/>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045958816"/>
        <c:crosses val="autoZero"/>
        <c:auto val="1"/>
        <c:lblAlgn val="ctr"/>
        <c:lblOffset val="100"/>
        <c:noMultiLvlLbl val="0"/>
      </c:catAx>
      <c:valAx>
        <c:axId val="2045958816"/>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045946336"/>
        <c:crosses val="autoZero"/>
        <c:crossBetween val="between"/>
      </c:valAx>
      <c:dTable>
        <c:showHorzBorder val="1"/>
        <c:showVertBorder val="1"/>
        <c:showOutline val="1"/>
        <c:showKeys val="1"/>
        <c:spPr>
          <a:noFill/>
          <a:ln w="9525">
            <a:solidFill>
              <a:schemeClr val="dk1">
                <a:lumMod val="50000"/>
                <a:lumOff val="50000"/>
              </a:schemeClr>
            </a:solidFill>
          </a:ln>
          <a:effectLst/>
        </c:spPr>
        <c:txPr>
          <a:bodyPr rot="0" spcFirstLastPara="1" vertOverflow="ellipsis" vert="horz" wrap="square" anchor="ctr" anchorCtr="1"/>
          <a:lstStyle/>
          <a:p>
            <a:pPr rtl="0">
              <a:defRPr sz="900" b="0" i="0" u="none" strike="noStrike" kern="1200" baseline="0">
                <a:solidFill>
                  <a:schemeClr val="lt1">
                    <a:lumMod val="7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tx>
            <c:strRef>
              <c:f>'Working Capital'!$B$7</c:f>
              <c:strCache>
                <c:ptCount val="1"/>
                <c:pt idx="0">
                  <c:v>Cash Conversion Cycle</c:v>
                </c:pt>
              </c:strCache>
            </c:strRef>
          </c:tx>
          <c:spPr>
            <a:noFill/>
            <a:ln w="9525" cap="flat" cmpd="sng" algn="ctr">
              <a:solidFill>
                <a:schemeClr val="accent6"/>
              </a:solidFill>
              <a:miter lim="800000"/>
            </a:ln>
            <a:effectLst>
              <a:glow rad="63500">
                <a:schemeClr val="accent6">
                  <a:satMod val="175000"/>
                  <a:alpha val="25000"/>
                </a:schemeClr>
              </a:glow>
            </a:effectLst>
          </c:spPr>
          <c:invertIfNegative val="0"/>
          <c:cat>
            <c:numRef>
              <c:f>'Working Capital'!$D$3:$H$3</c:f>
              <c:numCache>
                <c:formatCode>General</c:formatCode>
                <c:ptCount val="5"/>
                <c:pt idx="0">
                  <c:v>2020</c:v>
                </c:pt>
                <c:pt idx="1">
                  <c:v>2021</c:v>
                </c:pt>
                <c:pt idx="2">
                  <c:v>2022</c:v>
                </c:pt>
                <c:pt idx="3">
                  <c:v>2023</c:v>
                </c:pt>
                <c:pt idx="4">
                  <c:v>2024</c:v>
                </c:pt>
              </c:numCache>
            </c:numRef>
          </c:cat>
          <c:val>
            <c:numRef>
              <c:f>'Working Capital'!$D$7:$H$7</c:f>
              <c:numCache>
                <c:formatCode>_(* #,##0_);_(* \(#,##0\);_(* "-"??_);_(@_)</c:formatCode>
                <c:ptCount val="5"/>
                <c:pt idx="0">
                  <c:v>53.914401447568068</c:v>
                </c:pt>
                <c:pt idx="1">
                  <c:v>56.981283584834017</c:v>
                </c:pt>
                <c:pt idx="2">
                  <c:v>69.937102222442064</c:v>
                </c:pt>
                <c:pt idx="3">
                  <c:v>66.529179021265946</c:v>
                </c:pt>
                <c:pt idx="4">
                  <c:v>57.52977789681853</c:v>
                </c:pt>
              </c:numCache>
            </c:numRef>
          </c:val>
          <c:extLst>
            <c:ext xmlns:c16="http://schemas.microsoft.com/office/drawing/2014/chart" uri="{C3380CC4-5D6E-409C-BE32-E72D297353CC}">
              <c16:uniqueId val="{00000000-F973-4038-927E-9EB29C53A972}"/>
            </c:ext>
          </c:extLst>
        </c:ser>
        <c:dLbls>
          <c:showLegendKey val="0"/>
          <c:showVal val="0"/>
          <c:showCatName val="0"/>
          <c:showSerName val="0"/>
          <c:showPercent val="0"/>
          <c:showBubbleSize val="0"/>
        </c:dLbls>
        <c:gapWidth val="315"/>
        <c:overlap val="-40"/>
        <c:axId val="2046066784"/>
        <c:axId val="2046085504"/>
      </c:barChart>
      <c:catAx>
        <c:axId val="2046066784"/>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046085504"/>
        <c:crosses val="autoZero"/>
        <c:auto val="1"/>
        <c:lblAlgn val="ctr"/>
        <c:lblOffset val="100"/>
        <c:noMultiLvlLbl val="0"/>
      </c:catAx>
      <c:valAx>
        <c:axId val="2046085504"/>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046066784"/>
        <c:crosses val="autoZero"/>
        <c:crossBetween val="between"/>
      </c:valAx>
      <c:dTable>
        <c:showHorzBorder val="1"/>
        <c:showVertBorder val="1"/>
        <c:showOutline val="1"/>
        <c:showKeys val="1"/>
        <c:spPr>
          <a:noFill/>
          <a:ln w="9525">
            <a:solidFill>
              <a:schemeClr val="dk1">
                <a:lumMod val="50000"/>
                <a:lumOff val="50000"/>
              </a:schemeClr>
            </a:solidFill>
          </a:ln>
          <a:effectLst/>
        </c:spPr>
        <c:txPr>
          <a:bodyPr rot="0" spcFirstLastPara="1" vertOverflow="ellipsis" vert="horz" wrap="square" anchor="ctr" anchorCtr="1"/>
          <a:lstStyle/>
          <a:p>
            <a:pPr rtl="0">
              <a:defRPr sz="900" b="0" i="0" u="none" strike="noStrike" kern="1200" baseline="0">
                <a:solidFill>
                  <a:schemeClr val="lt1">
                    <a:lumMod val="7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40</Pages>
  <Words>8689</Words>
  <Characters>49532</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Raj Modi</cp:lastModifiedBy>
  <cp:revision>4</cp:revision>
  <dcterms:created xsi:type="dcterms:W3CDTF">2025-12-20T13:54:00Z</dcterms:created>
  <dcterms:modified xsi:type="dcterms:W3CDTF">2025-12-21T22:46:00Z</dcterms:modified>
</cp:coreProperties>
</file>