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4"/>
        <w:ind w:left="6300" w:right="-334" w:firstLine="0"/>
        <w:spacing w:before="0" w:after="0" w:beforeAutospacing="0" w:afterAutospacing="0"/>
      </w:pPr>
      <w:r>
        <w:rPr>
          <w:noProof/>
        </w:rPr>
        <w:drawing>
          <wp:inline distT="0" distB="0" distL="0" distR="0">
            <wp:extent cx="1816735" cy="728980"/>
            <wp:effectExtent l="0" t="0" r="0" b="0"/>
            <wp:docPr id="1" name="Picture1"/>
            <wp:cNvGraphicFramePr/>
            <a:graphic xmlns:a="http://schemas.openxmlformats.org/drawingml/2006/main">
              <a:graphicData uri="http://schemas.openxmlformats.org/drawingml/2006/picture">
                <pic:pic xmlns:pic="http://schemas.openxmlformats.org/drawingml/2006/picture">
                  <pic:nvPicPr>
                    <pic:cNvPr id="1" name="Picture1"/>
                    <pic:cNvPicPr>
                      <a:extLst>
                        <a:ext uri="sm">
                          <sm:smNativeData xmlns:sm="sm" val="SMDATA_17_WaRyZxMAAAAlAAAAEQ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ByAAAAAAAAAAAAAAAAAAAAAAAAAAAAAAAAAAAAAAAAAAAAAALQsAAHwEAAAAAAAAAAAAAAAAAAAoAAAACAAAAAEAAAABAAAAMAAAABQAAAAAAAAAAAD//wAAAQAAAP//AAABAA=="/>
                        </a:ext>
                      </a:extLst>
                    </pic:cNvPicPr>
                  </pic:nvPicPr>
                  <pic:blipFill>
                    <a:blip r:embed="rId8"/>
                    <a:stretch>
                      <a:fillRect/>
                    </a:stretch>
                  </pic:blipFill>
                  <pic:spPr>
                    <a:xfrm>
                      <a:off x="0" y="0"/>
                      <a:ext cx="1816735" cy="728980"/>
                    </a:xfrm>
                    <a:prstGeom prst="rect">
                      <a:avLst/>
                    </a:prstGeom>
                    <a:noFill/>
                    <a:ln w="12700">
                      <a:noFill/>
                    </a:ln>
                  </pic:spPr>
                </pic:pic>
              </a:graphicData>
            </a:graphic>
          </wp:inline>
        </w:drawing>
      </w:r>
      <w:r/>
    </w:p>
    <w:p>
      <w:pPr>
        <w:pStyle w:val="para4"/>
        <w:ind w:left="-180" w:right="-334"/>
        <w:spacing w:before="0" w:after="0" w:beforeAutospacing="0" w:afterAutospacing="0"/>
      </w:pPr>
      <w:r/>
    </w:p>
    <w:p>
      <w:pPr>
        <w:pStyle w:val="para4"/>
        <w:ind w:left="-180" w:right="-334"/>
        <w:spacing w:before="0" w:after="0" w:beforeAutospacing="0" w:afterAutospacing="0"/>
      </w:pPr>
      <w:r/>
    </w:p>
    <w:p>
      <w:pPr>
        <w:pStyle w:val="para4"/>
        <w:ind w:left="-180" w:right="-334"/>
        <w:spacing w:before="0" w:after="0" w:beforeAutospacing="0" w:afterAutospacing="0"/>
        <w:jc w:val="center"/>
        <w:rPr>
          <w:rFonts w:ascii="Arial" w:hAnsi="Arial" w:cs="Arial"/>
          <w:b/>
          <w:sz w:val="28"/>
          <w:szCs w:val="28"/>
        </w:rPr>
      </w:pPr>
      <w:r>
        <w:rPr>
          <w:rFonts w:ascii="Arial" w:hAnsi="Arial" w:cs="Arial"/>
          <w:b/>
          <w:sz w:val="28"/>
          <w:szCs w:val="28"/>
          <w:lang w:val="cy-gb"/>
        </w:rPr>
        <w:t>Postgraduate/Distance Learning Assignment</w:t>
        <w:br w:type="textWrapping"/>
        <w:t>coversheet &amp; feedback form</w:t>
      </w:r>
      <w:r>
        <w:rPr>
          <w:rFonts w:ascii="Arial" w:hAnsi="Arial" w:cs="Arial"/>
          <w:b/>
          <w:sz w:val="28"/>
          <w:szCs w:val="28"/>
        </w:rPr>
      </w:r>
    </w:p>
    <w:p>
      <w:pPr>
        <w:spacing/>
        <w:jc w:val="center"/>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8"/>
          <w:szCs w:val="28"/>
          <w:lang w:val="cy-gb"/>
        </w:rPr>
      </w:pPr>
      <w:r>
        <w:rPr>
          <w:rFonts w:ascii="Arial" w:hAnsi="Arial" w:eastAsia="SimSun" w:cs="Arial"/>
          <w:sz w:val="28"/>
          <w:szCs w:val="28"/>
          <w:lang w:val="cy-gb"/>
        </w:rPr>
      </w:r>
    </w:p>
    <w:p>
      <w:pPr>
        <w:pStyle w:val="para3"/>
        <w:spacing w:before="0" w:after="0" w:beforeAutospacing="0"/>
        <w:jc w:val="center"/>
        <w:keepLines w:val="0"/>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ahoma" w:hAnsi="Tahoma" w:eastAsia="SimSun" w:cs="Tahoma"/>
          <w:sz w:val="20"/>
          <w:szCs w:val="20"/>
          <w:lang w:val="cy-gb"/>
        </w:rPr>
      </w:pPr>
      <w:r>
        <w:rPr>
          <w:rFonts w:ascii="Tahoma" w:hAnsi="Tahoma" w:eastAsia="SimSun" w:cs="Tahoma"/>
          <w:sz w:val="20"/>
          <w:szCs w:val="20"/>
          <w:lang w:val="cy-gb"/>
        </w:rPr>
        <w:t>THIS SHEET MUST BE THE FIRST PAGE OF THE ASSIGNMENT YOU ARE SUBMITTING</w:t>
        <w:br w:type="textWrapping"/>
        <w:t>(DO NOT SEND AS A SEPARATE FILE)</w:t>
      </w:r>
    </w:p>
    <w:p>
      <w:pPr>
        <w:pStyle w:val="para3"/>
        <w:ind w:left="720"/>
        <w:spacing w:before="0" w:after="0" w:beforeAutospacing="0"/>
        <w:jc w:val="center"/>
        <w:keepLines w:val="0"/>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Trebuchet MS" w:hAnsi="Trebuchet MS" w:eastAsia="SimSun" w:cs="Trebuchet MS"/>
          <w:sz w:val="20"/>
          <w:szCs w:val="20"/>
        </w:rPr>
      </w:pPr>
      <w:r>
        <w:rPr>
          <w:rFonts w:ascii="Trebuchet MS" w:hAnsi="Trebuchet MS" w:eastAsia="SimSun" w:cs="Trebuchet MS"/>
          <w:sz w:val="20"/>
          <w:szCs w:val="20"/>
        </w:rPr>
      </w:r>
    </w:p>
    <w:tbl>
      <w:tblPr>
        <w:tblStyle w:val="TableNormal"/>
        <w:name w:val="Table1"/>
        <w:tabOrder w:val="0"/>
        <w:jc w:val="left"/>
        <w:tblInd w:w="0" w:type="dxa"/>
        <w:tblW w:w="9639" w:type="dxa"/>
        <w:pPr>
          <w:spacing/>
          <w:jc w:val="left"/>
          <w:tabs defTabSz="720"/>
        </w:pPr>
        <w:tblLook w:val="0600" w:firstRow="0" w:lastRow="0" w:firstColumn="0" w:lastColumn="0" w:noHBand="1" w:noVBand="1"/>
      </w:tblPr>
      <w:tblGrid>
        <w:gridCol w:w="4778"/>
        <w:gridCol w:w="422"/>
        <w:gridCol w:w="1553"/>
        <w:gridCol w:w="286"/>
        <w:gridCol w:w="2600"/>
      </w:tblGrid>
      <w:tr>
        <w:trPr>
          <w:tblHeader w:val="0"/>
          <w:cantSplit w:val="0"/>
          <w:trHeight w:val="614"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right="34" w:firstLine="0"/>
              <w:spacing w:before="0" w:after="0" w:beforeAutospacing="0" w:afterAutospacing="0"/>
              <w:rPr>
                <w:rFonts w:ascii="Arial" w:hAnsi="Arial" w:cs="Arial"/>
                <w:sz w:val="22"/>
                <w:szCs w:val="22"/>
              </w:rPr>
            </w:pPr>
            <w:r>
              <w:rPr>
                <w:rFonts w:ascii="Arial" w:hAnsi="Arial" w:cs="Arial"/>
                <w:b/>
                <w:sz w:val="22"/>
                <w:szCs w:val="22"/>
              </w:rPr>
              <w:t>For completion by the student</w:t>
            </w:r>
            <w:r>
              <w:rPr>
                <w:rFonts w:ascii="Arial" w:hAnsi="Arial" w:cs="Arial"/>
                <w:sz w:val="22"/>
                <w:szCs w:val="22"/>
              </w:rPr>
              <w:t>:</w:t>
            </w:r>
          </w:p>
        </w:tc>
      </w:tr>
      <w:tr>
        <w:trPr>
          <w:tblHeader w:val="0"/>
          <w:cantSplit w:val="0"/>
          <w:trHeight w:val="718"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Student Name: Linda Parkinson-Hardman</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 xml:space="preserve">Student </w:t>
            </w:r>
            <w:r>
              <w:rPr>
                <w:rFonts w:ascii="Arial" w:hAnsi="Arial" w:cs="Arial"/>
                <w:b/>
                <w:bCs/>
                <w:sz w:val="22"/>
                <w:szCs w:val="22"/>
                <w:u w:color="auto" w:val="single"/>
              </w:rPr>
              <w:t>University</w:t>
            </w:r>
            <w:r>
              <w:rPr>
                <w:rFonts w:ascii="Arial" w:hAnsi="Arial" w:cs="Arial"/>
                <w:sz w:val="22"/>
                <w:szCs w:val="22"/>
                <w:u w:color="auto" w:val="single"/>
              </w:rPr>
              <w:t xml:space="preserve"> </w:t>
            </w:r>
            <w:r>
              <w:rPr>
                <w:rFonts w:ascii="Arial" w:hAnsi="Arial" w:cs="Arial"/>
                <w:sz w:val="22"/>
                <w:szCs w:val="22"/>
              </w:rPr>
              <w:t>Email: 2409122@student.uwtsd.ac.uk</w:t>
            </w:r>
          </w:p>
        </w:tc>
      </w:tr>
      <w:tr>
        <w:trPr>
          <w:tblHeader w:val="0"/>
          <w:cantSplit w:val="0"/>
          <w:trHeight w:val="849" w:hRule="atLeast"/>
        </w:trPr>
        <w:tc>
          <w:tcPr>
            <w:tcW w:w="4778"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Module code: HPCA7031</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Module title: Astrology History Spirit and Soul</w:t>
            </w:r>
          </w:p>
          <w:p>
            <w:pPr>
              <w:pStyle w:val="para4"/>
              <w:ind w:right="34"/>
              <w:spacing w:before="0" w:after="0" w:beforeAutospacing="0" w:afterAutospacing="0"/>
              <w:rPr>
                <w:rFonts w:ascii="Arial" w:hAnsi="Arial" w:cs="Arial"/>
                <w:sz w:val="22"/>
                <w:szCs w:val="22"/>
              </w:rPr>
            </w:pPr>
            <w:r>
              <w:rPr>
                <w:rFonts w:ascii="Arial" w:hAnsi="Arial" w:cs="Arial"/>
                <w:sz w:val="22"/>
                <w:szCs w:val="22"/>
              </w:rPr>
            </w:r>
          </w:p>
        </w:tc>
        <w:tc>
          <w:tcPr>
            <w:tcW w:w="2261"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Student ID number:</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spacing w:before="0" w:after="0" w:beforeAutospacing="0" w:afterAutospacing="0"/>
              <w:rPr>
                <w:rFonts w:ascii="Arial" w:hAnsi="Arial" w:cs="Arial"/>
                <w:sz w:val="22"/>
                <w:szCs w:val="22"/>
              </w:rPr>
            </w:pPr>
            <w:r>
              <w:rPr>
                <w:rFonts w:ascii="Arial" w:hAnsi="Arial" w:cs="Arial"/>
                <w:sz w:val="22"/>
                <w:szCs w:val="22"/>
              </w:rPr>
              <w:t>2409122</w:t>
            </w:r>
          </w:p>
        </w:tc>
        <w:tc>
          <w:tcPr>
            <w:tcW w:w="2600"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Educational support needs:</w:t>
            </w:r>
          </w:p>
          <w:p>
            <w:pPr>
              <w:pStyle w:val="para4"/>
              <w:ind w:right="34"/>
              <w:spacing w:before="0" w:after="0" w:beforeAutospacing="0" w:afterAutospacing="0"/>
              <w:rPr>
                <w:rFonts w:ascii="Arial" w:hAnsi="Arial" w:cs="Arial"/>
                <w:sz w:val="22"/>
                <w:szCs w:val="22"/>
              </w:rPr>
            </w:pPr>
            <w:r>
              <w:rPr>
                <w:rFonts w:ascii="Arial" w:hAnsi="Arial" w:cs="Arial"/>
                <w:sz w:val="22"/>
                <w:szCs w:val="22"/>
              </w:rPr>
              <w:t>No</w:t>
            </w:r>
          </w:p>
        </w:tc>
      </w:tr>
      <w:tr>
        <w:trPr>
          <w:tblHeader w:val="0"/>
          <w:cantSplit w:val="0"/>
          <w:trHeight w:val="1139"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Assignment title: Did belief in astrology decline in the 17</w:t>
            </w:r>
            <w:r>
              <w:rPr>
                <w:rFonts w:ascii="Arial" w:hAnsi="Arial" w:cs="Arial"/>
                <w:sz w:val="22"/>
                <w:szCs w:val="22"/>
                <w:vertAlign w:val="superscript"/>
              </w:rPr>
              <w:t>th</w:t>
            </w:r>
            <w:r>
              <w:rPr>
                <w:rFonts w:ascii="Arial" w:hAnsi="Arial" w:cs="Arial"/>
                <w:sz w:val="22"/>
                <w:szCs w:val="22"/>
              </w:rPr>
              <w:t xml:space="preserve"> century</w:t>
              <w:br w:type="textWrapping"/>
              <w:t>Word Count: 4,642</w:t>
            </w:r>
          </w:p>
          <w:p>
            <w:pPr>
              <w:pStyle w:val="para4"/>
              <w:ind w:right="34"/>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 xml:space="preserve">Assignment due date: </w:t>
            </w:r>
          </w:p>
        </w:tc>
      </w:tr>
      <w:tr>
        <w:trPr>
          <w:tblHeader w:val="0"/>
          <w:cantSplit w:val="0"/>
          <w:trHeight w:val="978"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rPr>
              <w:t>This assignment is for the       1</w:t>
            </w:r>
            <w:r>
              <w:rPr>
                <w:rFonts w:ascii="Arial" w:hAnsi="Arial" w:eastAsia="SimSun" w:cs="Arial"/>
                <w:vertAlign w:val="superscript"/>
              </w:rPr>
              <w:t xml:space="preserve">st </w:t>
            </w:r>
            <w:r/>
            <w:bookmarkStart w:id="0" w:name="Check13"/>
            <w:r/>
            <w:r>
              <w:rPr>
                <w:rFonts w:ascii="Arial" w:hAnsi="Arial" w:eastAsia="SimSun" w:cs="Arial"/>
              </w:rPr>
            </w:r>
            <w:r>
              <w:rPr>
                <w:rFonts w:ascii="Arial" w:hAnsi="Arial" w:eastAsia="SimSun" w:cs="Arial"/>
              </w:rPr>
              <w:fldChar w:fldCharType="begin">
                <w:ffData>
                  <w:name w:val="Check13"/>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0"/>
            <w:r/>
            <w:r>
              <w:rPr>
                <w:rFonts w:ascii="Arial" w:hAnsi="Arial" w:eastAsia="SimSun" w:cs="Arial"/>
              </w:rPr>
              <w:t xml:space="preserve">    2</w:t>
            </w:r>
            <w:r>
              <w:rPr>
                <w:rFonts w:ascii="Arial" w:hAnsi="Arial" w:eastAsia="SimSun" w:cs="Arial"/>
                <w:vertAlign w:val="superscript"/>
              </w:rPr>
              <w:t>nd</w:t>
            </w:r>
            <w:r>
              <w:rPr>
                <w:rFonts w:ascii="Arial" w:hAnsi="Arial" w:eastAsia="SimSun" w:cs="Arial"/>
              </w:rPr>
              <w:t xml:space="preserve">  </w:t>
            </w:r>
            <w:r/>
            <w:bookmarkStart w:id="1" w:name="Check14"/>
            <w:r/>
            <w:r>
              <w:rPr>
                <w:rFonts w:ascii="Arial" w:hAnsi="Arial" w:eastAsia="SimSun" w:cs="Arial"/>
              </w:rPr>
            </w:r>
            <w:r>
              <w:rPr>
                <w:rFonts w:ascii="Arial" w:hAnsi="Arial" w:eastAsia="SimSun" w:cs="Arial"/>
              </w:rPr>
              <w:fldChar w:fldCharType="begin">
                <w:ffData>
                  <w:name w:val="Check14"/>
                  <w:enabled/>
                  <w:calcOnExit w:val="0"/>
                  <w:checkBox>
                    <w:sizeAuto/>
                    <w:checked w:val="1"/>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1"/>
            <w:r/>
            <w:r>
              <w:rPr>
                <w:rFonts w:ascii="Arial" w:hAnsi="Arial" w:eastAsia="SimSun" w:cs="Arial"/>
              </w:rPr>
              <w:t xml:space="preserve">     3</w:t>
            </w:r>
            <w:r>
              <w:rPr>
                <w:rFonts w:ascii="Arial" w:hAnsi="Arial" w:eastAsia="SimSun" w:cs="Arial"/>
                <w:vertAlign w:val="superscript"/>
              </w:rPr>
              <w:t>rd</w:t>
            </w:r>
            <w:r>
              <w:rPr>
                <w:rFonts w:ascii="Arial" w:hAnsi="Arial" w:eastAsia="SimSun" w:cs="Arial"/>
              </w:rPr>
              <w:t xml:space="preserve">  </w:t>
            </w:r>
            <w:r/>
            <w:bookmarkStart w:id="2" w:name="Check15"/>
            <w:r/>
            <w:r>
              <w:rPr>
                <w:rFonts w:ascii="Arial" w:hAnsi="Arial" w:eastAsia="SimSun" w:cs="Arial"/>
              </w:rPr>
            </w:r>
            <w:r>
              <w:rPr>
                <w:rFonts w:ascii="Arial" w:hAnsi="Arial" w:eastAsia="SimSun" w:cs="Arial"/>
              </w:rPr>
              <w:fldChar w:fldCharType="begin">
                <w:ffData>
                  <w:name w:val="Check15"/>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2"/>
            <w:r/>
            <w:r>
              <w:rPr>
                <w:rFonts w:ascii="Arial" w:hAnsi="Arial" w:eastAsia="SimSun" w:cs="Arial"/>
              </w:rPr>
              <w:t xml:space="preserve">      4</w:t>
            </w:r>
            <w:r>
              <w:rPr>
                <w:rFonts w:ascii="Arial" w:hAnsi="Arial" w:eastAsia="SimSun" w:cs="Arial"/>
                <w:vertAlign w:val="superscript"/>
              </w:rPr>
              <w:t>th</w:t>
            </w:r>
            <w:r>
              <w:rPr>
                <w:rFonts w:ascii="Arial" w:hAnsi="Arial" w:eastAsia="SimSun" w:cs="Arial"/>
              </w:rPr>
              <w:t xml:space="preserve"> </w:t>
            </w:r>
            <w:r/>
            <w:bookmarkStart w:id="3" w:name="Check16"/>
            <w:r/>
            <w:r>
              <w:rPr>
                <w:rFonts w:ascii="Arial" w:hAnsi="Arial" w:eastAsia="SimSun" w:cs="Arial"/>
              </w:rPr>
            </w:r>
            <w:r>
              <w:rPr>
                <w:rFonts w:ascii="Arial" w:hAnsi="Arial" w:eastAsia="SimSun" w:cs="Arial"/>
              </w:rPr>
              <w:fldChar w:fldCharType="begin">
                <w:ffData>
                  <w:name w:val="Check16"/>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3"/>
            <w:r/>
            <w:r>
              <w:rPr>
                <w:rFonts w:ascii="Arial" w:hAnsi="Arial" w:eastAsia="SimSun" w:cs="Arial"/>
              </w:rPr>
              <w:t xml:space="preserve">      5</w:t>
            </w:r>
            <w:r>
              <w:rPr>
                <w:rFonts w:ascii="Arial" w:hAnsi="Arial" w:eastAsia="SimSun" w:cs="Arial"/>
                <w:vertAlign w:val="superscript"/>
              </w:rPr>
              <w:t>th</w:t>
            </w:r>
            <w:r>
              <w:rPr>
                <w:rFonts w:ascii="Arial" w:hAnsi="Arial" w:eastAsia="SimSun" w:cs="Arial"/>
              </w:rPr>
              <w:t xml:space="preserve"> </w:t>
            </w:r>
            <w:r/>
            <w:bookmarkStart w:id="4" w:name="Check17"/>
            <w:r/>
            <w:r>
              <w:rPr>
                <w:rFonts w:ascii="Arial" w:hAnsi="Arial" w:eastAsia="SimSun" w:cs="Arial"/>
              </w:rPr>
            </w:r>
            <w:r>
              <w:rPr>
                <w:rFonts w:ascii="Arial" w:hAnsi="Arial" w:eastAsia="SimSun" w:cs="Arial"/>
              </w:rPr>
              <w:fldChar w:fldCharType="begin">
                <w:ffData>
                  <w:name w:val="Check17"/>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4"/>
            <w:r/>
            <w:r>
              <w:rPr>
                <w:rFonts w:ascii="Arial" w:hAnsi="Arial" w:eastAsia="SimSun" w:cs="Arial"/>
              </w:rPr>
              <w:t xml:space="preserve">      6</w:t>
            </w:r>
            <w:r>
              <w:rPr>
                <w:rFonts w:ascii="Arial" w:hAnsi="Arial" w:eastAsia="SimSun" w:cs="Arial"/>
                <w:vertAlign w:val="superscript"/>
              </w:rPr>
              <w:t>th</w:t>
            </w:r>
            <w:r>
              <w:rPr>
                <w:rFonts w:ascii="Arial" w:hAnsi="Arial" w:eastAsia="SimSun" w:cs="Arial"/>
              </w:rPr>
              <w:t xml:space="preserve"> </w:t>
            </w:r>
            <w:r/>
            <w:bookmarkStart w:id="5" w:name="Check18"/>
            <w:r/>
            <w:r>
              <w:rPr>
                <w:rFonts w:ascii="Arial" w:hAnsi="Arial" w:eastAsia="SimSun" w:cs="Arial"/>
              </w:rPr>
            </w:r>
            <w:r>
              <w:rPr>
                <w:rFonts w:ascii="Arial" w:hAnsi="Arial" w:eastAsia="SimSun" w:cs="Arial"/>
              </w:rPr>
              <w:fldChar w:fldCharType="begin">
                <w:ffData>
                  <w:name w:val="Check18"/>
                  <w:enabled/>
                  <w:calcOnExit w:val="0"/>
                  <w:checkBox>
                    <w:sizeAuto/>
                    <w:checked w:val="0"/>
                  </w:checkBox>
                  <w:dim/>
                </w:ffData>
              </w:fldChar>
            </w:r>
            <w:r>
              <w:rPr>
                <w:rFonts w:ascii="Arial" w:hAnsi="Arial" w:eastAsia="SimSun" w:cs="Arial"/>
              </w:rPr>
              <w:instrText xml:space="preserve"> FORMCHECKBOX </w:instrText>
            </w:r>
            <w:r>
              <w:rPr>
                <w:rFonts w:ascii="Arial" w:hAnsi="Arial" w:eastAsia="SimSun" w:cs="Arial"/>
              </w:rPr>
            </w:r>
            <w:r>
              <w:rPr>
                <w:rFonts w:ascii="Arial" w:hAnsi="Arial" w:eastAsia="SimSun" w:cs="Arial"/>
              </w:rPr>
              <w:fldChar w:fldCharType="end"/>
            </w:r>
            <w:r>
              <w:rPr>
                <w:rFonts w:ascii="Arial" w:hAnsi="Arial" w:eastAsia="SimSun" w:cs="Arial"/>
              </w:rPr>
            </w:r>
            <w:r/>
            <w:bookmarkEnd w:id="5"/>
            <w:r/>
            <w:r>
              <w:rPr>
                <w:rFonts w:ascii="Arial" w:hAnsi="Arial" w:eastAsia="SimSun" w:cs="Arial"/>
                <w:b/>
              </w:rPr>
              <w:t xml:space="preserve">   </w:t>
            </w:r>
            <w:r>
              <w:rPr>
                <w:rFonts w:ascii="Arial" w:hAnsi="Arial" w:eastAsia="SimSun" w:cs="Arial"/>
              </w:rPr>
              <w:t>module of the degree</w:t>
            </w:r>
            <w:r>
              <w:rPr>
                <w:rFonts w:ascii="Arial" w:hAnsi="Arial" w:eastAsia="SimSun" w:cs="Arial"/>
              </w:rPr>
            </w:r>
          </w:p>
        </w:tc>
      </w:tr>
      <w:tr>
        <w:trPr>
          <w:tblHeader w:val="0"/>
          <w:cantSplit w:val="0"/>
          <w:trHeight w:val="978" w:hRule="atLeast"/>
        </w:trPr>
        <w:tc>
          <w:tcPr>
            <w:tcW w:w="9639" w:type="dxa"/>
            <w:gridSpan w:val="5"/>
            <w:shd w:val="solid" w:color="D9D9D9" tmshd="1677721856, 0, 14277081"/>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right="34" w:firstLine="0"/>
              <w:spacing w:before="0" w:after="0" w:beforeAutospacing="0" w:afterAutospacing="0"/>
              <w:rPr>
                <w:rFonts w:ascii="Arial" w:hAnsi="Arial" w:cs="Arial"/>
                <w:sz w:val="22"/>
                <w:szCs w:val="22"/>
              </w:rPr>
            </w:pPr>
            <w:r>
              <w:rPr>
                <w:rFonts w:ascii="Arial" w:hAnsi="Arial" w:cs="Arial"/>
                <w:sz w:val="22"/>
                <w:szCs w:val="22"/>
              </w:rPr>
              <w:t>I confirm that this is my original work and that I have adhered to the University policy on plagiarism.</w:t>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r>
          </w:p>
          <w:p>
            <w:pPr>
              <w:pStyle w:val="para4"/>
              <w:ind w:right="34" w:firstLine="0"/>
              <w:spacing w:before="0" w:after="0" w:beforeAutospacing="0" w:afterAutospacing="0"/>
              <w:rPr>
                <w:rFonts w:ascii="Arial" w:hAnsi="Arial" w:cs="Arial"/>
                <w:sz w:val="22"/>
                <w:szCs w:val="22"/>
              </w:rPr>
            </w:pPr>
            <w:r>
              <w:rPr>
                <w:rFonts w:ascii="Arial" w:hAnsi="Arial" w:cs="Arial"/>
                <w:sz w:val="22"/>
                <w:szCs w:val="22"/>
              </w:rPr>
              <w:t>Signed  L Parkinson-Hardman</w:t>
            </w:r>
          </w:p>
          <w:p>
            <w:pPr>
              <w:pStyle w:val="para4"/>
              <w:ind w:right="34" w:firstLine="0"/>
              <w:spacing w:before="0" w:after="0" w:beforeAutospacing="0" w:afterAutospacing="0"/>
              <w:rPr>
                <w:rFonts w:ascii="Wingdings 2" w:hAnsi="Wingdings 2" w:eastAsia="Wingdings 2" w:cs="Wingdings 2"/>
                <w:b/>
                <w:sz w:val="44"/>
                <w:szCs w:val="44"/>
              </w:rPr>
            </w:pPr>
            <w:r>
              <w:rPr>
                <w:rFonts w:ascii="Calibri" w:hAnsi="Calibri" w:cs="Tahoma"/>
                <w:b/>
                <w:sz w:val="24"/>
                <w:szCs w:val="24"/>
              </w:rPr>
              <w:t xml:space="preserve">Email submission:if you are submitting this form via email, please tick this box </w:t>
            </w:r>
            <w:r>
              <w:rPr>
                <w:rFonts w:ascii="Wingdings 2" w:hAnsi="Wingdings 2" w:eastAsia="Wingdings 2" w:cs="Wingdings 2"/>
                <w:b/>
                <w:sz w:val="44"/>
                <w:szCs w:val="44"/>
              </w:rPr>
              <w:t></w:t>
            </w:r>
            <w:r>
              <w:rPr>
                <w:rFonts w:ascii="Wingdings 2" w:hAnsi="Wingdings 2" w:eastAsia="Wingdings 2" w:cs="Wingdings 2"/>
                <w:b/>
                <w:sz w:val="44"/>
                <w:szCs w:val="44"/>
              </w:rPr>
            </w:r>
          </w:p>
          <w:p>
            <w:pPr>
              <w:pStyle w:val="para4"/>
              <w:ind w:right="34" w:firstLine="0"/>
              <w:spacing w:before="0" w:after="0" w:beforeAutospacing="0" w:afterAutospacing="0"/>
              <w:rPr>
                <w:rFonts w:ascii="Arial" w:hAnsi="Arial" w:cs="Arial"/>
                <w:sz w:val="22"/>
                <w:szCs w:val="22"/>
              </w:rPr>
            </w:pPr>
            <w:r>
              <w:rPr>
                <w:rFonts w:ascii="Calibri" w:hAnsi="Calibri" w:cs="Tahoma"/>
                <w:b/>
                <w:sz w:val="24"/>
                <w:szCs w:val="24"/>
              </w:rPr>
              <w:t>(as a substitute for your signature) to confirm that you agree to the above declaration.</w:t>
            </w:r>
            <w:r>
              <w:rPr>
                <w:rFonts w:ascii="Arial" w:hAnsi="Arial" w:cs="Arial"/>
                <w:sz w:val="22"/>
                <w:szCs w:val="22"/>
              </w:rPr>
            </w:r>
          </w:p>
        </w:tc>
      </w:tr>
      <w:tr>
        <w:trPr>
          <w:tblHeader w:val="0"/>
          <w:cantSplit w:val="0"/>
          <w:trHeight w:val="3972"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b/>
              </w:rPr>
            </w:pPr>
            <w:r>
              <w:rPr>
                <w:rFonts w:ascii="Arial" w:hAnsi="Arial" w:eastAsia="SimSun" w:cs="Arial"/>
                <w:b/>
              </w:rPr>
            </w:r>
          </w:p>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b/>
              </w:rPr>
              <w:t>Assignment Mark</w:t>
            </w:r>
            <w:r>
              <w:rPr>
                <w:rFonts w:ascii="Arial" w:hAnsi="Arial" w:eastAsia="SimSun" w:cs="Arial"/>
              </w:rPr>
            </w:r>
          </w:p>
          <w:tbl>
            <w:tblPr>
              <w:tblStyle w:val="TableNormal"/>
              <w:name w:val="Table2"/>
              <w:tabOrder w:val="0"/>
              <w:jc w:val="left"/>
              <w:tblInd w:w="0" w:type="dxa"/>
              <w:tblW w:w="9413" w:type="dxa"/>
              <w:pPr>
                <w:spacing/>
                <w:jc w:val="left"/>
                <w:tabs defTabSz="720"/>
              </w:pPr>
              <w:tblLook w:val="0600" w:firstRow="0" w:lastRow="0" w:firstColumn="0" w:lastColumn="0" w:noHBand="1" w:noVBand="1"/>
            </w:tblPr>
            <w:tblGrid>
              <w:gridCol w:w="6902"/>
              <w:gridCol w:w="2511"/>
            </w:tblGrid>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t>1</w:t>
                  </w:r>
                  <w:r>
                    <w:rPr>
                      <w:rFonts w:ascii="Arial" w:hAnsi="Arial" w:eastAsia="SimSun" w:cs="Arial"/>
                      <w:sz w:val="20"/>
                      <w:szCs w:val="20"/>
                      <w:vertAlign w:val="superscript"/>
                    </w:rPr>
                    <w:t>st</w:t>
                  </w:r>
                  <w:r>
                    <w:rPr>
                      <w:rFonts w:ascii="Arial" w:hAnsi="Arial" w:eastAsia="SimSun" w:cs="Arial"/>
                      <w:sz w:val="20"/>
                      <w:szCs w:val="20"/>
                    </w:rPr>
                    <w:t xml:space="preserve"> Marker’s Provisional mark</w:t>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t>2</w:t>
                  </w:r>
                  <w:r>
                    <w:rPr>
                      <w:rFonts w:ascii="Arial" w:hAnsi="Arial" w:eastAsia="SimSun" w:cs="Arial"/>
                      <w:sz w:val="20"/>
                      <w:szCs w:val="20"/>
                      <w:vertAlign w:val="superscript"/>
                    </w:rPr>
                    <w:t>nd</w:t>
                  </w:r>
                  <w:r>
                    <w:rPr>
                      <w:rFonts w:ascii="Arial" w:hAnsi="Arial" w:eastAsia="SimSun" w:cs="Arial"/>
                      <w:sz w:val="20"/>
                      <w:szCs w:val="20"/>
                    </w:rPr>
                    <w:t xml:space="preserve"> Marker’s/Moderator’s provisional mark</w:t>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t>External Examiner’s mark (if relevant)</w:t>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r>
              <w:trPr>
                <w:tblHeader w:val="0"/>
                <w:cantSplit w:val="0"/>
                <w:trHeight w:val="0" w:hRule="auto"/>
              </w:trPr>
              <w:tc>
                <w:tcPr>
                  <w:tcW w:w="6902"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b/>
                      <w:sz w:val="20"/>
                      <w:szCs w:val="20"/>
                    </w:rPr>
                  </w:pPr>
                  <w:r>
                    <w:rPr>
                      <w:rFonts w:ascii="Arial" w:hAnsi="Arial" w:eastAsia="SimSun" w:cs="Arial"/>
                      <w:b/>
                      <w:sz w:val="20"/>
                      <w:szCs w:val="20"/>
                    </w:rPr>
                    <w:t>Final Mark</w:t>
                  </w:r>
                </w:p>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c>
                <w:tcPr>
                  <w:tcW w:w="2511" w:type="dxa"/>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sz w:val="20"/>
                      <w:szCs w:val="20"/>
                    </w:rPr>
                  </w:pPr>
                  <w:r>
                    <w:rPr>
                      <w:rFonts w:ascii="Arial" w:hAnsi="Arial" w:eastAsia="SimSun" w:cs="Arial"/>
                      <w:sz w:val="20"/>
                      <w:szCs w:val="20"/>
                    </w:rPr>
                  </w:r>
                </w:p>
              </w:tc>
            </w:tr>
          </w:tbl>
          <w:p>
            <w:pPr>
              <w:pStyle w:val="para4"/>
              <w:ind w:left="142" w:right="34"/>
              <w:spacing w:before="0" w:after="0" w:beforeAutospacing="0" w:afterAutospacing="0"/>
              <w:rPr>
                <w:rFonts w:ascii="Arial" w:hAnsi="Arial" w:cs="Arial"/>
                <w:b/>
                <w:sz w:val="22"/>
                <w:szCs w:val="22"/>
              </w:rPr>
            </w:pPr>
            <w:r>
              <w:rPr>
                <w:rFonts w:ascii="Arial" w:hAnsi="Arial" w:cs="Arial"/>
                <w:b/>
                <w:sz w:val="22"/>
                <w:szCs w:val="22"/>
              </w:rPr>
            </w:r>
          </w:p>
          <w:p>
            <w:pPr>
              <w:pStyle w:val="para4"/>
              <w:ind w:left="0" w:right="34" w:firstLine="0"/>
              <w:spacing w:before="0" w:after="0" w:beforeAutospacing="0" w:afterAutospacing="0"/>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pPr>
              <w:pStyle w:val="para4"/>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br w:type="textWrapping"/>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r>
          </w:p>
          <w:p>
            <w:pPr>
              <w:pStyle w:val="para4"/>
              <w:ind w:firstLine="0"/>
              <w:spacing w:before="0" w:after="0" w:beforeAutospacing="0" w:afterAutospacing="0"/>
              <w:rPr>
                <w:rFonts w:ascii="Arial" w:hAnsi="Arial" w:cs="Arial"/>
                <w:b/>
                <w:sz w:val="22"/>
                <w:szCs w:val="22"/>
              </w:rPr>
            </w:pPr>
            <w:r>
              <w:rPr>
                <w:rFonts w:ascii="Arial" w:hAnsi="Arial" w:cs="Arial"/>
                <w:b/>
                <w:sz w:val="22"/>
                <w:szCs w:val="22"/>
              </w:rPr>
              <w:t>For completion by Marker 1 :</w:t>
            </w:r>
          </w:p>
          <w:p>
            <w:pPr>
              <w:pStyle w:val="para4"/>
              <w:ind w:firstLine="0"/>
              <w:rPr>
                <w:rFonts w:ascii="Arial" w:hAnsi="Arial" w:cs="Arial"/>
                <w:sz w:val="22"/>
                <w:szCs w:val="22"/>
              </w:rPr>
            </w:pPr>
            <w:r>
              <w:rPr>
                <w:rFonts w:ascii="Arial" w:hAnsi="Arial" w:cs="Arial"/>
                <w:sz w:val="22"/>
                <w:szCs w:val="22"/>
              </w:rPr>
              <w:t>Comments:</w:t>
            </w:r>
          </w:p>
          <w:p>
            <w:pPr>
              <w:pStyle w:val="para4"/>
              <w:ind w:firstLine="0"/>
              <w:rPr>
                <w:rFonts w:ascii="Arial" w:hAnsi="Arial" w:cs="Arial"/>
                <w:sz w:val="22"/>
                <w:szCs w:val="22"/>
              </w:rPr>
            </w:pPr>
            <w:r>
              <w:rPr>
                <w:rFonts w:ascii="Arial" w:hAnsi="Arial" w:cs="Arial"/>
                <w:sz w:val="22"/>
                <w:szCs w:val="22"/>
              </w:rPr>
            </w:r>
          </w:p>
          <w:p>
            <w:pPr>
              <w:pStyle w:val="para4"/>
              <w:ind w:firstLine="0"/>
              <w:rPr>
                <w:rFonts w:ascii="Arial" w:hAnsi="Arial" w:cs="Arial"/>
                <w:sz w:val="22"/>
                <w:szCs w:val="22"/>
              </w:rPr>
            </w:pPr>
            <w:r>
              <w:rPr>
                <w:rFonts w:ascii="Arial" w:hAnsi="Arial" w:cs="Arial"/>
                <w:sz w:val="22"/>
                <w:szCs w:val="22"/>
              </w:rPr>
            </w:r>
          </w:p>
          <w:p>
            <w:pPr>
              <w:pStyle w:val="para4"/>
              <w:ind w:firstLine="0"/>
              <w:rPr>
                <w:rFonts w:ascii="Arial" w:hAnsi="Arial" w:cs="Arial"/>
                <w:sz w:val="22"/>
                <w:szCs w:val="22"/>
              </w:rPr>
            </w:pPr>
            <w:r>
              <w:rPr>
                <w:rFonts w:ascii="Arial" w:hAnsi="Arial" w:cs="Arial"/>
                <w:sz w:val="22"/>
                <w:szCs w:val="22"/>
              </w:rPr>
            </w:r>
          </w:p>
        </w:tc>
      </w:tr>
      <w:tr>
        <w:trPr>
          <w:tblHeader w:val="0"/>
          <w:cantSplit w:val="0"/>
          <w:trHeight w:val="492" w:hRule="atLeast"/>
        </w:trPr>
        <w:tc>
          <w:tcPr>
            <w:tcW w:w="6753"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left="142" w:right="34" w:firstLine="0"/>
              <w:rPr>
                <w:rFonts w:ascii="Arial" w:hAnsi="Arial" w:cs="Arial"/>
                <w:sz w:val="22"/>
                <w:szCs w:val="22"/>
              </w:rPr>
            </w:pPr>
            <w:r>
              <w:rPr>
                <w:rFonts w:ascii="Arial" w:hAnsi="Arial" w:cs="Arial"/>
                <w:sz w:val="22"/>
                <w:szCs w:val="22"/>
              </w:rPr>
              <w:t>Marker’s signature:</w:t>
            </w:r>
          </w:p>
        </w:tc>
        <w:tc>
          <w:tcPr>
            <w:tcW w:w="2886" w:type="dxa"/>
            <w:gridSpan w:val="2"/>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left="142" w:right="34"/>
              <w:spacing w:after="0"/>
              <w:rPr>
                <w:rFonts w:ascii="Arial" w:hAnsi="Arial" w:cs="Arial"/>
                <w:sz w:val="22"/>
                <w:szCs w:val="22"/>
              </w:rPr>
            </w:pPr>
            <w:r>
              <w:rPr>
                <w:rFonts w:ascii="Arial" w:hAnsi="Arial" w:cs="Arial"/>
                <w:sz w:val="22"/>
                <w:szCs w:val="22"/>
              </w:rPr>
              <w:t>Date:</w:t>
            </w:r>
          </w:p>
        </w:tc>
      </w:tr>
      <w:tr>
        <w:trPr>
          <w:tblHeader w:val="0"/>
          <w:cantSplit w:val="0"/>
          <w:trHeight w:val="0" w:hRule="auto"/>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right="-334"/>
              <w:spacing w:before="0" w:after="0" w:beforeAutospacing="0" w:afterAutospacing="0"/>
              <w:rPr>
                <w:rFonts w:ascii="Arial" w:hAnsi="Arial" w:cs="Arial"/>
                <w:bCs/>
                <w:i/>
                <w:sz w:val="22"/>
                <w:szCs w:val="22"/>
              </w:rPr>
            </w:pPr>
            <w:r>
              <w:rPr>
                <w:rFonts w:ascii="Arial" w:hAnsi="Arial" w:cs="Arial"/>
                <w:bCs/>
                <w:i/>
                <w:sz w:val="22"/>
                <w:szCs w:val="22"/>
              </w:rPr>
            </w:r>
          </w:p>
          <w:p>
            <w:pPr>
              <w:pStyle w:val="para4"/>
              <w:ind w:right="-334" w:firstLine="0"/>
              <w:spacing w:before="0" w:after="0" w:beforeAutospacing="0" w:afterAutospacing="0"/>
              <w:rPr>
                <w:rFonts w:ascii="Arial" w:hAnsi="Arial" w:cs="Arial"/>
                <w:b/>
                <w:bCs/>
                <w:sz w:val="22"/>
                <w:szCs w:val="22"/>
              </w:rPr>
            </w:pPr>
            <w:r>
              <w:rPr>
                <w:rFonts w:ascii="Arial" w:hAnsi="Arial" w:cs="Arial"/>
                <w:b/>
                <w:bCs/>
                <w:sz w:val="22"/>
                <w:szCs w:val="22"/>
              </w:rPr>
              <w:t>For completion by Marker 2/Moderator:</w:t>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t>Comments:</w:t>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tc>
      </w:tr>
      <w:tr>
        <w:trPr>
          <w:tblHeader w:val="0"/>
          <w:cantSplit w:val="0"/>
          <w:trHeight w:val="720" w:hRule="atLeast"/>
        </w:trPr>
        <w:tc>
          <w:tcPr>
            <w:tcW w:w="5200" w:type="dxa"/>
            <w:gridSpan w:val="2"/>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right="-334"/>
              <w:spacing w:before="0" w:after="0" w:beforeAutospacing="0" w:afterAutospacing="0"/>
              <w:rPr>
                <w:rFonts w:ascii="Arial" w:hAnsi="Arial" w:cs="Arial"/>
                <w:bCs/>
                <w:sz w:val="22"/>
                <w:szCs w:val="22"/>
              </w:rPr>
            </w:pPr>
            <w:r>
              <w:rPr>
                <w:rFonts w:ascii="Arial" w:hAnsi="Arial" w:cs="Arial"/>
                <w:bCs/>
                <w:sz w:val="22"/>
                <w:szCs w:val="22"/>
              </w:rPr>
              <w:t>Marker’s Signature:</w:t>
            </w:r>
          </w:p>
        </w:tc>
        <w:tc>
          <w:tcPr>
            <w:tcW w:w="4439"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pStyle w:val="para4"/>
              <w:ind w:right="-334"/>
              <w:spacing w:before="0" w:after="0" w:beforeAutospacing="0" w:afterAutospacing="0"/>
              <w:rPr>
                <w:rFonts w:ascii="Arial" w:hAnsi="Arial" w:cs="Arial"/>
                <w:bCs/>
                <w:sz w:val="22"/>
                <w:szCs w:val="22"/>
              </w:rPr>
            </w:pPr>
            <w:r>
              <w:rPr>
                <w:rFonts w:ascii="Arial" w:hAnsi="Arial" w:cs="Arial"/>
                <w:bCs/>
                <w:sz w:val="22"/>
                <w:szCs w:val="22"/>
              </w:rPr>
              <w:t>Date:</w:t>
            </w:r>
          </w:p>
        </w:tc>
      </w:tr>
      <w:tr>
        <w:trPr>
          <w:tblHeader w:val="0"/>
          <w:cantSplit w:val="0"/>
          <w:trHeight w:val="720" w:hRule="atLeast"/>
        </w:trPr>
        <w:tc>
          <w:tcPr>
            <w:tcW w:w="9639" w:type="dxa"/>
            <w:gridSpan w:val="5"/>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b/>
              </w:rPr>
            </w:pPr>
            <w:r>
              <w:rPr>
                <w:rFonts w:ascii="Arial" w:hAnsi="Arial" w:eastAsia="SimSun" w:cs="Arial"/>
                <w:b/>
              </w:rPr>
              <w:t>External Examiner’s comments (if relevant)</w:t>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firstLine="0"/>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spacing w:before="0" w:after="0" w:beforeAutospacing="0" w:afterAutospacing="0"/>
              <w:rPr>
                <w:rFonts w:ascii="Arial" w:hAnsi="Arial" w:cs="Arial"/>
                <w:bCs/>
                <w:sz w:val="22"/>
                <w:szCs w:val="22"/>
              </w:rPr>
            </w:pPr>
            <w:r>
              <w:rPr>
                <w:rFonts w:ascii="Arial" w:hAnsi="Arial" w:cs="Arial"/>
                <w:bCs/>
                <w:sz w:val="22"/>
                <w:szCs w:val="22"/>
              </w:rPr>
            </w:r>
          </w:p>
          <w:p>
            <w:pPr>
              <w:pStyle w:val="para4"/>
              <w:ind w:right="-334"/>
              <w:spacing w:before="0" w:after="0" w:beforeAutospacing="0" w:afterAutospacing="0"/>
              <w:rPr>
                <w:rFonts w:ascii="Arial" w:hAnsi="Arial" w:cs="Arial"/>
                <w:bCs/>
                <w:sz w:val="22"/>
                <w:szCs w:val="22"/>
              </w:rPr>
            </w:pPr>
            <w:r>
              <w:rPr>
                <w:rFonts w:ascii="Arial" w:hAnsi="Arial" w:cs="Arial"/>
                <w:bCs/>
                <w:sz w:val="22"/>
                <w:szCs w:val="22"/>
              </w:rPr>
            </w:r>
          </w:p>
        </w:tc>
      </w:tr>
      <w:tr>
        <w:trPr>
          <w:tblHeader w:val="0"/>
          <w:cantSplit w:val="0"/>
          <w:trHeight w:val="720" w:hRule="atLeast"/>
        </w:trPr>
        <w:tc>
          <w:tcPr>
            <w:tcW w:w="5200" w:type="dxa"/>
            <w:gridSpan w:val="2"/>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ind w:firstLine="0"/>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rPr>
              <w:t>External Examiner’s Signature:</w:t>
            </w:r>
          </w:p>
        </w:tc>
        <w:tc>
          <w:tcPr>
            <w:tcW w:w="4439" w:type="dxa"/>
            <w:gridSpan w:val="3"/>
            <w:shd w:val="none"/>
            <w:tcMar>
              <w:top w:w="0" w:type="dxa"/>
              <w:left w:w="108" w:type="dxa"/>
              <w:bottom w:w="0" w:type="dxa"/>
              <w:right w:w="108" w:type="dxa"/>
            </w:tcMar>
            <w:tcBorders>
              <w:top w:val="single" w:sz="4" w:space="0" w:color="000000" tmln="10, 20, 20, 0, 0"/>
              <w:left w:val="single" w:sz="4" w:space="0" w:color="000000" tmln="10, 20, 20, 0, 0"/>
              <w:bottom w:val="single" w:sz="4" w:space="0" w:color="000000" tmln="10, 20, 20, 0, 0"/>
              <w:right w:val="single" w:sz="4" w:space="0" w:color="000000" tmln="10, 20, 20, 0, 0"/>
              <w:tl2br w:val="nil" w:sz="0" w:space="0" w:color="000000" tmln="20, 20, 20, 0, 0"/>
              <w:tr2bl w:val="nil" w:sz="0" w:space="0" w:color="000000" tmln="20, 20, 20, 0, 0"/>
            </w:tcBorders>
            <w:tmTcPr id="1735566425" protected="1"/>
          </w:tcPr>
          <w:p>
            <w:pPr>
              <w:spacing w:before="0" w:after="0" w:line="240" w:lineRule="auto"/>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eastAsia="SimSun" w:cs="Arial"/>
              </w:rPr>
            </w:pPr>
            <w:r>
              <w:rPr>
                <w:rFonts w:ascii="Arial" w:hAnsi="Arial" w:eastAsia="SimSun" w:cs="Arial"/>
              </w:rPr>
              <w:t>Date:</w:t>
            </w:r>
          </w:p>
        </w:tc>
      </w:tr>
    </w:tbl>
    <w:p>
      <w:pPr>
        <w:pStyle w:val="para4"/>
        <w:ind w:right="-334"/>
        <w:spacing w:before="0" w:after="0" w:beforeAutospacing="0" w:afterAutospacing="0"/>
        <w:rPr>
          <w:rFonts w:ascii="Trebuchet MS" w:hAnsi="Trebuchet MS" w:cs="Tahoma"/>
          <w:bCs/>
          <w:sz w:val="24"/>
          <w:szCs w:val="24"/>
        </w:rPr>
      </w:pPr>
      <w:r>
        <w:rPr>
          <w:rFonts w:ascii="Trebuchet MS" w:hAnsi="Trebuchet MS" w:cs="Tahoma"/>
          <w:bCs/>
          <w:sz w:val="24"/>
          <w:szCs w:val="24"/>
        </w:rPr>
      </w:r>
    </w:p>
    <w:p>
      <w:r/>
    </w:p>
    <w:p>
      <w:pPr>
        <w:pStyle w:val="para1"/>
      </w:pPr>
      <w:r>
        <w:br w:type="page"/>
      </w:r>
      <w:r>
        <w:t>Did belief in astrology decline in the 17</w:t>
      </w:r>
      <w:r>
        <w:rPr>
          <w:vertAlign w:val="superscript"/>
        </w:rPr>
        <w:t>th</w:t>
      </w:r>
      <w:r>
        <w:t xml:space="preserve"> century?</w:t>
      </w:r>
    </w:p>
    <w:p>
      <w:pPr>
        <w:pStyle w:val="para2"/>
      </w:pPr>
      <w:r>
        <w:t>Introduction</w:t>
      </w:r>
    </w:p>
    <w:p>
      <w:r>
        <w:t>This essay considers the question whether belief in astrology declined in the seventeenth century, or it  changed in response to cultural and social shifts occurring  at the time.</w:t>
      </w:r>
    </w:p>
    <w:p>
      <w:r>
        <w:t>The question of astrological decline has been discussed by academia over the years and arguments for a decline range from the effect of science proving in some way that astrology was simply superstition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
      </w:r>
      <w:r>
        <w:t>, to the religious, political and hegemonic controls imposed by various elite groups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
      </w:r>
      <w:r>
        <w:t>, the rise of a new professional class as higher education became more specialised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
      </w:r>
      <w:r>
        <w:t xml:space="preserve"> and finally, the absence of astrological literature in the eighteenth century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0"/>
      </w:r>
      <w:r>
        <w:t>. As historians of astrology have demonstrated it has been beset by these and similar pressures since Babylonian times and has gone through earlier periods of rejuvenation and decline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1"/>
      </w:r>
      <w:r>
        <w:t>. This essay therefore seeks to explain what belief is and how it is demonstrated in relation to astrology in a wider social and cultural context.</w:t>
      </w:r>
    </w:p>
    <w:p>
      <w:pPr>
        <w:pStyle w:val="para2"/>
      </w:pPr>
      <w:r>
        <w:t>Discussion</w:t>
      </w:r>
    </w:p>
    <w:p>
      <w:pPr>
        <w:pStyle w:val="para3"/>
      </w:pPr>
      <w:r>
        <w:t>Definitions</w:t>
      </w:r>
    </w:p>
    <w:p>
      <w:r>
        <w:t>In modern times, belief has come to be associated with a notion of incredulity and naivety as evidenced by the Oxford English Dictionary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2"/>
      </w:r>
      <w:r>
        <w:t xml:space="preserve"> which defines it as:</w:t>
      </w:r>
    </w:p>
    <w:p>
      <w:pPr>
        <w:pStyle w:val="para7"/>
        <w:numPr>
          <w:ilvl w:val="0"/>
          <w:numId w:val="2"/>
        </w:numPr>
        <w:ind w:left="643" w:hanging="360"/>
      </w:pPr>
      <w:r>
        <w:t>a feeling that something exists or is true, especially one without proof.</w:t>
      </w:r>
    </w:p>
    <w:p>
      <w:pPr>
        <w:pStyle w:val="para7"/>
        <w:numPr>
          <w:ilvl w:val="0"/>
          <w:numId w:val="2"/>
        </w:numPr>
        <w:ind w:left="643" w:hanging="360"/>
      </w:pPr>
      <w:r>
        <w:t>a firmly held opinion.</w:t>
      </w:r>
    </w:p>
    <w:p>
      <w:pPr>
        <w:pStyle w:val="para7"/>
        <w:numPr>
          <w:ilvl w:val="0"/>
          <w:numId w:val="2"/>
        </w:numPr>
        <w:ind w:left="643" w:hanging="360"/>
      </w:pPr>
      <w:r>
        <w:t>(belief in) trust or confidence in.</w:t>
      </w:r>
    </w:p>
    <w:p>
      <w:pPr>
        <w:pStyle w:val="para7"/>
        <w:numPr>
          <w:ilvl w:val="0"/>
          <w:numId w:val="2"/>
        </w:numPr>
        <w:ind w:left="643" w:hanging="360"/>
      </w:pPr>
      <w:r>
        <w:t>religious faith.</w:t>
      </w:r>
    </w:p>
    <w:p>
      <w:r>
        <w:t xml:space="preserve">Some academics contest that “belief” as a construct was prevalent in pre and early modern societies and academic rationales range from it being </w:t>
      </w:r>
      <w:r>
        <w:rPr>
          <w:i/>
          <w:iCs/>
        </w:rPr>
        <w:t>related</w:t>
      </w:r>
      <w:r>
        <w:t xml:space="preserve"> to truth, evidenced based (at least on the part of the believer), efficacious in some way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3"/>
      </w:r>
      <w:r>
        <w:t xml:space="preserve"> or being psychologically based where Alison Chapman, for example, states that:</w:t>
      </w:r>
    </w:p>
    <w:p>
      <w:pPr>
        <w:pStyle w:val="para7"/>
      </w:pPr>
      <w:r>
        <w:t>’Belief in some degree of celestial influence was nearly ubiquitous in early modern England, and only a minority regarded astrology as a disreputable form of the occult, embraced only by the less-educated or the credulous.’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4"/>
      </w:r>
      <w:r/>
    </w:p>
    <w:p>
      <w:r>
        <w:t>However, these notions and definitions do not allow us to return to the seventeenth century to  conduct an ethnographic survey of the population about their beliefs, after all we cannot know at such a historic distance whether it was simple conformity to accepted values, practices, social expectations and pragmatic pressures, or a genuine belief in something similar to that outlined above by Chapman. It is, therefore, necessary to identify proxies which indicate that belief might have been operational since we cannot prove it conclusively.</w:t>
      </w:r>
    </w:p>
    <w:p>
      <w:r>
        <w:t>Fortunately, there are a number of proxies this essay is able to draw on. Perhaps the first and most important as evidenced by the third definition from the Oxford English Dictionary above, is that of the trust and confidence aspect of belief together with Chapman’s ‘ubiquitous’ nature of early modern England, which we may find in the actual practice of astrology itself. After all, it seems self-evident that for practitioners to have a practice they must have clients who, at least to some extent, believe in the value of the outcome of their enquiry. A good example of such might be the letter from Elias Ashmole (1617–1692) to William Lilly (1602–1681) requesting a horoscope for the date of an investment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5"/>
      </w:r>
      <w:r>
        <w:t>, Lilly replied the same day the letter was received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6"/>
      </w:r>
      <w:r>
        <w:t>.</w:t>
      </w:r>
    </w:p>
    <w:p>
      <w:r>
        <w:t>Astrological practice, although primary, is though just one proxy that could be used. As Nicholas Campion asserts when referring to the modern ‘New Age’, just because Church attendance has diminished through the nineteenth, twentieth and twenty-first Centuries is not evidence to suggest that people are less ‘religious’ or ‘spiritual’, but simply that the manifestation of such beliefs has changed in relation to a wider social and cultural change which he labels ‘privatization’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7"/>
      </w:r>
      <w:r>
        <w:t>. It is therefore, not without possibility that a similar manifestation was at play in the seventeenth century as different cosmological narratives competed for attention and ascendency.</w:t>
      </w:r>
    </w:p>
    <w:p>
      <w:r>
        <w:t>To demonstrate this point, the use of astronomical and meteorological data for agriculture and sea voyages provides additional weight to an argument that belief in astrology didn’t decline, it simply changed course and moved on. Furthermore, although astronomers were advancing shocking (at the time) new theories about the movement of the planets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8"/>
      </w:r>
      <w:r>
        <w:t>, that the sun rather than the earth, was at the heart of our solar system</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19"/>
      </w:r>
      <w:r>
        <w:t>, and that the space beyond the moon was not unchanging and perfect,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0"/>
      </w:r>
      <w:r>
        <w:t xml:space="preserve"> they were largely still practicing astrologers who wanted to perfect the practice of astrology itself</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1"/>
      </w:r>
      <w:r>
        <w:t xml:space="preserve">. As such, they were able to hold both the idea of astronomy and astrology as true and valid at the same time, and did not appear to feel a pressing need to separate their work into different disciplines. This is adequately demonstrated by Pfeffer’s observation that ‘astrology’s critics tended to be more concerned with the legitimacy of the </w:t>
      </w:r>
      <w:r>
        <w:rPr>
          <w:i/>
          <w:iCs/>
        </w:rPr>
        <w:t>practice</w:t>
      </w:r>
      <w:r>
        <w:t xml:space="preserve"> of astrology, rather than the legitimacy of its </w:t>
      </w:r>
      <w:r>
        <w:rPr>
          <w:i/>
          <w:iCs/>
        </w:rPr>
        <w:t>theories</w:t>
      </w:r>
      <w:r>
        <w: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2"/>
      </w:r>
      <w:r>
        <w:t xml:space="preserve"> The increase in printed materials in the form of books and almanacs is a further indication that astrology was commonplace throughout the seventeenth century and is a topic to which this essay will return.</w:t>
      </w:r>
    </w:p>
    <w:p>
      <w:r>
        <w:t>Additional evidence is given to the idea that astrological belief continued right through the end of the century and into the eighteenth by Patrick Curry and is based on the evidence of personal engagement with astrology by those who were also professing publicly that astrology was superstitious nonsense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3"/>
      </w:r>
      <w:r>
        <w:t>. This ties neatly  into the final proxy that could be used, also raised by Curry, which is related to the vehemence of the anti-astrological polemics and the effort expended by elites to diminish its reputation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4"/>
      </w:r>
      <w:r>
        <w:t>. One implication of this might be that if it had had no value nor extensive belief throughout the population, then there would have been little need to do other than allow the weight of the latest ‘scientific evidence’ to do the job of devaluing astrology as public awareness and education increased.</w:t>
      </w:r>
    </w:p>
    <w:p>
      <w:r>
        <w:t>Each of these proxies will be discussed in more detail in the course of this essay so that conclusions may be drawn more concretely.</w:t>
      </w:r>
    </w:p>
    <w:p>
      <w:pPr>
        <w:pStyle w:val="para3"/>
      </w:pPr>
      <w:r>
        <w:t>Astrology in the seventeenth Century</w:t>
      </w:r>
    </w:p>
    <w:p>
      <w:r>
        <w:t>Before considering how astrology was practiced and used in the seventeenth century it is important to have a good working definition for what may have been relevant at a time when astrology and astronomy were still largely interchangeable terms. This notion was drawn directly from the classical period and with astrologers such as Claudius Ptolemy (100–178 CE), who believed there were two kinds of astronomy, the ‘first’ dealt with ‘aspects of the movements of sun, moon, and stars in relation to each other and to the earth’, and ‘second’ was concerned with which the ‘natural character of these aspects themselves we investigate the changes which they bring about in that which they surround.’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5"/>
      </w:r>
      <w:r>
        <w:t xml:space="preserve"> This appears to suggest that you cannot have one (astronomy) without the other (astrology).</w:t>
      </w:r>
    </w:p>
    <w:p>
      <w:r>
        <w:t>As Lauren Kassell also reminds us, in 1570 Henry Billingsley (1538-1606) translated the work of the astrologer John Dee (1527-1608/9)</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6"/>
      </w:r>
      <w:r>
        <w:t xml:space="preserve"> who had defined astrology in his work on Euclid’s elements as an:</w:t>
      </w:r>
    </w:p>
    <w:p>
      <w:pPr>
        <w:pStyle w:val="para7"/>
      </w:pPr>
      <w:r>
        <w:t>‘[…] Arte mathematical which reasonably demonstrateth the operations and effectes of the naturall beames of light, and secrete influence of the Sterres and Planets: in every element and every elementall body; at all times, in any Horizon assigned’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7"/>
      </w:r>
      <w:r/>
    </w:p>
    <w:p>
      <w:r>
        <w:t>Additionally, William Lilly was a principal astrologer of the seventeenth Century who defined astrology as ‘[…] this heavenly knowledge of the stars’ in his primer for astrology students, Christian Astrology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8"/>
      </w:r>
      <w:r>
        <w:t>.</w:t>
      </w:r>
    </w:p>
    <w:p>
      <w:r>
        <w:t xml:space="preserve">These contemporary definitions set the background tone for the understanding and practice of astrology in the seventeenth century. They each reflect the nature of its focus on the stars as the provider of relevant knowledge, inspiration and guidance for human activity on earth. </w:t>
      </w:r>
    </w:p>
    <w:p>
      <w:r>
        <w:t>Today, twenty-first century definitions continue to reflect those of the time and, as an example, Nicholas Campion takes his lead from Ptolemy by stating that as far as he is concerned astronomy is the measurement and movement of the planets, and astrology is the study of meaning humanity has attached to that activity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29"/>
      </w:r>
      <w:r>
        <w:t>. Finally, Patrick Curry reminds his readers that astrology was never a single thing</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0"/>
      </w:r>
      <w:r>
        <w:t xml:space="preserve"> and that it was at the time, a human practice or belief that was centred on finding meaning in the skies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1"/>
      </w:r>
      <w:r>
        <w:t>.</w:t>
      </w:r>
    </w:p>
    <w:p>
      <w:r>
        <w:t>This essay will use the same definitions as above in the assumption that astrology is primarily concerned with both the movement of the stars and planets as they work together with the meanings that have been attributed to them individually and collectively.</w:t>
      </w:r>
    </w:p>
    <w:p>
      <w:pPr>
        <w:pStyle w:val="para3"/>
      </w:pPr>
      <w:r>
        <w:t>Astrological Practice</w:t>
      </w:r>
    </w:p>
    <w:p>
      <w:r>
        <w:t>In addition to a definition of belief, it is important to spend a little time understanding how astrology was practiced in the period. Curry suggests that there were broadly two kinds of astrology at use in the seventeenth century, the first was natural astrology and the second was judicial</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2"/>
      </w:r>
      <w:r>
        <w:t xml:space="preserve">. He goes on to suggest that it was the latter which suffered most as the century progressed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3"/>
      </w:r>
      <w:r>
        <w:t>.</w:t>
      </w:r>
    </w:p>
    <w:p>
      <w:r>
        <w:t>Nicholas Campion helpfully explains that natural astrology is concerned with impact of the celestial movements of planets and constellations on the natural world as can be seen in such phenomenon as the  passage of the seasons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4"/>
      </w:r>
      <w:r>
        <w:t>. He also suggests that there were four types of judicial astrology in which a chart could be cast to make a judgement about either a birth chart, world affairs, propitious dates to launch new ventures, or to answer specific questions from querents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5"/>
      </w:r>
      <w:r>
        <w:t>.</w:t>
      </w:r>
    </w:p>
    <w:p>
      <w:r>
        <w:t>In addition to Curry’s two types, Campion adds medical astrology which enabled practitioners to diagnose and treat all manner of illnesses and ailments in the general population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6"/>
      </w:r>
      <w:r>
        <w:t xml:space="preserve"> and the astrology practiced alongside magic, often for the making of talismans to protect against individuals external malevolent forces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7"/>
      </w:r>
      <w:r>
        <w:t>.</w:t>
      </w:r>
    </w:p>
    <w:p>
      <w:r>
        <w:t>However, it would be misleading to assume that each of these types of astrology operated entirely independently of the others, for example Nicholas Culpeper (1616-54) would use astrology to both diagnose and prescribe all manner of ailments and cures through the use of ‘astrological physic’</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8"/>
      </w:r>
      <w:r>
        <w:t>.</w:t>
      </w:r>
    </w:p>
    <w:p>
      <w:r>
        <w:t xml:space="preserve">Later, scholars such as Curry would come to redefine the types of astrology through a ‘class’ system such as patrician, middling and plebian or high, middle and popular, astrology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39"/>
      </w:r>
      <w:r>
        <w:t xml:space="preserve"> and this has a direct relevance to the question of astrology’s decline as Michelle Pfeffer goes on to suggest that it was primarily within the educated elite that astrology declined rather than in the popular mass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0"/>
      </w:r>
      <w:r>
        <w:t>. As Campion also says ’Popular culture was impervious to the concerns of the elite’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1"/>
      </w:r>
      <w:r>
        <w:t xml:space="preserve">. </w:t>
      </w:r>
    </w:p>
    <w:p>
      <w:r>
        <w:t xml:space="preserve">As Alison Chapman points out, given that most people still believed the moon had a direct effect on everything from women’s menstruation to the tides and lunacy, it made sense to believe that these bodies also held sway over the human experience as, after all, those self same celestial bodies had been put there by God. She shares the observation of one contemporary, Jonathan Dove who, in 1690 wrote that astrology was a ‘form of “Natural Theologie,” and that there are “none of the humane sciences that draw us so near to God.”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2"/>
      </w:r>
      <w:r/>
    </w:p>
    <w:p>
      <w:pPr>
        <w:pStyle w:val="para3"/>
      </w:pPr>
      <w:r>
        <w:t>Censorship and politics</w:t>
      </w:r>
    </w:p>
    <w:p>
      <w:r>
        <w:t xml:space="preserve">A censor is defined by the Oxford English Dictionary as a noun ’an official  who examines material that is to be published and bans anything considered to be offensive or a threat to security’, and as a verb ’ban unacceptable parts of a book, film etc..’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3"/>
      </w:r>
      <w:r/>
    </w:p>
    <w:p>
      <w:r>
        <w:t>In the context of this essay, censorship is taken as an active process designed to restrict the information available to the literate and follows on from the definition above, explicitly the part that suggests some material may be a threat to security.</w:t>
      </w:r>
    </w:p>
    <w:p>
      <w:r>
        <w:t xml:space="preserve">For example, according to Pfeffer from ancient Rome onwards astrology was regularly seen as ‘a sort of political crime’ because it had the potential to be ‘socially disruptive’ and she shares the example of censors in Mexico removing words such as ‘uprising’ from the prepublication versions of almanac drafts.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4"/>
      </w:r>
      <w:r/>
    </w:p>
    <w:p>
      <w:r>
        <w:t>Throughout the seventeenth century, astrology was increasingly subject to edicts designed to maintain public order because of its apparent peddling of ‘superstition’.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5"/>
      </w:r>
      <w:r>
        <w:t xml:space="preserve"> These edicts had two effects, the first was to reduce the amount of astrological prediction in the almanacs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6"/>
      </w:r>
      <w:r>
        <w:t>, and the second was to stabilise the role of natural astrology which focused on the weather, agriculture, navigation and medicine in the same publications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7"/>
      </w:r>
      <w:r>
        <w:t>. As a result, practising astrologers increasingly self-censored to avoid attention being placed on the entirety of their business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8"/>
      </w:r>
      <w:r>
        <w:t xml:space="preserve">. </w:t>
      </w:r>
    </w:p>
    <w:p>
      <w:r>
        <w:t>It is also important to note that while the divergence of astrology into two different disciplines may have begun with the scientific revolutions of Copernicus’ heliocentrism and Galileo’s telescope, it was in the late sixteenth century when the astrological reform, which completed the process, properly began. It was Tycho Brahe (1546-1601) who realised the astronomical tables on which he and other astrologers relied were incorrect. As a result he set about the task of improving astronomical accuracy because, as Campion reports, he was concerned that an outbreak of plague might have been predicted earlier had a conjunction between Jupiter and Saturn been identified correctly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49"/>
      </w:r>
      <w:r>
        <w:t>.</w:t>
      </w:r>
    </w:p>
    <w:p>
      <w:r>
        <w:t>Whilst this concern demonstrates that the two disciplines were still inextricably linked, it also identifies that this type of predictive capability was not just an essential that improves medical efficacy, it was also a matter of state security and was, along with weather forecasting extremely important at a national level. This is because, as Campion goes on to point out ‘the well-being of one’s subjects, not to mention the stability of the throne might depend on abundant harvest’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0"/>
      </w:r>
      <w:r>
        <w:t>.</w:t>
      </w:r>
    </w:p>
    <w:p>
      <w:r>
        <w:t>This perceived role of astrology in matters of state at elite levels would later, according to Patrick Curry, come to be one of its biggest errors of judgement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1"/>
      </w:r>
      <w:r>
        <w:t xml:space="preserve"> and is one to which this essay shall return as there are many examples of the astrological influence on politics throughout the century.</w:t>
      </w:r>
    </w:p>
    <w:p>
      <w:r>
        <w:t>Perhaps the most important was the overall effect of astrology on the English Civil War. During the war, astrologers had variously been allied to either the parliamentarians or the royalists. Their role was crucial in rallying the troops, keeping up morale, and providing useful information regarding battle plans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2"/>
      </w:r>
      <w:r>
        <w:t>. For example, William Lilly was invited to address the parliamentarian troops after successfully predicting the outcome of the battle of Naseby. Others, such as Elias Ashmole were more heavily involved with the Royalist cause which would later prove beneficial for his fellow astrologers after the restoration of the monarchy in 1660</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3"/>
      </w:r>
      <w:r>
        <w:t>.</w:t>
      </w:r>
    </w:p>
    <w:p>
      <w:r>
        <w:t>With the breakdown in censorship</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4"/>
      </w:r>
      <w:r>
        <w:t xml:space="preserve"> during the civil war and up to 1642</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5"/>
      </w:r>
      <w:r>
        <w:t xml:space="preserve"> the sale of almanacs rocketed and Lilly’s first venture in publishing sold out within a week. By 1649 he was selling 30,000 copies and they were also translated into multiple European languages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6"/>
      </w:r>
      <w:r>
        <w:t>. It is perhaps, unsurprising that such publications flourished during a period of turmoil, as they provided an illusion of control in uncertain times by meeting a public demand for predictions that might affect or influence the population’s day to day lives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7"/>
      </w:r>
      <w:r>
        <w:t>. However, printed publications such as almanacs also put their creators and publishers in danger, especially if they happened to be on the losing side in any conflict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8"/>
      </w:r>
      <w:r>
        <w:t xml:space="preserve"> and by 1664 sales of Lilly’s almanac had fallen to just 8,000</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59"/>
      </w:r>
      <w:r>
        <w:t>.</w:t>
      </w:r>
    </w:p>
    <w:p>
      <w:r>
        <w:t>Astrology had always been seen as a challenge to the established order even as far back as Mesopotamian times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0"/>
      </w:r>
      <w:r>
        <w:t>. To be an astrologer was to court potential death, banishment or house arrest simply because your prediction might ignite civil unrest, challenge the status-quo or even suggest a regime change was imminent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1"/>
      </w:r>
      <w:r>
        <w:t>. As always, it was rooted in notions of political power and social cohesion. With the invention of the printing press and publications appearing in English, astrology was once again determined by elites to have the power to destabilise and threaten the established order. The civil war and subsequent beheading of Charles I had demonstrated to the population at large that there was no divine right of Kings to rule, that the accepted order was fallible and could be changed, and that there was no divine hierarchy that demanded a rigid acceptance of the status quo</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2"/>
      </w:r>
      <w:r>
        <w:t>. And, the fact that an astrologer such as Lilly could print a book that included questions and answers including those such as ‘Whether a King might be ‘expulsed’ from his Kingdom’ were all the evidence the ruling classes needed because it was now within the ability of the general public to determine for themselves whether or not the King would continue with his reign. Lilly wrote:</w:t>
      </w:r>
    </w:p>
    <w:p>
      <w:pPr>
        <w:pStyle w:val="para7"/>
      </w:pPr>
      <w:r>
        <w:rPr>
          <w:noProof/>
        </w:rPr>
        <w:drawing>
          <wp:inline distT="89535" distB="89535" distL="89535" distR="89535">
            <wp:extent cx="5570220" cy="510540"/>
            <wp:effectExtent l="0" t="0" r="0" b="0"/>
            <wp:docPr id="2" name="Pic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2"/>
                    <pic:cNvPicPr>
                      <a:picLocks noChangeAspect="1"/>
                      <a:extLst>
                        <a:ext uri="sm">
                          <sm:smNativeData xmlns:sm="sm" val="SMDATA_17_WaRyZ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3AAAAB6IAAAAAAAAAAAAAAQAAAAAAAACcAAAAAAAAAAAAAACcAAAARCIAACQDAAAAAAAAnAAAAJwAAAAoAAAACAAAAAEAAAABAAAAMAAAABQAAAAAAAAAAAD//wAAAQAAAP//AAABAA=="/>
                        </a:ext>
                      </a:extLst>
                    </pic:cNvPicPr>
                  </pic:nvPicPr>
                  <pic:blipFill>
                    <a:blip r:embed="rId10"/>
                    <a:stretch>
                      <a:fillRect/>
                    </a:stretch>
                  </pic:blipFill>
                  <pic:spPr>
                    <a:xfrm>
                      <a:off x="0" y="0"/>
                      <a:ext cx="5570220" cy="510540"/>
                    </a:xfrm>
                    <a:prstGeom prst="rect">
                      <a:avLst/>
                    </a:prstGeom>
                    <a:noFill/>
                    <a:ln w="12700">
                      <a:noFill/>
                    </a:ln>
                  </pic:spPr>
                </pic:pic>
              </a:graphicData>
            </a:graphic>
          </wp:inline>
        </w:drawing>
      </w:r>
      <w:r/>
    </w:p>
    <w:p>
      <w:pPr>
        <w:ind w:firstLine="0"/>
        <w:spacing/>
        <w:jc w:val="center"/>
        <w:rPr>
          <w:sz w:val="18"/>
          <w:szCs w:val="18"/>
        </w:rPr>
      </w:pPr>
      <w:r>
        <w:rPr>
          <w:sz w:val="18"/>
          <w:szCs w:val="18"/>
        </w:rPr>
        <w:t xml:space="preserve">‘If you find the Lord of the tenth and the </w:t>
      </w:r>
      <w:r>
        <w:rPr>
          <w:rFonts w:ascii="Wingdings 2" w:hAnsi="Wingdings 2" w:eastAsia="Wingdings 2" w:cs="Wingdings 2"/>
          <w:sz w:val="18"/>
          <w:szCs w:val="18"/>
        </w:rPr>
        <w:t></w:t>
      </w:r>
      <w:r>
        <w:rPr>
          <w:sz w:val="18"/>
          <w:szCs w:val="18"/>
        </w:rPr>
        <w:t xml:space="preserve"> impedited in any angle, by the corporal * of any </w:t>
      </w:r>
      <w:r>
        <w:rPr>
          <w:i/>
          <w:iCs/>
          <w:sz w:val="18"/>
          <w:szCs w:val="18"/>
        </w:rPr>
        <w:t>Infortune</w:t>
      </w:r>
      <w:r>
        <w:rPr>
          <w:sz w:val="18"/>
          <w:szCs w:val="18"/>
        </w:rPr>
        <w:t>, it imports that neither the distressed King, or expulsed Governor, or removed Officer, shall return again to their former Dignity, Rule or Command.’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3"/>
      </w:r>
      <w:r>
        <w:rPr>
          <w:sz w:val="18"/>
          <w:szCs w:val="18"/>
        </w:rPr>
      </w:r>
    </w:p>
    <w:p>
      <w:r/>
    </w:p>
    <w:p>
      <w:r>
        <w:t>The fortunes of astrology changed significantly as a political and religious elite battered by the revelations to the public that they were not, in large part, actually necessary, introduced two new pieces of legislation designed to prevent dissent and legitimise their hold on power</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4"/>
      </w:r>
      <w:r>
        <w:t>. As Curry explains, astrology had become associated with the Parliamentarian’s and therefore the rebellious cause, and whether true or not, the ability of astrology to ‘influence and incite the people had been clearly demonstrated’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5"/>
      </w:r>
      <w:r>
        <w:t>.</w:t>
      </w:r>
    </w:p>
    <w:p>
      <w:r>
        <w:t>Evidence of the effects of this assumption can be seen in the work of Pfeffer who uses the career of Carlos de Sigüenza y Gongora (1645- 1700) to tell a story of political expediency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6"/>
      </w:r>
      <w:r>
        <w:t>. Throughout the paper, she refers to his shifting stance on the veracity and importance of astrology. Initially, he was appointed Professor of Astrology and Mathematics at Real y Pontificia Universidad as well as being the owner of an astrological bookshop. In this role he was required to teach astrology and provide prognostications and almanacs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7"/>
      </w:r>
      <w:r>
        <w:t>. As his career advanced, he moved further and further away from the predictive aspects of astrology, eventually attacking it on the basis of its being pagan superstition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8"/>
      </w:r>
      <w:r>
        <w:t xml:space="preserve">. However, this is not the straightforward change of an enlightened mind it appears to be. At times it seems to Pfeffer that his professional persona was heavily influenced and affected by the shifting sands of astronomical discoveries </w:t>
      </w:r>
      <w:r>
        <w:rPr>
          <w:i/>
          <w:iCs/>
        </w:rPr>
        <w:t>and</w:t>
      </w:r>
      <w:r>
        <w:t xml:space="preserve"> by an increasing elitism that resulted in specialised professionalism</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69"/>
      </w:r>
      <w:r>
        <w:t>. In this example, it is no wonder that Sigüenza distanced himself from a subject that was also capable of overthrowing an establishment of which he was a significant beneficiary by dint of his professional role.</w:t>
      </w:r>
    </w:p>
    <w:p>
      <w:r>
        <w:t>As Curry reminds readers the point of establishing astrology’s illegitimacy and associating it with undesirable factions was so that the ‘governing elite’ could ensure its own ‘stability and security’ either by imposing a regulatory framework through which it had to operate, or by de-legitimising it in the eyes of the people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0"/>
      </w:r>
      <w:r>
        <w:t>.</w:t>
      </w:r>
    </w:p>
    <w:p>
      <w:pPr>
        <w:pStyle w:val="para3"/>
      </w:pPr>
      <w:r>
        <w:t>Almanacs and books</w:t>
      </w:r>
    </w:p>
    <w:p>
      <w:r>
        <w:t xml:space="preserve">Almanacs, according to Bernard Capp, were ’[…] tables of the astronomical and astrological events of the coming year: the movements and conjunctions of the planets and stars in the zodiac and details of eclipse’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1"/>
      </w:r>
      <w:r>
        <w:t>. Additionally, they included other interesting news, snippets of information and non-astrological content intended to provide knowledge and entertainment</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2"/>
      </w:r>
      <w:r>
        <w:t>. Throughout the sixteenth, seventeenth and eighteenth centuries the publication of almanacs was primarily under the auspices of the Company of Stationers, who had a monopoly on their publication and were responsible for their distribution throughout the kingdom</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3"/>
      </w:r>
      <w:r>
        <w:t>.</w:t>
      </w:r>
    </w:p>
    <w:p>
      <w:r>
        <w:t>The Company of Stationers had been granted their charter in the sixteenth century by Philip and Mary, it was confirmed by Elizabeth I and later as a ‘liveried company of the City of London’. It was, according to Cyprian Blagden ‘the most effective single agency for the regulation of the press under the Tudors’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4"/>
      </w:r>
      <w:r>
        <w:t>. As Perkins goes on to explain this also made them the first form of copyright and also censorship</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5"/>
      </w:r>
      <w:r>
        <w:t>.</w:t>
      </w:r>
    </w:p>
    <w:p>
      <w:r>
        <w:t>Although there were several types of almanac, the majority were astrological in nature simply because they predominantly contained the astronomical calculations which would inform the astrologers’ work. Additionally, they sometimes included prognostications or predictions for the forthcoming year so that, according to Perkins, by the beginning of the seventeenth century they were synonymous with prediction and were so successful that by the mid century around 400,000 were being printed annually, with one family in every three believed to own one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6"/>
      </w:r>
      <w:r>
        <w:t>.</w:t>
      </w:r>
    </w:p>
    <w:p>
      <w:r>
        <w:t>As has already been discussed, the need to control the flow of information received by the general public was deemed to be of significant political importance. Therefore, limiting what could and could not be published in an almanac was believed, at the time, to be an effective way of reducing the spread of political and social unrest. For the ruling elite, prediction was deemed dangerous to the established order, this was well demonstrated throughout the Civil War as almanacs became heavily committed by their authors and owners to advancing the cause of one or other side, whilst at the same time sharing what were deemed to be radical ideas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7"/>
      </w:r>
      <w:r>
        <w:t>.</w:t>
      </w:r>
    </w:p>
    <w:p>
      <w:r>
        <w:t>It was In 1624 that one Richard Allestree (1617-1643) of Coventry published an almanac explaining the various ways in which the future could be foretold. His three categories: ‘supernaturall, naturall, and superstitious divination’ might be likened to Curry’s division of astrology into three types as it was his last category which Perkins believes is probably akin to judicial astrology. She reports that Allestree discounted all but natural divination by ‘which a wise man may foretell by probable conjecture’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8"/>
      </w:r>
      <w:r>
        <w:t>.</w:t>
      </w:r>
    </w:p>
    <w:p>
      <w:r>
        <w:t>In 1643, Parliament passed the "Ordinance for the Regulation of Printing," which reinstated the censorship and control of both printing and sale of books. All publications were once again subject to increasing scrutiny, but as David Como has discussed, this was primarily aimed at Royalist publications rather than Parliamentarian, at least initially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79"/>
      </w:r>
      <w:r>
        <w:t>. It was during this shift of stance when the censorship of publications and printing were in disarray that William Lilly was able to publish the first astrology textbook to be written in English in 1647. By 1650 there was, according to Jane Ridder-Patrick a significant increase in the number of astrological books being published in English, including translations of those which had previously only been available in Latin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0"/>
      </w:r>
      <w:r>
        <w:t>. This ready access to a body of literature the general public could consume is also evidenced by the fact that the Edinburgh University library catalogue shows that their purchase of astrology books increased through the century, reaching a peak in the 1670’s before declining to almost nothing by 1700</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1"/>
      </w:r>
      <w:r>
        <w:t xml:space="preserve"> as their curriculum changed.</w:t>
      </w:r>
    </w:p>
    <w:p>
      <w:r>
        <w:t>However, the return of censorship following the restoration also meant the monopoly on almanacs returned to the Company of Stationers and the Universities, and that all material contained with them had to be carefully vetted before publication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2"/>
      </w:r>
      <w:r>
        <w:t>. This is a very effective way of shifting what people know, as Pfeffer points out, ideas flow through the world by the exchange of such things as ‘texts, objects and institutions’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3"/>
      </w:r>
      <w:r>
        <w:t>, and it will never be possible to read what hasn’t been printed.</w:t>
      </w:r>
    </w:p>
    <w:p>
      <w:pPr>
        <w:pStyle w:val="para3"/>
      </w:pPr>
      <w:r>
        <w:t>Public and personal astrology</w:t>
      </w:r>
    </w:p>
    <w:p>
      <w:r>
        <w:t>As has already been discussed in the story of Sigüenza, there is one final part to the story of astrology’s apparent decline, that of contradiction as evidenced between the public polemic versus personal and private use. There are several examples to draw upon including notable revisionists such as John Flamsteed (1646-1719), who was the the first Astronomer Royal and Regis Professor of Astronomy at the brand new Royal Greenwich Observatory. He was  also the author of what was termed by Darrel Rutkin an ‘intensive critique of astrology’, although he immediately went on to construct a horoscope for the foundation of the Greenwich Observatory</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4"/>
      </w:r>
      <w:r>
        <w:t>.</w:t>
      </w:r>
    </w:p>
    <w:p>
      <w:r>
        <w:t xml:space="preserve">Robert Boyle (1627-91) was equally ambivalent when he criticised astrologers for being ‘enemies of Christianity’ but later commented in some unpublished notes that he could not deny ‘that whereby Coelestiall Bodys may act upon sublunary ones, otherwise then by their Light, or their heat’ </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5"/>
      </w:r>
      <w:r>
        <w:t>.</w:t>
      </w:r>
    </w:p>
    <w:p>
      <w:r>
        <w:t>Further evidence of contradiction and ambivalence can be found in the work of playwright John Dryden (1631-1700) who, according to Curry, mocked astrologers in print and yet used remarkably adept astrological knowledge in his work and had his own and his son’s charts cast by Elias Ashmole</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6"/>
      </w:r>
      <w:r>
        <w:t>. Indeed, some critics such as John Evelyn who had earlier indicted Lilly were to be found considering the role of comets as warnings from God</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7"/>
      </w:r>
      <w:r>
        <w:t xml:space="preserve">. </w:t>
      </w:r>
    </w:p>
    <w:p>
      <w:r>
        <w:t>As Curry goes on to explain, this public versus private persona was not uncommon amongst the restoration elite and, as he points out, even Charles II consulted Ashmole on occasion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8"/>
      </w:r>
      <w:r>
        <w:t>. Perhaps though, the most interesting example of the ambivalence toward astrology can be found in one notable incident. In 1672 Charles II attempted to extend religious toleration via the Declaration of Indulgence, this became a crisis for the newly established monarchy and Parliament and was one which the King took to Elias Ashmole for his opinion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89"/>
      </w:r>
      <w:r>
        <w:t>. Ashmole, in turn, consulted William Lilly who wrote back:</w:t>
      </w:r>
    </w:p>
    <w:p>
      <w:pPr>
        <w:pStyle w:val="para7"/>
      </w:pPr>
      <w:r>
        <w:t>‘The Caball of Presbitery begins I see early; its now in Yorks power to ingratiate himself forever, but what God hath decreed must stand – The Tayle of the Comet in 1664 begins, so Saturn in Aries. And the last comet of 167 – Cunctando restituet Rem – so now, Carolus, Cunctando may effect idem. – Moon next promiseth well – provided Moon ad conjunction of Jupiter at 2H P.M. that aspect bee not elapsed before his Majesty make his speech.’</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0"/>
      </w:r>
      <w:r/>
    </w:p>
    <w:p>
      <w:pPr>
        <w:ind w:firstLine="0"/>
      </w:pPr>
      <w:r>
        <w:t>Today, we might call these types of behaviour ‘virtue signalling’ which is defined by the Oxford English Dictionary as:</w:t>
      </w:r>
    </w:p>
    <w:p>
      <w:pPr>
        <w:pStyle w:val="para7"/>
      </w:pPr>
      <w:r>
        <w:t>‘The action or practice of expressing one's views or acting in a way thought to be motivated primarily by a wish to exhibit good character, social conscience, political convictions, etc., or to garner recognition and approval.’</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1"/>
      </w:r>
      <w:r/>
    </w:p>
    <w:p>
      <w:pPr>
        <w:pStyle w:val="para2"/>
      </w:pPr>
      <w:r>
        <w:t>Conclusion</w:t>
      </w:r>
    </w:p>
    <w:p>
      <w:r>
        <w:t xml:space="preserve">The essay has demonstrated that belief cannot be taken for granted when viewed through the lens of history. It is difficult to establish definitively, and can only be evidenced by the way people lived their lives. It has also shown that despite the different cosmologies that were advancing through the century, it takes time for new ideas to filter through to the population in general, despite the rise of mass printed media  and it is therefore possible that the astrological cosmologies of Ptolemy, Lilly and others were still prevalent,  in some quarters at least, up to the end of the century and beyond. </w:t>
      </w:r>
    </w:p>
    <w:p>
      <w:r>
        <w:t>If we accept Campion’s thesis that astrology is essentially the sum of all astral awareness, knowledge and interaction</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2"/>
      </w:r>
      <w:r>
        <w:t>, then the idea that astrological belief declined in the seventeenth century cannot be upheld, as the evidence demonstrates it simply changed form, specialised and disappeared into other disciplines or shifted in pursuit of political, social and cultural expediency. And, just because the publication of almanacs declined does not mean there was a general lack of interest in astrology, as it may simply have been due to  the Company of Stationers preventing the publication of ‘Predictions and Prognostications’</w:t>
      </w:r>
      <w:r>
        <w:rPr>
          <w:rStyle w:val="char1"/>
          <w:rFonts w:ascii="Times New Roman" w:hAnsi="Times New Roman" w:eastAsia="SimSun" w:cs="Times New Roman"/>
          <w:sz w:val="20"/>
          <w:szCs w:val="20"/>
          <w:lang w:eastAsia="zh-cn" w:bidi="ar-sa"/>
        </w:rPr>
      </w:r>
      <w:r>
        <w:rPr>
          <w:rStyle w:val="char1"/>
          <w:rFonts w:ascii="Times New Roman" w:hAnsi="Times New Roman" w:eastAsia="SimSun" w:cs="Times New Roman"/>
          <w:sz w:val="20"/>
          <w:szCs w:val="20"/>
          <w:lang w:eastAsia="zh-cn" w:bidi="ar-sa"/>
        </w:rPr>
        <w:footnoteReference w:id="93"/>
      </w:r>
      <w:r>
        <w:t>. However, whilst this is not the evidence of decline that has been suggested, it is important to remember that one cannot read what has not been published, this therefore became an important aspect of the control over the flow of information, which is all to easily overlooked.</w:t>
      </w:r>
    </w:p>
    <w:p>
      <w:r>
        <w:t>What has become clear throughout this essay then, is that regardless of a shift towards a scientific mindset and method, overt censorship by the authorities, self-censorship due to political and social expediency, or the seventeenth century of what we now term virtue-signalling, astrology was alive and well, and belief appears extensive across all cultural and social strata.</w:t>
      </w:r>
    </w:p>
    <w:p>
      <w:r>
        <w:t>After all, such attempts to derail, destroy, stigmatise and brand an ancient body of knowledge and wisdom as mere superstition only occur when it is deemed so dangerous to the stability and security of a small minority of the population. If astrology were indeed ‘mere superstition’, it had no efficacy, or the people didn’t value it, then it would have declined naturally without the need for anyone in authority to go to such lengths.</w:t>
      </w:r>
    </w:p>
    <w:p>
      <w:r>
        <w:t>Therefore, this essay contests that belief in astrology did not decline, but that there was a concerted effort to make it appear as if it did so.</w:t>
      </w:r>
    </w:p>
    <w:p>
      <w:r/>
    </w:p>
    <w:p>
      <w:pPr>
        <w:pStyle w:val="para2"/>
      </w:pPr>
      <w:r>
        <w:br w:type="page"/>
      </w:r>
      <w:r>
        <w:t>Bibliography</w:t>
      </w:r>
    </w:p>
    <w:p>
      <w:pPr>
        <w:pStyle w:val="para3"/>
      </w:pPr>
      <w:r>
        <w:t>Primary Sources</w:t>
      </w:r>
    </w:p>
    <w:p>
      <w:pPr>
        <w:pStyle w:val="para9"/>
      </w:pPr>
      <w:r>
        <w:t xml:space="preserve">Oxford English Dictionary, </w:t>
      </w:r>
      <w:r>
        <w:rPr>
          <w:i/>
          <w:iCs/>
        </w:rPr>
        <w:t>Belief</w:t>
      </w:r>
      <w:r>
        <w:t>, 7</w:t>
      </w:r>
      <w:r>
        <w:rPr>
          <w:vertAlign w:val="superscript"/>
        </w:rPr>
        <w:t>th</w:t>
      </w:r>
      <w:r>
        <w:t xml:space="preserve"> ed. (2012, Oxford, Oxford University Press)</w:t>
      </w:r>
    </w:p>
    <w:p>
      <w:pPr>
        <w:pStyle w:val="para9"/>
      </w:pPr>
      <w:r>
        <w:t>Ptolemy, Claudius,</w:t>
      </w:r>
      <w:r>
        <w:rPr>
          <w:i/>
          <w:iCs/>
        </w:rPr>
        <w:t xml:space="preserve"> Tetrabiblos</w:t>
      </w:r>
      <w:r>
        <w:t>, trans. by F. E. Robbins. (Loeb Classical Library 435. Cambridge, MA: Harvard University Press, 1940)  Book 1, I.1 &lt;DOI:10.4159/DLCL.ptolemy-tetrabiblos.1940&gt;.</w:t>
      </w:r>
    </w:p>
    <w:p>
      <w:pPr>
        <w:pStyle w:val="para9"/>
      </w:pPr>
      <w:r>
        <w:t xml:space="preserve">Early Modern Letters Online, Bodleian Library, University of Oxford, </w:t>
      </w:r>
      <w:r>
        <w:rPr>
          <w:i/>
          <w:iCs/>
        </w:rPr>
        <w:t>12 Oct 1673: Ashmole, Elias, 1617-1692 to Lilly, William, 1602-1681</w:t>
      </w:r>
      <w:r>
        <w:t>, Source of Data: Cultures of Knowledge and Helen Watt, based on C. H. Josten edition (Oxford University Press, 1967), 17 May 2017, &lt;http://emlo.bodleian.ox.ac.uk/w/962843&gt;.</w:t>
      </w:r>
    </w:p>
    <w:p>
      <w:pPr>
        <w:pStyle w:val="para9"/>
      </w:pPr>
      <w:r>
        <w:t xml:space="preserve">Early Modern Letters Online, Bodleian Library, University of Oxford, </w:t>
      </w:r>
      <w:r>
        <w:rPr>
          <w:i/>
          <w:iCs/>
        </w:rPr>
        <w:t>12 Oct 1673: Lilly, William, 1602-1681 to Ashmole, Elias, 1617-1692</w:t>
      </w:r>
      <w:r>
        <w:t>, Source of Data: Cultures of Knowledge and Helen Watt, based on C. H. Josten edition (Oxford University Press, 1967), 17 May 2017, &lt;http://emlo.bodleian.ox.ac.uk/w/963298&gt;.</w:t>
      </w:r>
    </w:p>
    <w:p>
      <w:pPr>
        <w:pStyle w:val="para9"/>
      </w:pPr>
      <w:r>
        <w:t>Lilly, William,</w:t>
      </w:r>
      <w:r>
        <w:rPr>
          <w:i/>
          <w:iCs/>
        </w:rPr>
        <w:t xml:space="preserve"> Christian Astrology</w:t>
      </w:r>
      <w:r>
        <w:t>, (London, 1647, facsimile edition, Abingdon, MD: Astrology Classics. 2004). p. XV.</w:t>
      </w:r>
    </w:p>
    <w:p>
      <w:pPr>
        <w:pStyle w:val="para9"/>
      </w:pPr>
      <w:r>
        <w:t xml:space="preserve">Early Modern Letters Online, Bodleian Library, University of Oxford, </w:t>
      </w:r>
      <w:r>
        <w:rPr>
          <w:i/>
          <w:iCs/>
        </w:rPr>
        <w:t>23 Oct 1673: Lilly, William, 1602-1681 to Ashmole, Elias, 1617-1692 (Mr Ashmole's house, Shire Lane, London, England)</w:t>
      </w:r>
      <w:r>
        <w:t>, Cultures of Knowledge and Helen Watt, based on C. H. Josten edition (Oxford University Press, 1967), 17 May 2017.</w:t>
      </w:r>
    </w:p>
    <w:p>
      <w:pPr>
        <w:pStyle w:val="para9"/>
      </w:pPr>
      <w:r>
        <w:t xml:space="preserve">Oxford English Dictionary, </w:t>
      </w:r>
      <w:r>
        <w:rPr>
          <w:i/>
          <w:iCs/>
        </w:rPr>
        <w:t>Virtue Signalling</w:t>
      </w:r>
      <w:r>
        <w:t>, &lt;https://www.oed.com/dictionary/virtue-signalling_n&gt;</w:t>
      </w:r>
    </w:p>
    <w:p>
      <w:pPr>
        <w:pStyle w:val="para3"/>
      </w:pPr>
      <w:r>
        <w:t>Secondary Sources</w:t>
      </w:r>
    </w:p>
    <w:p>
      <w:pPr>
        <w:pStyle w:val="para9"/>
      </w:pPr>
      <w:r>
        <w:t xml:space="preserve">Cyprian Blagden, ‘The Stationers Company: A History, 1405–1959’ (London, 1960, George Allen and Unwin Ltd), 206–28 cited in Maureen Perkins, </w:t>
      </w:r>
      <w:r>
        <w:rPr>
          <w:i/>
          <w:iCs/>
        </w:rPr>
        <w:t>Visions of the Future: Almanacs, Time, and Cultural Change 1775-1870</w:t>
      </w:r>
      <w:r>
        <w:t xml:space="preserve"> (1996, Oxford, Oxford Academic, 3 Oct. 2011).</w:t>
      </w:r>
    </w:p>
    <w:p>
      <w:pPr>
        <w:pStyle w:val="para9"/>
      </w:pPr>
      <w:r>
        <w:t xml:space="preserve">Campion, Nicholas, </w:t>
      </w:r>
      <w:r>
        <w:rPr>
          <w:i/>
          <w:iCs/>
        </w:rPr>
        <w:t>A History of Western Astrology Volume 1</w:t>
      </w:r>
      <w:r>
        <w:t>, (2008, London and New York, Bloomsbury Academic).</w:t>
      </w:r>
    </w:p>
    <w:p>
      <w:pPr>
        <w:pStyle w:val="para9"/>
      </w:pPr>
      <w:r>
        <w:t xml:space="preserve">Campion, Nicholas, </w:t>
      </w:r>
      <w:r>
        <w:rPr>
          <w:i/>
          <w:iCs/>
        </w:rPr>
        <w:t>A History of Western Astrology  Volume II</w:t>
      </w:r>
      <w:r>
        <w:t>, (2013, London and New York, Bloomsbury Academic).</w:t>
      </w:r>
    </w:p>
    <w:p>
      <w:pPr>
        <w:pStyle w:val="para9"/>
      </w:pPr>
      <w:r>
        <w:t xml:space="preserve">Campion, Nicholas, </w:t>
      </w:r>
      <w:r>
        <w:rPr>
          <w:i/>
          <w:iCs/>
        </w:rPr>
        <w:t>Astrology and Cosmology in the World’s Religions</w:t>
      </w:r>
      <w:r>
        <w:t>, (2012, New York and London, New York University Press).</w:t>
      </w:r>
    </w:p>
    <w:p>
      <w:pPr>
        <w:pStyle w:val="para9"/>
      </w:pPr>
      <w:r>
        <w:t xml:space="preserve">Capp, Bernard, ‘Astrology and the Popular Press: English Almanacs 1500–1800’ (London, 1979), p. 25. cited in Hill Curth, Louise, </w:t>
      </w:r>
      <w:r>
        <w:rPr>
          <w:i/>
          <w:iCs/>
        </w:rPr>
        <w:t>English almanacs, astrology and popular medicine, 1550–1700</w:t>
      </w:r>
      <w:r>
        <w:t>,  (2007, Manchester and New York, Manchester University Press).</w:t>
      </w:r>
    </w:p>
    <w:p>
      <w:pPr>
        <w:pStyle w:val="para9"/>
      </w:pPr>
      <w:r>
        <w:t xml:space="preserve">Como, David. R., ‘Censorship, and Ideological Escalation in the English Civil War’. </w:t>
      </w:r>
      <w:r>
        <w:rPr>
          <w:i/>
          <w:iCs/>
        </w:rPr>
        <w:t>The Journal of British Studie</w:t>
      </w:r>
      <w:r>
        <w:t>s, 51, 4, (2012), 820–857.</w:t>
      </w:r>
    </w:p>
    <w:p>
      <w:pPr>
        <w:pStyle w:val="para9"/>
      </w:pPr>
      <w:r>
        <w:t xml:space="preserve">Chapman, Alison, A. ‘Marking Time: Astrology, Almanacs, and English Protestantism’, </w:t>
      </w:r>
      <w:r>
        <w:rPr>
          <w:i/>
          <w:iCs/>
        </w:rPr>
        <w:t>Renaissance Quarterly</w:t>
      </w:r>
      <w:r>
        <w:t>, 60, 4 (2007), pp. 1257-1290.</w:t>
      </w:r>
    </w:p>
    <w:p>
      <w:pPr>
        <w:pStyle w:val="para9"/>
      </w:pPr>
      <w:r>
        <w:t xml:space="preserve">Curry, Patrick, </w:t>
      </w:r>
      <w:r>
        <w:rPr>
          <w:i/>
          <w:iCs/>
        </w:rPr>
        <w:t>Prophecy and Power: Astrology in Early Modern England</w:t>
      </w:r>
      <w:r>
        <w:t>, (2024, Ceredigion, Sophia Centre Press).</w:t>
      </w:r>
    </w:p>
    <w:p>
      <w:pPr>
        <w:pStyle w:val="para9"/>
      </w:pPr>
      <w:r>
        <w:t xml:space="preserve">Hill Curth, Louise, </w:t>
      </w:r>
      <w:r>
        <w:rPr>
          <w:i/>
          <w:iCs/>
        </w:rPr>
        <w:t>English almanacs, astrology and popular medicine, 1550–1700,</w:t>
      </w:r>
      <w:r>
        <w:t xml:space="preserve">  ((2007, Manchester and New York, Manchester University Press).</w:t>
      </w:r>
    </w:p>
    <w:p>
      <w:pPr>
        <w:pStyle w:val="para9"/>
      </w:pPr>
      <w:r>
        <w:t xml:space="preserve">Hill Curth, Louise, ‘The Commercialisation of Medicine in the Popular Press: English Almanacs 1640–1700’, </w:t>
      </w:r>
      <w:r>
        <w:rPr>
          <w:i/>
          <w:iCs/>
        </w:rPr>
        <w:t>Journal of the History of Medicine and Allied Sciences</w:t>
      </w:r>
      <w:r>
        <w:t>, 60, 3, (2005), 255-82.</w:t>
      </w:r>
    </w:p>
    <w:p>
      <w:pPr>
        <w:pStyle w:val="para9"/>
      </w:pPr>
      <w:r>
        <w:t xml:space="preserve">Kassell, Lauren, ‘Stars, spirits, signs: towards a history of astrology 1100 - 1800’, </w:t>
      </w:r>
      <w:r>
        <w:rPr>
          <w:i/>
          <w:iCs/>
        </w:rPr>
        <w:t>Studies in History and Philosophy and Biomedical Sciences</w:t>
      </w:r>
      <w:r>
        <w:t>, 41, (2010), 67-9.</w:t>
      </w:r>
    </w:p>
    <w:p>
      <w:pPr>
        <w:pStyle w:val="para9"/>
      </w:pPr>
      <w:r>
        <w:t xml:space="preserve">Pfeffer, Michelle. ‘Reassessing the Marginalization of Astrology in the Early Modern World’, </w:t>
      </w:r>
      <w:r>
        <w:rPr>
          <w:i/>
          <w:iCs/>
        </w:rPr>
        <w:t>The Historical Journal</w:t>
      </w:r>
      <w:r>
        <w:t>, 66, (2023), 1152-76, Cambridge University Press.</w:t>
      </w:r>
    </w:p>
    <w:p>
      <w:pPr>
        <w:pStyle w:val="para9"/>
      </w:pPr>
      <w:r>
        <w:t xml:space="preserve">Perkins, Maureen. </w:t>
      </w:r>
      <w:r>
        <w:rPr>
          <w:i/>
          <w:iCs/>
        </w:rPr>
        <w:t>Visions of the Future: Almanacs, Time, and Cultural Change 1775-1870</w:t>
      </w:r>
      <w:r>
        <w:t xml:space="preserve"> (Oxford, 1996; online edn, Oxford Academic, 3 Oct. 2011).</w:t>
      </w:r>
    </w:p>
    <w:p>
      <w:pPr>
        <w:pStyle w:val="para9"/>
      </w:pPr>
      <w:r>
        <w:t xml:space="preserve">Ridder-Patrick, Jane, ‘The Marginalization of Astrology in Seventeenth-Century Scotland’. </w:t>
      </w:r>
      <w:r>
        <w:rPr>
          <w:i/>
          <w:iCs/>
        </w:rPr>
        <w:t>Early Science and Medicine</w:t>
      </w:r>
      <w:r>
        <w:t>, 2017, 22(5/6), 464–486.</w:t>
      </w:r>
    </w:p>
    <w:p>
      <w:pPr>
        <w:pStyle w:val="para9"/>
      </w:pPr>
      <w:r>
        <w:t xml:space="preserve">Rutkin, Darrel H. ‘How to Accurately Account for Astrology’s Marginalization in the History of Science and Culture: The Central Importance of an Interpretive Framework’, </w:t>
      </w:r>
      <w:r>
        <w:rPr>
          <w:i/>
          <w:iCs/>
        </w:rPr>
        <w:t>Early Science and Medicine</w:t>
      </w:r>
      <w:r>
        <w:t>, 23, 3,  (2018), 217–43.</w:t>
      </w:r>
    </w:p>
    <w:p>
      <w:pPr>
        <w:pStyle w:val="para9"/>
      </w:pPr>
      <w:r>
        <w:t xml:space="preserve">Sullivan-Bissett, Ema, </w:t>
      </w:r>
      <w:r>
        <w:rPr>
          <w:sz w:val="20"/>
          <w:szCs w:val="20"/>
        </w:rPr>
        <w:t xml:space="preserve">‘Introduction In: Belief, Imagination, and Delusion’ in </w:t>
      </w:r>
      <w:r>
        <w:rPr>
          <w:i/>
          <w:iCs/>
          <w:sz w:val="20"/>
          <w:szCs w:val="20"/>
        </w:rPr>
        <w:t>Belief, imagination, and delusion</w:t>
      </w:r>
      <w:r>
        <w:rPr>
          <w:sz w:val="20"/>
          <w:szCs w:val="20"/>
        </w:rPr>
        <w:t xml:space="preserve">, Ed. by Ema Sullivan-Bissett (Oxford, 2024, Oxford University Press) </w:t>
      </w:r>
      <w:r>
        <w:t>.</w:t>
      </w:r>
    </w:p>
    <w:p>
      <w:pPr>
        <w:pStyle w:val="para9"/>
      </w:pPr>
      <w:r>
        <w:t xml:space="preserve">Royal Museums Greenwich, </w:t>
      </w:r>
      <w:r>
        <w:rPr>
          <w:i/>
          <w:iCs/>
        </w:rPr>
        <w:t>John Dee</w:t>
      </w:r>
      <w:r>
        <w:t>, &lt;https://www.rmg.co.uk/stories/topics/john-dee&gt;.</w:t>
      </w:r>
    </w:p>
    <w:p>
      <w:pPr>
        <w:ind w:firstLine="0"/>
      </w:pPr>
      <w:r/>
    </w:p>
    <w:p>
      <w:r/>
    </w:p>
    <w:sectPr>
      <w:footnotePr>
        <w:pos w:val="pageBottom"/>
        <w:numFmt w:val="decimal"/>
        <w:numStart w:val="1"/>
        <w:numRestart w:val="continuous"/>
      </w:footnotePr>
      <w:endnotePr>
        <w:pos w:val="docEnd"/>
        <w:numFmt w:val="lowerRoman"/>
        <w:numStart w:val="1"/>
        <w:numRestart w:val="continuous"/>
      </w:endnotePr>
      <w:headerReference w:type="default" r:id="rId11"/>
      <w:type w:val="continuous"/>
      <w:pgSz w:h="16839" w:w="11907"/>
      <w:pgMar w:left="1134" w:top="1134" w:right="1134" w:bottom="1134" w:header="567" w:footer="0"/>
      <w:paperSrc w:first="0" w:other="0" a="0" b="0"/>
      <w:pgNumType w:fmt="decimal"/>
      <w:tmGutter w:val="1"/>
      <w:mirrorMargins w:val="0"/>
      <w:tmSection w:h="-1">
        <w:tmHeader w:id="0" w:h="0" edge="567" text="0">
          <w:shd w:val="none"/>
        </w:tmHeader>
      </w:tmSection>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Cambria">
    <w:panose1 w:val="02040503050406030204"/>
    <w:charset w:val="00"/>
    <w:family w:val="roman"/>
    <w:pitch w:val="default"/>
  </w:font>
  <w:font w:name="Georgia">
    <w:panose1 w:val="02040502050405020303"/>
    <w:charset w:val="00"/>
    <w:family w:val="roman"/>
    <w:pitch w:val="default"/>
  </w:font>
  <w:font w:name="Tahoma">
    <w:panose1 w:val="020B0604030504040204"/>
    <w:charset w:val="00"/>
    <w:family w:val="swiss"/>
    <w:pitch w:val="default"/>
  </w:font>
  <w:font w:name="Trebuchet MS">
    <w:panose1 w:val="020B0603020202020204"/>
    <w:charset w:val="00"/>
    <w:family w:val="swiss"/>
    <w:pitch w:val="default"/>
  </w:font>
  <w:font w:name="Wingdings 2">
    <w:panose1 w:val="05020102010507070707"/>
    <w:charset w:val="02"/>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7">
    <w:p>
      <w:pPr>
        <w:pStyle w:val="para5"/>
      </w:pPr>
      <w:r>
        <w:rPr>
          <w:rStyle w:val="char1"/>
        </w:rPr>
      </w:r>
      <w:r>
        <w:rPr>
          <w:rStyle w:val="char1"/>
        </w:rPr>
        <w:footnoteRef/>
      </w:r>
      <w:r>
        <w:t xml:space="preserve"> Lauren Kassell, ‘Stars, spirits, signs: towards a history of astrology 1100 - 1800’, </w:t>
      </w:r>
      <w:r>
        <w:rPr>
          <w:i/>
          <w:iCs/>
        </w:rPr>
        <w:t>Studies in History and Philosophy and Biomedical Sciences Part C</w:t>
      </w:r>
      <w:r>
        <w:t>, 41, (2010), 67-9, (p. 67), &lt;DOI: 10.1016/j.shpc.2010.04.001&gt;.</w:t>
      </w:r>
    </w:p>
  </w:footnote>
  <w:footnote w:id="8">
    <w:p>
      <w:pPr>
        <w:pStyle w:val="para5"/>
      </w:pPr>
      <w:r>
        <w:rPr>
          <w:rStyle w:val="char1"/>
        </w:rPr>
      </w:r>
      <w:r>
        <w:rPr>
          <w:rStyle w:val="char1"/>
        </w:rPr>
        <w:footnoteRef/>
      </w:r>
      <w:r>
        <w:t xml:space="preserve"> Louise Hill Curth, </w:t>
      </w:r>
      <w:r>
        <w:rPr>
          <w:i/>
          <w:iCs/>
        </w:rPr>
        <w:t>English almanacs, astrology and popular medicine, 1550–1700</w:t>
      </w:r>
      <w:r>
        <w:t>,  (2007, Manchester and New York, Manchester University Press) p. 108.</w:t>
      </w:r>
    </w:p>
  </w:footnote>
  <w:footnote w:id="9">
    <w:p>
      <w:pPr>
        <w:pStyle w:val="para5"/>
      </w:pPr>
      <w:r>
        <w:rPr>
          <w:rStyle w:val="char1"/>
        </w:rPr>
      </w:r>
      <w:r>
        <w:rPr>
          <w:rStyle w:val="char1"/>
        </w:rPr>
        <w:footnoteRef/>
      </w:r>
      <w:r>
        <w:t xml:space="preserve"> Michelle Pfeffer, ‘Reassessing the Marginalization of Astrology in the Early Modern World’, </w:t>
      </w:r>
      <w:r>
        <w:rPr>
          <w:i/>
          <w:iCs/>
        </w:rPr>
        <w:t>The Historical Journal</w:t>
      </w:r>
      <w:r>
        <w:t>,  (, 66,  2023), 1152-76, (p. 1167-8),  &lt;DOI: 10.1017/S0018246X23000328&gt;.</w:t>
      </w:r>
    </w:p>
  </w:footnote>
  <w:footnote w:id="10">
    <w:p>
      <w:pPr>
        <w:pStyle w:val="para5"/>
      </w:pPr>
      <w:r>
        <w:rPr>
          <w:rStyle w:val="char1"/>
        </w:rPr>
      </w:r>
      <w:r>
        <w:rPr>
          <w:rStyle w:val="char1"/>
        </w:rPr>
        <w:footnoteRef/>
      </w:r>
      <w:r>
        <w:t xml:space="preserve"> Maureen Perkins, </w:t>
      </w:r>
      <w:r>
        <w:rPr>
          <w:i/>
          <w:iCs/>
        </w:rPr>
        <w:t>Visions of the Future: Almanacs, Time, and Cultural Change 1775-1870</w:t>
      </w:r>
      <w:r>
        <w:t xml:space="preserve"> (1996, Oxford, Oxford Academic, 3 Oct. 2011), p. 21. </w:t>
      </w:r>
    </w:p>
  </w:footnote>
  <w:footnote w:id="11">
    <w:p>
      <w:pPr>
        <w:pStyle w:val="para5"/>
      </w:pPr>
      <w:r>
        <w:rPr>
          <w:rStyle w:val="char1"/>
        </w:rPr>
      </w:r>
      <w:r>
        <w:rPr>
          <w:rStyle w:val="char1"/>
        </w:rPr>
        <w:footnoteRef/>
      </w:r>
      <w:r>
        <w:t xml:space="preserve"> Nicholas Campion, </w:t>
      </w:r>
      <w:r>
        <w:rPr>
          <w:i/>
          <w:iCs/>
        </w:rPr>
        <w:t>A History of Western Astrology Volume 1,</w:t>
      </w:r>
      <w:r>
        <w:t xml:space="preserve"> (2013, London and New York, Bloomsbury Academic) p. 1.</w:t>
      </w:r>
    </w:p>
  </w:footnote>
  <w:footnote w:id="12">
    <w:p>
      <w:pPr>
        <w:pStyle w:val="para5"/>
      </w:pPr>
      <w:r>
        <w:rPr>
          <w:rStyle w:val="char1"/>
        </w:rPr>
      </w:r>
      <w:r>
        <w:rPr>
          <w:rStyle w:val="char1"/>
        </w:rPr>
        <w:footnoteRef/>
      </w:r>
      <w:r>
        <w:t xml:space="preserve"> </w:t>
      </w:r>
      <w:r>
        <w:rPr>
          <w:i/>
          <w:iCs/>
        </w:rPr>
        <w:t>Belief</w:t>
      </w:r>
      <w:r>
        <w:t>, Paperback Oxford English Dictionary, 7</w:t>
      </w:r>
      <w:r>
        <w:rPr>
          <w:vertAlign w:val="superscript"/>
        </w:rPr>
        <w:t>th</w:t>
      </w:r>
      <w:r>
        <w:t xml:space="preserve"> edn. (2012, Oxford, Oxford University Press), p. 59.</w:t>
      </w:r>
    </w:p>
  </w:footnote>
  <w:footnote w:id="13">
    <w:p>
      <w:pPr>
        <w:pStyle w:val="para5"/>
      </w:pPr>
      <w:r>
        <w:rPr>
          <w:rStyle w:val="char1"/>
        </w:rPr>
      </w:r>
      <w:r>
        <w:rPr>
          <w:rStyle w:val="char1"/>
        </w:rPr>
        <w:footnoteRef/>
      </w:r>
      <w:r>
        <w:t xml:space="preserve"> Ema Sullivan-Bissett, ‘Introduction In: Belief, Imagination, and Delusion’ in </w:t>
      </w:r>
      <w:r>
        <w:rPr>
          <w:i/>
          <w:iCs/>
        </w:rPr>
        <w:t>Belief, imagination, and delusion</w:t>
      </w:r>
      <w:r/>
    </w:p>
    <w:p>
      <w:pPr>
        <w:pStyle w:val="para5"/>
      </w:pPr>
      <w:r>
        <w:t xml:space="preserve">Ed. by Ema Sullivan-Bissett (Oxford, 2024, Oxford University Press) p. 1. </w:t>
      </w:r>
    </w:p>
  </w:footnote>
  <w:footnote w:id="14">
    <w:p>
      <w:pPr>
        <w:pStyle w:val="para5"/>
      </w:pPr>
      <w:r>
        <w:rPr>
          <w:rStyle w:val="char1"/>
        </w:rPr>
      </w:r>
      <w:r>
        <w:rPr>
          <w:rStyle w:val="char1"/>
        </w:rPr>
        <w:footnoteRef/>
      </w:r>
      <w:r>
        <w:t xml:space="preserve"> Alison A. Chapman, ‘Marking Time: Astrology, Almanacs, and English Protestantism’, </w:t>
      </w:r>
      <w:r>
        <w:rPr>
          <w:i/>
          <w:iCs/>
        </w:rPr>
        <w:t>Renaissance Quarterly</w:t>
      </w:r>
      <w:r>
        <w:t>, 60, 4 (Winter 2007), 1257-1290, (p. 1258). &lt;DOI:10.1353/ren.2007.0466&gt;.</w:t>
      </w:r>
    </w:p>
  </w:footnote>
  <w:footnote w:id="15">
    <w:p>
      <w:pPr>
        <w:pStyle w:val="para5"/>
      </w:pPr>
      <w:r>
        <w:rPr>
          <w:rStyle w:val="char1"/>
        </w:rPr>
      </w:r>
      <w:r>
        <w:rPr>
          <w:rStyle w:val="char1"/>
        </w:rPr>
        <w:footnoteRef/>
      </w:r>
      <w:r>
        <w:t xml:space="preserve"> Early Modern Letters Online, Bodleian Library, University of Oxford, </w:t>
      </w:r>
      <w:r>
        <w:rPr>
          <w:i/>
          <w:iCs/>
        </w:rPr>
        <w:t>12 Oct 1673: Ashmole, Elias, 1617-1692 to Lilly, William, 1602-1681</w:t>
      </w:r>
      <w:r>
        <w:t>, Source of data: Cultures of Knowledge and Helen Watt, based on C. H. Josten edition (Oxford University Press, 1967), 17 May 2017, &lt;http://emlo.bodleian.ox.ac.uk/w/962843&gt;, [accessed 27</w:t>
      </w:r>
      <w:r>
        <w:rPr>
          <w:vertAlign w:val="superscript"/>
        </w:rPr>
        <w:t>th</w:t>
      </w:r>
      <w:r>
        <w:t xml:space="preserve"> December 2024].</w:t>
      </w:r>
    </w:p>
  </w:footnote>
  <w:footnote w:id="16">
    <w:p>
      <w:pPr>
        <w:pStyle w:val="para5"/>
      </w:pPr>
      <w:r>
        <w:rPr>
          <w:rStyle w:val="char1"/>
        </w:rPr>
      </w:r>
      <w:r>
        <w:rPr>
          <w:rStyle w:val="char1"/>
        </w:rPr>
        <w:footnoteRef/>
      </w:r>
      <w:r>
        <w:t xml:space="preserve"> Early Modern Letters Online, Bodleian Library, University of Oxford, </w:t>
      </w:r>
      <w:r>
        <w:rPr>
          <w:i/>
          <w:iCs/>
        </w:rPr>
        <w:t>12 Oct 1673: Lilly, William, 1602-1681 to Ashmole, Elias, 1617-1692</w:t>
      </w:r>
      <w:r>
        <w:t>, Source of data: Cultures of Knowledge and Helen Watt, based on C. H. Josten edition (Oxford University Press, 1967), 17 May 2017, &lt;http://emlo.bodleian.ox.ac.uk/w/963298&gt;, [accessed 27</w:t>
      </w:r>
      <w:r>
        <w:rPr>
          <w:vertAlign w:val="superscript"/>
        </w:rPr>
        <w:t>th</w:t>
      </w:r>
      <w:r>
        <w:t xml:space="preserve"> December 2024].</w:t>
      </w:r>
    </w:p>
  </w:footnote>
  <w:footnote w:id="17">
    <w:p>
      <w:pPr>
        <w:pStyle w:val="para5"/>
      </w:pPr>
      <w:r>
        <w:rPr>
          <w:rStyle w:val="char1"/>
        </w:rPr>
      </w:r>
      <w:r>
        <w:rPr>
          <w:rStyle w:val="char1"/>
        </w:rPr>
        <w:footnoteRef/>
      </w:r>
      <w:r>
        <w:t xml:space="preserve"> Nicholas Campion, </w:t>
      </w:r>
      <w:r>
        <w:rPr>
          <w:i/>
          <w:iCs/>
        </w:rPr>
        <w:t>Astrology and Cosmology in the World’s Religions,</w:t>
      </w:r>
      <w:r>
        <w:t xml:space="preserve"> (2012, New York and London, New York University Press) p. 188.</w:t>
      </w:r>
    </w:p>
  </w:footnote>
  <w:footnote w:id="18">
    <w:p>
      <w:pPr>
        <w:pStyle w:val="para5"/>
      </w:pPr>
      <w:r>
        <w:rPr>
          <w:rStyle w:val="char1"/>
        </w:rPr>
      </w:r>
      <w:r>
        <w:rPr>
          <w:rStyle w:val="char1"/>
        </w:rPr>
        <w:footnoteRef/>
      </w:r>
      <w:r>
        <w:t xml:space="preserve"> Patrick Curry, </w:t>
      </w:r>
      <w:r>
        <w:rPr>
          <w:i/>
          <w:iCs/>
        </w:rPr>
        <w:t>Prophecy and Power: Astrology in Early Modern England</w:t>
      </w:r>
      <w:r>
        <w:t>, (2024, Ceredigion, Sophia Centre Press), p. 62</w:t>
      </w:r>
    </w:p>
  </w:footnote>
  <w:footnote w:id="19">
    <w:p>
      <w:pPr>
        <w:pStyle w:val="para5"/>
      </w:pPr>
      <w:r>
        <w:rPr>
          <w:rStyle w:val="char1"/>
        </w:rPr>
      </w:r>
      <w:r>
        <w:rPr>
          <w:rStyle w:val="char1"/>
        </w:rPr>
        <w:footnoteRef/>
      </w:r>
      <w:r>
        <w:t xml:space="preserve"> Nicholas Campion, </w:t>
      </w:r>
      <w:r>
        <w:rPr>
          <w:i/>
          <w:iCs/>
        </w:rPr>
        <w:t>A History of Western Astrology Volume II,</w:t>
      </w:r>
      <w:r>
        <w:t xml:space="preserve"> (London and New York, 2013, Bloomsbury Academic), p. 106.</w:t>
      </w:r>
    </w:p>
  </w:footnote>
  <w:footnote w:id="20">
    <w:p>
      <w:pPr>
        <w:pStyle w:val="para5"/>
      </w:pPr>
      <w:r>
        <w:rPr>
          <w:rStyle w:val="char1"/>
        </w:rPr>
      </w:r>
      <w:r>
        <w:rPr>
          <w:rStyle w:val="char1"/>
        </w:rPr>
        <w:footnoteRef/>
      </w:r>
      <w:r>
        <w:t xml:space="preserve"> Campion, </w:t>
      </w:r>
      <w:r>
        <w:rPr>
          <w:i/>
          <w:iCs/>
        </w:rPr>
        <w:t>Western Astrology, Vol. II</w:t>
      </w:r>
      <w:r>
        <w:t>, p. 133.</w:t>
      </w:r>
    </w:p>
  </w:footnote>
  <w:footnote w:id="21">
    <w:p>
      <w:pPr>
        <w:pStyle w:val="para5"/>
      </w:pPr>
      <w:r>
        <w:rPr>
          <w:rStyle w:val="char1"/>
        </w:rPr>
      </w:r>
      <w:r>
        <w:rPr>
          <w:rStyle w:val="char1"/>
        </w:rPr>
        <w:footnoteRef/>
      </w:r>
      <w:r>
        <w:t xml:space="preserve"> Curry, </w:t>
      </w:r>
      <w:r>
        <w:rPr>
          <w:i/>
          <w:iCs/>
        </w:rPr>
        <w:t>Prophecy and Power,</w:t>
      </w:r>
      <w:r>
        <w:t xml:space="preserve"> p. 32.</w:t>
      </w:r>
    </w:p>
  </w:footnote>
  <w:footnote w:id="22">
    <w:p>
      <w:pPr>
        <w:pStyle w:val="para5"/>
      </w:pPr>
      <w:r>
        <w:rPr>
          <w:rStyle w:val="char1"/>
        </w:rPr>
      </w:r>
      <w:r>
        <w:rPr>
          <w:rStyle w:val="char1"/>
        </w:rPr>
        <w:footnoteRef/>
      </w:r>
      <w:r>
        <w:t xml:space="preserve"> Pfeffer, ‘</w:t>
      </w:r>
      <w:r>
        <w:t>Marginalization of Astrology’ p. 1157.</w:t>
      </w:r>
    </w:p>
  </w:footnote>
  <w:footnote w:id="23">
    <w:p>
      <w:pPr>
        <w:pStyle w:val="para5"/>
      </w:pPr>
      <w:r>
        <w:rPr>
          <w:rStyle w:val="char1"/>
        </w:rPr>
      </w:r>
      <w:r>
        <w:rPr>
          <w:rStyle w:val="char1"/>
        </w:rPr>
        <w:footnoteRef/>
      </w:r>
      <w:r>
        <w:t xml:space="preserve"> Curry, </w:t>
      </w:r>
      <w:r>
        <w:rPr>
          <w:i/>
          <w:iCs/>
        </w:rPr>
        <w:t xml:space="preserve">Prophecy and Power, </w:t>
      </w:r>
      <w:r>
        <w:t>p. 61-2.</w:t>
      </w:r>
    </w:p>
  </w:footnote>
  <w:footnote w:id="24">
    <w:p>
      <w:pPr>
        <w:pStyle w:val="para5"/>
      </w:pPr>
      <w:r>
        <w:rPr>
          <w:rStyle w:val="char1"/>
        </w:rPr>
      </w:r>
      <w:r>
        <w:rPr>
          <w:rStyle w:val="char1"/>
        </w:rPr>
        <w:footnoteRef/>
      </w:r>
      <w:r>
        <w:t xml:space="preserve"> Curry, </w:t>
      </w:r>
      <w:r>
        <w:rPr>
          <w:i/>
          <w:iCs/>
        </w:rPr>
        <w:t>Prophecy and Power,</w:t>
      </w:r>
      <w:r>
        <w:t xml:space="preserve"> p. 48, p. 49, p. 50, p. 51.</w:t>
      </w:r>
    </w:p>
  </w:footnote>
  <w:footnote w:id="25">
    <w:p>
      <w:pPr>
        <w:pStyle w:val="para5"/>
      </w:pPr>
      <w:r>
        <w:rPr>
          <w:rStyle w:val="char1"/>
        </w:rPr>
      </w:r>
      <w:r>
        <w:rPr>
          <w:rStyle w:val="char1"/>
        </w:rPr>
        <w:footnoteRef/>
      </w:r>
      <w:r>
        <w:t xml:space="preserve"> Ptolemy, </w:t>
      </w:r>
      <w:r>
        <w:rPr>
          <w:i/>
          <w:iCs/>
        </w:rPr>
        <w:t>Tetrabiblos</w:t>
      </w:r>
      <w:r>
        <w:t>, trans. by F. E. Robbins. (Loeb Classical Library 435. Cambridge, MA: Harvard University Press, 1940)  Book 1, I.1 &lt;DOI: 10.4159/DLCL.ptolemy-tetrabiblos.1940&gt;.</w:t>
      </w:r>
    </w:p>
  </w:footnote>
  <w:footnote w:id="26">
    <w:p>
      <w:pPr>
        <w:pStyle w:val="para5"/>
      </w:pPr>
      <w:r>
        <w:rPr>
          <w:rStyle w:val="char1"/>
        </w:rPr>
      </w:r>
      <w:r>
        <w:rPr>
          <w:rStyle w:val="char1"/>
        </w:rPr>
        <w:footnoteRef/>
      </w:r>
      <w:r>
        <w:t xml:space="preserve"> Royal Museums Greenwich, </w:t>
      </w:r>
      <w:r>
        <w:rPr>
          <w:i/>
          <w:iCs/>
        </w:rPr>
        <w:t>John Dee,</w:t>
      </w:r>
      <w:r>
        <w:t xml:space="preserve"> &lt;https://www.rmg.co.uk/stories/topics/john-dee&gt;, [accessed 18</w:t>
      </w:r>
      <w:r>
        <w:rPr>
          <w:vertAlign w:val="superscript"/>
        </w:rPr>
        <w:t>th</w:t>
      </w:r>
      <w:r>
        <w:t xml:space="preserve"> December 2024].</w:t>
      </w:r>
    </w:p>
  </w:footnote>
  <w:footnote w:id="27">
    <w:p>
      <w:pPr>
        <w:pStyle w:val="para5"/>
      </w:pPr>
      <w:r>
        <w:rPr>
          <w:rStyle w:val="char1"/>
        </w:rPr>
      </w:r>
      <w:r>
        <w:rPr>
          <w:rStyle w:val="char1"/>
        </w:rPr>
        <w:footnoteRef/>
      </w:r>
      <w:r>
        <w:t xml:space="preserve"> Kassell, ‘Stars, spirits, signs’, p. 67.</w:t>
      </w:r>
    </w:p>
  </w:footnote>
  <w:footnote w:id="28">
    <w:p>
      <w:pPr>
        <w:pStyle w:val="para5"/>
      </w:pPr>
      <w:r>
        <w:rPr>
          <w:rStyle w:val="char1"/>
        </w:rPr>
      </w:r>
      <w:r>
        <w:rPr>
          <w:rStyle w:val="char1"/>
        </w:rPr>
        <w:footnoteRef/>
      </w:r>
      <w:r>
        <w:t xml:space="preserve"> William Lilly, </w:t>
      </w:r>
      <w:r>
        <w:rPr>
          <w:i/>
          <w:iCs/>
        </w:rPr>
        <w:t>Christian Astrology</w:t>
      </w:r>
      <w:r>
        <w:t>, (London, 1647, facsimile edition, Abingdon, MD: Astrology Classics. 2004). p. XV.</w:t>
      </w:r>
    </w:p>
  </w:footnote>
  <w:footnote w:id="29">
    <w:p>
      <w:pPr>
        <w:pStyle w:val="para5"/>
      </w:pPr>
      <w:r>
        <w:rPr>
          <w:rStyle w:val="char1"/>
        </w:rPr>
      </w:r>
      <w:r>
        <w:rPr>
          <w:rStyle w:val="char1"/>
        </w:rPr>
        <w:footnoteRef/>
      </w:r>
      <w:r>
        <w:t xml:space="preserve"> Campion, </w:t>
      </w:r>
      <w:r>
        <w:rPr>
          <w:i/>
          <w:iCs/>
        </w:rPr>
        <w:t>Astrology and Cosmology,</w:t>
      </w:r>
      <w:r>
        <w:t xml:space="preserve"> p. 11.</w:t>
      </w:r>
    </w:p>
  </w:footnote>
  <w:footnote w:id="30">
    <w:p>
      <w:pPr>
        <w:pStyle w:val="para5"/>
      </w:pPr>
      <w:r>
        <w:rPr>
          <w:rStyle w:val="char1"/>
        </w:rPr>
      </w:r>
      <w:r>
        <w:rPr>
          <w:rStyle w:val="char1"/>
        </w:rPr>
        <w:footnoteRef/>
      </w:r>
      <w:r>
        <w:t xml:space="preserve"> Curry, </w:t>
      </w:r>
      <w:r>
        <w:rPr>
          <w:i/>
          <w:iCs/>
        </w:rPr>
        <w:t>Prophecy and Power</w:t>
      </w:r>
      <w:r>
        <w:t>,</w:t>
      </w:r>
      <w:r>
        <w:t xml:space="preserve"> p. 1.</w:t>
      </w:r>
    </w:p>
  </w:footnote>
  <w:footnote w:id="31">
    <w:p>
      <w:pPr>
        <w:pStyle w:val="para5"/>
      </w:pPr>
      <w:r>
        <w:rPr>
          <w:rStyle w:val="char1"/>
        </w:rPr>
      </w:r>
      <w:r>
        <w:rPr>
          <w:rStyle w:val="char1"/>
        </w:rPr>
        <w:footnoteRef/>
      </w:r>
      <w:r>
        <w:t xml:space="preserve"> Curry, </w:t>
      </w:r>
      <w:r>
        <w:rPr>
          <w:i/>
          <w:iCs/>
        </w:rPr>
        <w:t>Prophecy and Power,</w:t>
      </w:r>
      <w:r>
        <w:t xml:space="preserve"> p. 4.</w:t>
      </w:r>
    </w:p>
  </w:footnote>
  <w:footnote w:id="32">
    <w:p>
      <w:pPr>
        <w:pStyle w:val="para5"/>
      </w:pPr>
      <w:r>
        <w:rPr>
          <w:rStyle w:val="char1"/>
        </w:rPr>
      </w:r>
      <w:r>
        <w:rPr>
          <w:rStyle w:val="char1"/>
        </w:rPr>
        <w:footnoteRef/>
      </w:r>
      <w:r>
        <w:t xml:space="preserve"> Curry, </w:t>
      </w:r>
      <w:r>
        <w:rPr>
          <w:i/>
          <w:iCs/>
        </w:rPr>
        <w:t>Prophecy and Power,</w:t>
      </w:r>
      <w:r>
        <w:t xml:space="preserve"> p. 8.</w:t>
      </w:r>
    </w:p>
  </w:footnote>
  <w:footnote w:id="33">
    <w:p>
      <w:pPr>
        <w:pStyle w:val="para5"/>
      </w:pPr>
      <w:r>
        <w:rPr>
          <w:rStyle w:val="char1"/>
        </w:rPr>
      </w:r>
      <w:r>
        <w:rPr>
          <w:rStyle w:val="char1"/>
        </w:rPr>
        <w:footnoteRef/>
      </w:r>
      <w:r>
        <w:t xml:space="preserve"> Curry, </w:t>
      </w:r>
      <w:r>
        <w:rPr>
          <w:i/>
          <w:iCs/>
        </w:rPr>
        <w:t>Prophecy and Power,</w:t>
      </w:r>
      <w:r>
        <w:t xml:space="preserve"> p. 7.</w:t>
      </w:r>
    </w:p>
  </w:footnote>
  <w:footnote w:id="34">
    <w:p>
      <w:pPr>
        <w:pStyle w:val="para5"/>
      </w:pPr>
      <w:r>
        <w:rPr>
          <w:rStyle w:val="char1"/>
        </w:rPr>
      </w:r>
      <w:r>
        <w:rPr>
          <w:rStyle w:val="char1"/>
        </w:rPr>
        <w:footnoteRef/>
      </w:r>
      <w:r>
        <w:t xml:space="preserve"> Campion, </w:t>
      </w:r>
      <w:r>
        <w:rPr>
          <w:i/>
          <w:iCs/>
        </w:rPr>
        <w:t>Astrology and Cosmology</w:t>
      </w:r>
      <w:r>
        <w:t>, p. 16.</w:t>
      </w:r>
    </w:p>
  </w:footnote>
  <w:footnote w:id="35">
    <w:p>
      <w:pPr>
        <w:pStyle w:val="para5"/>
      </w:pPr>
      <w:r>
        <w:rPr>
          <w:rStyle w:val="char1"/>
        </w:rPr>
      </w:r>
      <w:r>
        <w:rPr>
          <w:rStyle w:val="char1"/>
        </w:rPr>
        <w:footnoteRef/>
      </w:r>
      <w:r>
        <w:t xml:space="preserve"> Campion, </w:t>
      </w:r>
      <w:r>
        <w:rPr>
          <w:i/>
          <w:iCs/>
        </w:rPr>
        <w:t>Astrology and Cosmology,</w:t>
      </w:r>
      <w:r>
        <w:t xml:space="preserve"> p. 16.</w:t>
      </w:r>
    </w:p>
  </w:footnote>
  <w:footnote w:id="36">
    <w:p>
      <w:pPr>
        <w:pStyle w:val="para5"/>
      </w:pPr>
      <w:r>
        <w:rPr>
          <w:rStyle w:val="char1"/>
        </w:rPr>
      </w:r>
      <w:r>
        <w:rPr>
          <w:rStyle w:val="char1"/>
        </w:rPr>
        <w:footnoteRef/>
      </w:r>
      <w:r>
        <w:t xml:space="preserve">  Campion, </w:t>
      </w:r>
      <w:r>
        <w:rPr>
          <w:i/>
          <w:iCs/>
        </w:rPr>
        <w:t>Astrology and Cosmology</w:t>
      </w:r>
      <w:r>
        <w:t>, p. 16.</w:t>
      </w:r>
    </w:p>
  </w:footnote>
  <w:footnote w:id="37">
    <w:p>
      <w:pPr>
        <w:pStyle w:val="para5"/>
      </w:pPr>
      <w:r>
        <w:rPr>
          <w:rStyle w:val="char1"/>
        </w:rPr>
      </w:r>
      <w:r>
        <w:rPr>
          <w:rStyle w:val="char1"/>
        </w:rPr>
        <w:footnoteRef/>
      </w:r>
      <w:r>
        <w:t xml:space="preserve"> Campion, </w:t>
      </w:r>
      <w:r>
        <w:rPr>
          <w:i/>
          <w:iCs/>
        </w:rPr>
        <w:t>Astrology and Cosmology,</w:t>
      </w:r>
      <w:r>
        <w:t xml:space="preserve"> p. 16.</w:t>
      </w:r>
    </w:p>
  </w:footnote>
  <w:footnote w:id="38">
    <w:p>
      <w:pPr>
        <w:pStyle w:val="para5"/>
      </w:pPr>
      <w:r>
        <w:rPr>
          <w:rStyle w:val="char1"/>
        </w:rPr>
      </w:r>
      <w:r>
        <w:rPr>
          <w:rStyle w:val="char1"/>
        </w:rPr>
        <w:footnoteRef/>
      </w:r>
      <w:r>
        <w:t xml:space="preserve"> Curry, </w:t>
      </w:r>
      <w:r>
        <w:rPr>
          <w:i/>
          <w:iCs/>
        </w:rPr>
        <w:t>Prophecy and Power</w:t>
      </w:r>
      <w:r>
        <w:t>, p. 23.</w:t>
      </w:r>
    </w:p>
  </w:footnote>
  <w:footnote w:id="39">
    <w:p>
      <w:pPr>
        <w:pStyle w:val="para5"/>
      </w:pPr>
      <w:r>
        <w:rPr>
          <w:rStyle w:val="char1"/>
        </w:rPr>
      </w:r>
      <w:r>
        <w:rPr>
          <w:rStyle w:val="char1"/>
        </w:rPr>
        <w:footnoteRef/>
      </w:r>
      <w:r>
        <w:t xml:space="preserve"> Curry, </w:t>
      </w:r>
      <w:r>
        <w:rPr>
          <w:i/>
          <w:iCs/>
        </w:rPr>
        <w:t>Prophecy and Power,</w:t>
      </w:r>
      <w:r>
        <w:t xml:space="preserve"> p. 2.</w:t>
      </w:r>
    </w:p>
  </w:footnote>
  <w:footnote w:id="40">
    <w:p>
      <w:pPr>
        <w:pStyle w:val="para5"/>
      </w:pPr>
      <w:r>
        <w:rPr>
          <w:rStyle w:val="char1"/>
        </w:rPr>
      </w:r>
      <w:r>
        <w:rPr>
          <w:rStyle w:val="char1"/>
        </w:rPr>
        <w:footnoteRef/>
      </w:r>
      <w:r>
        <w:t xml:space="preserve"> Pfeffer, ‘Marginalization of Astrology’, p. 1161.</w:t>
      </w:r>
    </w:p>
  </w:footnote>
  <w:footnote w:id="41">
    <w:p>
      <w:pPr>
        <w:pStyle w:val="para5"/>
      </w:pPr>
      <w:r>
        <w:rPr>
          <w:rStyle w:val="char1"/>
        </w:rPr>
      </w:r>
      <w:r>
        <w:rPr>
          <w:rStyle w:val="char1"/>
        </w:rPr>
        <w:footnoteRef/>
      </w:r>
      <w:r>
        <w:t xml:space="preserve"> Campion, Western Astrology Vol II, p. 172.</w:t>
      </w:r>
    </w:p>
  </w:footnote>
  <w:footnote w:id="42">
    <w:p>
      <w:pPr>
        <w:pStyle w:val="para5"/>
      </w:pPr>
      <w:r>
        <w:rPr>
          <w:rStyle w:val="char1"/>
        </w:rPr>
      </w:r>
      <w:r>
        <w:rPr>
          <w:rStyle w:val="char1"/>
        </w:rPr>
        <w:footnoteRef/>
      </w:r>
      <w:r>
        <w:t xml:space="preserve"> Chapman, </w:t>
      </w:r>
      <w:r>
        <w:t>‘Marking Time’, p. 1262.</w:t>
      </w:r>
    </w:p>
  </w:footnote>
  <w:footnote w:id="43">
    <w:p>
      <w:pPr>
        <w:pStyle w:val="para5"/>
      </w:pPr>
      <w:r>
        <w:rPr>
          <w:rStyle w:val="char1"/>
        </w:rPr>
      </w:r>
      <w:r>
        <w:rPr>
          <w:rStyle w:val="char1"/>
        </w:rPr>
        <w:footnoteRef/>
      </w:r>
      <w:r>
        <w:t xml:space="preserve"> </w:t>
      </w:r>
      <w:r>
        <w:rPr>
          <w:i/>
          <w:iCs/>
        </w:rPr>
        <w:t>Censor,</w:t>
      </w:r>
      <w:r>
        <w:t xml:space="preserve"> Paperback OED, p. 110.</w:t>
      </w:r>
    </w:p>
  </w:footnote>
  <w:footnote w:id="44">
    <w:p>
      <w:pPr>
        <w:pStyle w:val="para5"/>
      </w:pPr>
      <w:r>
        <w:rPr>
          <w:rStyle w:val="char1"/>
        </w:rPr>
      </w:r>
      <w:r>
        <w:rPr>
          <w:rStyle w:val="char1"/>
        </w:rPr>
        <w:footnoteRef/>
      </w:r>
      <w:r>
        <w:t xml:space="preserve"> Pfeffer, ‘Marginalization of Astrology’, p. 1157.</w:t>
      </w:r>
    </w:p>
  </w:footnote>
  <w:footnote w:id="45">
    <w:p>
      <w:pPr>
        <w:pStyle w:val="para5"/>
      </w:pPr>
      <w:r>
        <w:rPr>
          <w:rStyle w:val="char1"/>
        </w:rPr>
      </w:r>
      <w:r>
        <w:rPr>
          <w:rStyle w:val="char1"/>
        </w:rPr>
        <w:footnoteRef/>
      </w:r>
      <w:r>
        <w:t xml:space="preserve"> Pfeffer, ‘Marginalization of Astrology’, p. 1158.</w:t>
      </w:r>
    </w:p>
  </w:footnote>
  <w:footnote w:id="46">
    <w:p>
      <w:pPr>
        <w:pStyle w:val="para5"/>
      </w:pPr>
      <w:r>
        <w:rPr>
          <w:rStyle w:val="char1"/>
        </w:rPr>
      </w:r>
      <w:r>
        <w:rPr>
          <w:rStyle w:val="char1"/>
        </w:rPr>
        <w:footnoteRef/>
      </w:r>
      <w:r>
        <w:t xml:space="preserve"> Curth, </w:t>
      </w:r>
      <w:r>
        <w:rPr>
          <w:i/>
          <w:iCs/>
        </w:rPr>
        <w:t>English almanacs</w:t>
      </w:r>
      <w:r>
        <w:t>, p. 38.</w:t>
      </w:r>
    </w:p>
  </w:footnote>
  <w:footnote w:id="47">
    <w:p>
      <w:pPr>
        <w:pStyle w:val="para5"/>
      </w:pPr>
      <w:r>
        <w:rPr>
          <w:rStyle w:val="char1"/>
        </w:rPr>
      </w:r>
      <w:r>
        <w:rPr>
          <w:rStyle w:val="char1"/>
        </w:rPr>
        <w:footnoteRef/>
      </w:r>
      <w:r>
        <w:t xml:space="preserve"> Curth, </w:t>
      </w:r>
      <w:r>
        <w:rPr>
          <w:i/>
          <w:iCs/>
        </w:rPr>
        <w:t>English almanacs</w:t>
      </w:r>
      <w:r>
        <w:t>, p. 113.</w:t>
      </w:r>
    </w:p>
  </w:footnote>
  <w:footnote w:id="48">
    <w:p>
      <w:pPr>
        <w:pStyle w:val="para5"/>
      </w:pPr>
      <w:r>
        <w:rPr>
          <w:rStyle w:val="char1"/>
        </w:rPr>
      </w:r>
      <w:r>
        <w:rPr>
          <w:rStyle w:val="char1"/>
        </w:rPr>
        <w:footnoteRef/>
      </w:r>
      <w:r>
        <w:t xml:space="preserve"> Pfeffer, ‘Marginalization of Astrology’, p. 1154.</w:t>
      </w:r>
    </w:p>
  </w:footnote>
  <w:footnote w:id="49">
    <w:p>
      <w:pPr>
        <w:pStyle w:val="para5"/>
      </w:pPr>
      <w:r>
        <w:rPr>
          <w:rStyle w:val="char1"/>
        </w:rPr>
      </w:r>
      <w:r>
        <w:rPr>
          <w:rStyle w:val="char1"/>
        </w:rPr>
        <w:footnoteRef/>
      </w:r>
      <w:r>
        <w:t xml:space="preserve"> Campion, </w:t>
      </w:r>
      <w:r>
        <w:rPr>
          <w:i/>
          <w:iCs/>
        </w:rPr>
        <w:t>Western Astrology Vol. II,</w:t>
      </w:r>
      <w:r>
        <w:t xml:space="preserve"> p. 134.</w:t>
      </w:r>
    </w:p>
  </w:footnote>
  <w:footnote w:id="50">
    <w:p>
      <w:pPr>
        <w:pStyle w:val="para5"/>
      </w:pPr>
      <w:r>
        <w:rPr>
          <w:rStyle w:val="char1"/>
        </w:rPr>
      </w:r>
      <w:r>
        <w:rPr>
          <w:rStyle w:val="char1"/>
        </w:rPr>
        <w:footnoteRef/>
      </w:r>
      <w:r>
        <w:t xml:space="preserve"> Campion, </w:t>
      </w:r>
      <w:r>
        <w:rPr>
          <w:i/>
          <w:iCs/>
        </w:rPr>
        <w:t>Western Astrology Vol. II,</w:t>
      </w:r>
      <w:r>
        <w:t xml:space="preserve"> p. 135.</w:t>
      </w:r>
    </w:p>
  </w:footnote>
  <w:footnote w:id="51">
    <w:p>
      <w:pPr>
        <w:pStyle w:val="para5"/>
      </w:pPr>
      <w:r>
        <w:rPr>
          <w:rStyle w:val="char1"/>
        </w:rPr>
      </w:r>
      <w:r>
        <w:rPr>
          <w:rStyle w:val="char1"/>
        </w:rPr>
        <w:footnoteRef/>
      </w:r>
      <w:r>
        <w:t xml:space="preserve"> Curry, </w:t>
      </w:r>
      <w:r>
        <w:rPr>
          <w:i/>
          <w:iCs/>
        </w:rPr>
        <w:t>Prophecy and Power,</w:t>
      </w:r>
      <w:r>
        <w:t xml:space="preserve"> p. 46.</w:t>
      </w:r>
    </w:p>
  </w:footnote>
  <w:footnote w:id="52">
    <w:p>
      <w:pPr>
        <w:pStyle w:val="para5"/>
      </w:pPr>
      <w:r>
        <w:rPr>
          <w:rStyle w:val="char1"/>
        </w:rPr>
      </w:r>
      <w:r>
        <w:rPr>
          <w:rStyle w:val="char1"/>
        </w:rPr>
        <w:footnoteRef/>
      </w:r>
      <w:r>
        <w:t xml:space="preserve"> Chapman, ‘Marking Time’, p. 1261.</w:t>
      </w:r>
    </w:p>
  </w:footnote>
  <w:footnote w:id="53">
    <w:p>
      <w:pPr>
        <w:pStyle w:val="para5"/>
      </w:pPr>
      <w:r>
        <w:rPr>
          <w:rStyle w:val="char1"/>
        </w:rPr>
      </w:r>
      <w:r>
        <w:rPr>
          <w:rStyle w:val="char1"/>
        </w:rPr>
        <w:footnoteRef/>
      </w:r>
      <w:r>
        <w:t xml:space="preserve"> Campion, Western Astrology Vol. II, p. 159.</w:t>
      </w:r>
    </w:p>
  </w:footnote>
  <w:footnote w:id="54">
    <w:p>
      <w:pPr>
        <w:pStyle w:val="para5"/>
      </w:pPr>
      <w:r>
        <w:rPr>
          <w:rStyle w:val="char1"/>
        </w:rPr>
      </w:r>
      <w:r>
        <w:rPr>
          <w:rStyle w:val="char1"/>
        </w:rPr>
        <w:footnoteRef/>
      </w:r>
      <w:r>
        <w:t xml:space="preserve"> Louise Hill Curth, ‘The Commercialisation of Medicine in the Popular Press: English Almanacs 1640–1700’, </w:t>
      </w:r>
      <w:r>
        <w:rPr>
          <w:i/>
          <w:iCs/>
        </w:rPr>
        <w:t>Journal of the History of Medicine and Allied Sciences</w:t>
      </w:r>
      <w:r>
        <w:t xml:space="preserve"> , 60, 3, (2005), 255 - 282 (p. 48) &lt;DOI:10.1080/0268117X.2002.10555499&gt;.</w:t>
      </w:r>
    </w:p>
  </w:footnote>
  <w:footnote w:id="55">
    <w:p>
      <w:pPr>
        <w:pStyle w:val="para5"/>
      </w:pPr>
      <w:r>
        <w:rPr>
          <w:rStyle w:val="char1"/>
        </w:rPr>
      </w:r>
      <w:r>
        <w:rPr>
          <w:rStyle w:val="char1"/>
        </w:rPr>
        <w:footnoteRef/>
      </w:r>
      <w:r>
        <w:t xml:space="preserve"> Perkins, </w:t>
      </w:r>
      <w:r>
        <w:rPr>
          <w:i/>
          <w:iCs/>
        </w:rPr>
        <w:t>Visions of the Future</w:t>
      </w:r>
      <w:r>
        <w:t>, p. 21.</w:t>
      </w:r>
    </w:p>
  </w:footnote>
  <w:footnote w:id="56">
    <w:p>
      <w:pPr>
        <w:pStyle w:val="para5"/>
      </w:pPr>
      <w:r>
        <w:rPr>
          <w:rStyle w:val="char1"/>
        </w:rPr>
      </w:r>
      <w:r>
        <w:rPr>
          <w:rStyle w:val="char1"/>
        </w:rPr>
        <w:footnoteRef/>
      </w:r>
      <w:r>
        <w:t xml:space="preserve"> Campion, </w:t>
      </w:r>
      <w:r>
        <w:rPr>
          <w:i/>
          <w:iCs/>
        </w:rPr>
        <w:t>Western Astrology Vol. II,</w:t>
      </w:r>
      <w:r>
        <w:t xml:space="preserve"> p. 154.</w:t>
      </w:r>
    </w:p>
  </w:footnote>
  <w:footnote w:id="57">
    <w:p>
      <w:pPr>
        <w:pStyle w:val="para5"/>
      </w:pPr>
      <w:r>
        <w:rPr>
          <w:rStyle w:val="char1"/>
        </w:rPr>
      </w:r>
      <w:r>
        <w:rPr>
          <w:rStyle w:val="char1"/>
        </w:rPr>
        <w:footnoteRef/>
      </w:r>
      <w:r>
        <w:t xml:space="preserve"> Campion, </w:t>
      </w:r>
      <w:r>
        <w:rPr>
          <w:i/>
          <w:iCs/>
        </w:rPr>
        <w:t>Western Astrology Vol. II,</w:t>
      </w:r>
      <w:r>
        <w:t xml:space="preserve"> p. 153.</w:t>
      </w:r>
    </w:p>
  </w:footnote>
  <w:footnote w:id="58">
    <w:p>
      <w:pPr>
        <w:pStyle w:val="para5"/>
      </w:pPr>
      <w:r>
        <w:rPr>
          <w:rStyle w:val="char1"/>
        </w:rPr>
      </w:r>
      <w:r>
        <w:rPr>
          <w:rStyle w:val="char1"/>
        </w:rPr>
        <w:footnoteRef/>
      </w:r>
      <w:r>
        <w:t xml:space="preserve"> Pfeffer, ‘Marginalization of Astrology’, p. 1157.</w:t>
      </w:r>
    </w:p>
  </w:footnote>
  <w:footnote w:id="59">
    <w:p>
      <w:pPr>
        <w:pStyle w:val="para5"/>
      </w:pPr>
      <w:r>
        <w:rPr>
          <w:rStyle w:val="char1"/>
        </w:rPr>
      </w:r>
      <w:r>
        <w:rPr>
          <w:rStyle w:val="char1"/>
        </w:rPr>
        <w:footnoteRef/>
      </w:r>
      <w:r>
        <w:t xml:space="preserve"> Curry, </w:t>
      </w:r>
      <w:r>
        <w:rPr>
          <w:i/>
          <w:iCs/>
        </w:rPr>
        <w:t>Prophecy and Power</w:t>
      </w:r>
      <w:r>
        <w:t>, p. 52.</w:t>
      </w:r>
    </w:p>
  </w:footnote>
  <w:footnote w:id="60">
    <w:p>
      <w:pPr>
        <w:pStyle w:val="para5"/>
      </w:pPr>
      <w:r>
        <w:rPr>
          <w:rStyle w:val="char1"/>
        </w:rPr>
      </w:r>
      <w:r>
        <w:rPr>
          <w:rStyle w:val="char1"/>
        </w:rPr>
        <w:footnoteRef/>
      </w:r>
      <w:r>
        <w:t xml:space="preserve"> Campion, </w:t>
      </w:r>
      <w:r>
        <w:rPr>
          <w:i/>
          <w:iCs/>
        </w:rPr>
        <w:t>Western Astrology Vol. 1,</w:t>
      </w:r>
      <w:r>
        <w:t xml:space="preserve"> p. 38.</w:t>
      </w:r>
    </w:p>
  </w:footnote>
  <w:footnote w:id="61">
    <w:p>
      <w:pPr>
        <w:pStyle w:val="para5"/>
      </w:pPr>
      <w:r>
        <w:rPr>
          <w:rStyle w:val="char1"/>
        </w:rPr>
      </w:r>
      <w:r>
        <w:rPr>
          <w:rStyle w:val="char1"/>
        </w:rPr>
        <w:footnoteRef/>
      </w:r>
      <w:r>
        <w:t xml:space="preserve"> Campion, </w:t>
      </w:r>
      <w:r>
        <w:rPr>
          <w:i/>
          <w:iCs/>
        </w:rPr>
        <w:t>Western Astrology Vol. 1</w:t>
      </w:r>
      <w:r>
        <w:t>, p. 227.</w:t>
      </w:r>
    </w:p>
  </w:footnote>
  <w:footnote w:id="62">
    <w:p>
      <w:pPr>
        <w:pStyle w:val="para5"/>
      </w:pPr>
      <w:r>
        <w:rPr>
          <w:rStyle w:val="char1"/>
        </w:rPr>
      </w:r>
      <w:r>
        <w:rPr>
          <w:rStyle w:val="char1"/>
        </w:rPr>
        <w:footnoteRef/>
      </w:r>
      <w:r>
        <w:t xml:space="preserve"> Curry, </w:t>
      </w:r>
      <w:r>
        <w:rPr>
          <w:i/>
          <w:iCs/>
        </w:rPr>
        <w:t>Prophecy and Power,</w:t>
      </w:r>
      <w:r>
        <w:t xml:space="preserve"> p. 45.</w:t>
      </w:r>
    </w:p>
  </w:footnote>
  <w:footnote w:id="63">
    <w:p>
      <w:pPr>
        <w:pStyle w:val="para5"/>
      </w:pPr>
      <w:r>
        <w:rPr>
          <w:rStyle w:val="char1"/>
        </w:rPr>
      </w:r>
      <w:r>
        <w:rPr>
          <w:rStyle w:val="char1"/>
        </w:rPr>
        <w:footnoteRef/>
      </w:r>
      <w:r>
        <w:t xml:space="preserve"> Lilly, </w:t>
      </w:r>
      <w:r>
        <w:rPr>
          <w:i/>
          <w:iCs/>
        </w:rPr>
        <w:t>Christian Astrology,</w:t>
      </w:r>
      <w:r>
        <w:t xml:space="preserve"> p. 450.</w:t>
      </w:r>
    </w:p>
  </w:footnote>
  <w:footnote w:id="64">
    <w:p>
      <w:pPr>
        <w:pStyle w:val="para5"/>
        <w:tabs defTabSz="708">
          <w:tab w:val="left" w:pos="7994" w:leader="none"/>
        </w:tabs>
      </w:pPr>
      <w:r>
        <w:rPr>
          <w:rStyle w:val="char1"/>
        </w:rPr>
      </w:r>
      <w:r>
        <w:rPr>
          <w:rStyle w:val="char1"/>
        </w:rPr>
        <w:footnoteRef/>
      </w:r>
      <w:r>
        <w:t xml:space="preserve"> Curry, </w:t>
      </w:r>
      <w:r>
        <w:rPr>
          <w:i/>
          <w:iCs/>
        </w:rPr>
        <w:t>Prophecy and Power,</w:t>
      </w:r>
      <w:r>
        <w:t xml:space="preserve"> p. 45</w:t>
      </w:r>
    </w:p>
  </w:footnote>
  <w:footnote w:id="65">
    <w:p>
      <w:pPr>
        <w:pStyle w:val="para5"/>
      </w:pPr>
      <w:r>
        <w:rPr>
          <w:rStyle w:val="char1"/>
        </w:rPr>
      </w:r>
      <w:r>
        <w:rPr>
          <w:rStyle w:val="char1"/>
        </w:rPr>
        <w:footnoteRef/>
      </w:r>
      <w:r>
        <w:t xml:space="preserve"> Curry, </w:t>
      </w:r>
      <w:r>
        <w:rPr>
          <w:i/>
          <w:iCs/>
        </w:rPr>
        <w:t>Power and Prophecy</w:t>
      </w:r>
      <w:r>
        <w:t>, p. 46.</w:t>
      </w:r>
    </w:p>
  </w:footnote>
  <w:footnote w:id="66">
    <w:p>
      <w:pPr>
        <w:pStyle w:val="para5"/>
      </w:pPr>
      <w:r>
        <w:rPr>
          <w:rStyle w:val="char1"/>
        </w:rPr>
      </w:r>
      <w:r>
        <w:rPr>
          <w:rStyle w:val="char1"/>
        </w:rPr>
        <w:footnoteRef/>
      </w:r>
      <w:r>
        <w:t xml:space="preserve"> Pfeffer, ‘Marginalization of Astrology’, p. 1154.</w:t>
      </w:r>
    </w:p>
  </w:footnote>
  <w:footnote w:id="67">
    <w:p>
      <w:pPr>
        <w:pStyle w:val="para5"/>
      </w:pPr>
      <w:r>
        <w:rPr>
          <w:rStyle w:val="char1"/>
        </w:rPr>
      </w:r>
      <w:r>
        <w:rPr>
          <w:rStyle w:val="char1"/>
        </w:rPr>
        <w:footnoteRef/>
      </w:r>
      <w:r>
        <w:t xml:space="preserve"> Pfeffer, ‘Marginalization of Astrology’, p. 1154.</w:t>
      </w:r>
    </w:p>
  </w:footnote>
  <w:footnote w:id="68">
    <w:p>
      <w:pPr>
        <w:pStyle w:val="para5"/>
      </w:pPr>
      <w:r>
        <w:rPr>
          <w:rStyle w:val="char1"/>
        </w:rPr>
      </w:r>
      <w:r>
        <w:rPr>
          <w:rStyle w:val="char1"/>
        </w:rPr>
        <w:footnoteRef/>
      </w:r>
      <w:r>
        <w:t xml:space="preserve"> Pfeffer, ‘Marginalization of Astrology’, p. 1164.</w:t>
      </w:r>
    </w:p>
  </w:footnote>
  <w:footnote w:id="69">
    <w:p>
      <w:pPr>
        <w:pStyle w:val="para5"/>
      </w:pPr>
      <w:r>
        <w:rPr>
          <w:rStyle w:val="char1"/>
        </w:rPr>
      </w:r>
      <w:r>
        <w:rPr>
          <w:rStyle w:val="char1"/>
        </w:rPr>
        <w:footnoteRef/>
      </w:r>
      <w:r>
        <w:t xml:space="preserve"> Pfeffer, ‘Marginalization of Astrology’, p. 1170.</w:t>
      </w:r>
    </w:p>
  </w:footnote>
  <w:footnote w:id="70">
    <w:p>
      <w:pPr>
        <w:pStyle w:val="para5"/>
      </w:pPr>
      <w:r>
        <w:rPr>
          <w:rStyle w:val="char1"/>
        </w:rPr>
      </w:r>
      <w:r>
        <w:rPr>
          <w:rStyle w:val="char1"/>
        </w:rPr>
        <w:footnoteRef/>
      </w:r>
      <w:r>
        <w:t xml:space="preserve"> Curry, </w:t>
      </w:r>
      <w:r>
        <w:rPr>
          <w:i/>
          <w:iCs/>
        </w:rPr>
        <w:t>Prophecy and Power,</w:t>
      </w:r>
      <w:r>
        <w:t xml:space="preserve"> p. 48.</w:t>
      </w:r>
    </w:p>
  </w:footnote>
  <w:footnote w:id="71">
    <w:p>
      <w:pPr>
        <w:pStyle w:val="para5"/>
        <w:rPr>
          <w:sz w:val="22"/>
          <w:szCs w:val="22"/>
        </w:rPr>
      </w:pPr>
      <w:r>
        <w:rPr>
          <w:rStyle w:val="char1"/>
        </w:rPr>
      </w:r>
      <w:r>
        <w:rPr>
          <w:rStyle w:val="char1"/>
        </w:rPr>
        <w:footnoteRef/>
      </w:r>
      <w:r>
        <w:t xml:space="preserve"> </w:t>
      </w:r>
      <w:r>
        <w:rPr>
          <w:sz w:val="22"/>
          <w:szCs w:val="22"/>
        </w:rPr>
        <w:t xml:space="preserve">Bernard Capp, ‘Astrology and the Popular Press: English Almanacs 1500–1800’ (London and Boston, 1979, Faber and Faber) cited in </w:t>
      </w:r>
      <w:r>
        <w:t xml:space="preserve">Louise Hill Curth, </w:t>
      </w:r>
      <w:r>
        <w:rPr>
          <w:i/>
          <w:iCs/>
        </w:rPr>
        <w:t>English almanacs, astrology and popular medicine, 1550–1700</w:t>
      </w:r>
      <w:r>
        <w:t xml:space="preserve">,  (2007, Manchester and New York, Manchester University Press) </w:t>
      </w:r>
      <w:r>
        <w:rPr>
          <w:sz w:val="22"/>
          <w:szCs w:val="22"/>
        </w:rPr>
        <w:t>, p. 1.</w:t>
      </w:r>
      <w:r>
        <w:rPr>
          <w:sz w:val="22"/>
          <w:szCs w:val="22"/>
        </w:rPr>
      </w:r>
    </w:p>
  </w:footnote>
  <w:footnote w:id="72">
    <w:p>
      <w:pPr>
        <w:pStyle w:val="para5"/>
      </w:pPr>
      <w:r>
        <w:rPr>
          <w:rStyle w:val="char1"/>
        </w:rPr>
      </w:r>
      <w:r>
        <w:rPr>
          <w:rStyle w:val="char1"/>
        </w:rPr>
        <w:footnoteRef/>
      </w:r>
      <w:r>
        <w:t xml:space="preserve"> Curth, English Almanacs, p.1.</w:t>
      </w:r>
    </w:p>
  </w:footnote>
  <w:footnote w:id="73">
    <w:p>
      <w:pPr>
        <w:pStyle w:val="para5"/>
      </w:pPr>
      <w:r>
        <w:rPr>
          <w:rStyle w:val="char1"/>
        </w:rPr>
      </w:r>
      <w:r>
        <w:rPr>
          <w:rStyle w:val="char1"/>
        </w:rPr>
        <w:footnoteRef/>
      </w:r>
      <w:r>
        <w:t xml:space="preserve"> Perkins, </w:t>
      </w:r>
      <w:r>
        <w:rPr>
          <w:i/>
          <w:iCs/>
        </w:rPr>
        <w:t>Visions of the Future</w:t>
      </w:r>
      <w:r>
        <w:t xml:space="preserve">, p. 14. </w:t>
      </w:r>
    </w:p>
  </w:footnote>
  <w:footnote w:id="74">
    <w:p>
      <w:pPr>
        <w:pStyle w:val="para5"/>
      </w:pPr>
      <w:r>
        <w:rPr>
          <w:rStyle w:val="char1"/>
        </w:rPr>
      </w:r>
      <w:r>
        <w:rPr>
          <w:rStyle w:val="char1"/>
        </w:rPr>
        <w:footnoteRef/>
      </w:r>
      <w:r>
        <w:t xml:space="preserve"> Cyprian Blagden, The Stationers Company: A History, 1405–1959 (London, 1960, George Allen and Unwin Ltd), 206–2</w:t>
      </w:r>
      <w:r>
        <w:t xml:space="preserve">8 cited in Maureen Perkins, </w:t>
      </w:r>
      <w:r>
        <w:rPr>
          <w:i/>
          <w:iCs/>
        </w:rPr>
        <w:t>Visions of the Future: Almanacs, Time, and Cultural Change 1775-1870</w:t>
      </w:r>
      <w:r>
        <w:t xml:space="preserve"> (1996, Oxford, Oxford Academic, 3 Oct. 2011), p. 18</w:t>
      </w:r>
    </w:p>
  </w:footnote>
  <w:footnote w:id="75">
    <w:p>
      <w:pPr>
        <w:pStyle w:val="para5"/>
      </w:pPr>
      <w:r>
        <w:rPr>
          <w:rStyle w:val="char1"/>
        </w:rPr>
      </w:r>
      <w:r>
        <w:rPr>
          <w:rStyle w:val="char1"/>
        </w:rPr>
        <w:footnoteRef/>
      </w:r>
      <w:r>
        <w:t xml:space="preserve"> Perkins, </w:t>
      </w:r>
      <w:r>
        <w:rPr>
          <w:i/>
          <w:iCs/>
        </w:rPr>
        <w:t>Visions of the Future</w:t>
      </w:r>
      <w:r>
        <w:t>, p. 18.</w:t>
      </w:r>
    </w:p>
  </w:footnote>
  <w:footnote w:id="76">
    <w:p>
      <w:pPr>
        <w:pStyle w:val="para5"/>
      </w:pPr>
      <w:r>
        <w:rPr>
          <w:rStyle w:val="char1"/>
        </w:rPr>
      </w:r>
      <w:r>
        <w:rPr>
          <w:rStyle w:val="char1"/>
        </w:rPr>
        <w:footnoteRef/>
      </w:r>
      <w:r>
        <w:t xml:space="preserve"> Perkins, </w:t>
      </w:r>
      <w:r>
        <w:rPr>
          <w:i/>
          <w:iCs/>
        </w:rPr>
        <w:t>Visions of the Future</w:t>
      </w:r>
      <w:r>
        <w:t>, p. 17.</w:t>
      </w:r>
    </w:p>
  </w:footnote>
  <w:footnote w:id="77">
    <w:p>
      <w:pPr>
        <w:pStyle w:val="para5"/>
      </w:pPr>
      <w:r>
        <w:rPr>
          <w:rStyle w:val="char1"/>
        </w:rPr>
      </w:r>
      <w:r>
        <w:rPr>
          <w:rStyle w:val="char1"/>
        </w:rPr>
        <w:footnoteRef/>
      </w:r>
      <w:r>
        <w:t xml:space="preserve"> Perkins, </w:t>
      </w:r>
      <w:r>
        <w:rPr>
          <w:i/>
          <w:iCs/>
        </w:rPr>
        <w:t>Visions of the Future,</w:t>
      </w:r>
      <w:r>
        <w:t xml:space="preserve"> p. 20</w:t>
      </w:r>
    </w:p>
  </w:footnote>
  <w:footnote w:id="78">
    <w:p>
      <w:pPr>
        <w:pStyle w:val="para5"/>
      </w:pPr>
      <w:r>
        <w:rPr>
          <w:rStyle w:val="char1"/>
        </w:rPr>
      </w:r>
      <w:r>
        <w:rPr>
          <w:rStyle w:val="char1"/>
        </w:rPr>
        <w:footnoteRef/>
      </w:r>
      <w:r>
        <w:t xml:space="preserve"> Richard Allestree, </w:t>
      </w:r>
      <w:r>
        <w:rPr>
          <w:i/>
          <w:iCs/>
        </w:rPr>
        <w:t>1622 a new almanack and prognosti[cation] ... of our Lord God, ... being the 2 from bissextil yeer : [calculated and properly re]ferred to the longitude and sublimity of the Pole Articke of the famous towne of Derby</w:t>
      </w:r>
      <w:r>
        <w:t xml:space="preserve">, (Printed for the Company of Stationers, 1622, London) cited in Maureen Perkins, </w:t>
      </w:r>
      <w:r>
        <w:rPr>
          <w:i/>
          <w:iCs/>
        </w:rPr>
        <w:t>Visions of the Future: Almanacs, Time, and Cultural Change 1775-1870</w:t>
      </w:r>
      <w:r>
        <w:t xml:space="preserve"> (1996, Oxford, Oxford Academic, 3 Oct. 2011), p. 99.</w:t>
      </w:r>
    </w:p>
  </w:footnote>
  <w:footnote w:id="79">
    <w:p>
      <w:pPr>
        <w:pStyle w:val="para5"/>
      </w:pPr>
      <w:r>
        <w:rPr>
          <w:rStyle w:val="char1"/>
        </w:rPr>
      </w:r>
      <w:r>
        <w:rPr>
          <w:rStyle w:val="char1"/>
        </w:rPr>
        <w:footnoteRef/>
      </w:r>
      <w:r>
        <w:t xml:space="preserve"> David R. Como, ‘Print, Censorship, and Ideological Escalation in the English Civil War,’ </w:t>
      </w:r>
      <w:r>
        <w:rPr>
          <w:i/>
          <w:iCs/>
        </w:rPr>
        <w:t>The Journal of British Studies</w:t>
      </w:r>
      <w:r>
        <w:t>, 51, 4, (2012). 820–857.  (p. 823). &lt;DOI: 10.1086/666848&gt;.</w:t>
      </w:r>
    </w:p>
  </w:footnote>
  <w:footnote w:id="80">
    <w:p>
      <w:pPr>
        <w:pStyle w:val="para5"/>
      </w:pPr>
      <w:r>
        <w:rPr>
          <w:rStyle w:val="char1"/>
        </w:rPr>
      </w:r>
      <w:r>
        <w:rPr>
          <w:rStyle w:val="char1"/>
        </w:rPr>
        <w:footnoteRef/>
      </w:r>
      <w:r>
        <w:t xml:space="preserve"> Jane Ridder-Patrick, ‘The Marginalization of Astrology in Seventeenth-Century Scotland’. </w:t>
      </w:r>
      <w:r>
        <w:rPr>
          <w:i/>
          <w:iCs/>
        </w:rPr>
        <w:t>Early Science and Medicine</w:t>
      </w:r>
      <w:r>
        <w:t>, 22, 5/6, (2017), 464–486. p. 481, &lt;DOI:10.1163/15733823-02256P04&gt;.</w:t>
      </w:r>
    </w:p>
  </w:footnote>
  <w:footnote w:id="81">
    <w:p>
      <w:pPr>
        <w:pStyle w:val="para5"/>
      </w:pPr>
      <w:r>
        <w:rPr>
          <w:rStyle w:val="char1"/>
        </w:rPr>
      </w:r>
      <w:r>
        <w:rPr>
          <w:rStyle w:val="char1"/>
        </w:rPr>
        <w:footnoteRef/>
      </w:r>
      <w:r>
        <w:t xml:space="preserve"> Ridder-Patrick, ‘Marginalization of Astrology’, p. 465. </w:t>
      </w:r>
    </w:p>
  </w:footnote>
  <w:footnote w:id="82">
    <w:p>
      <w:pPr>
        <w:pStyle w:val="para5"/>
      </w:pPr>
      <w:r>
        <w:rPr>
          <w:rStyle w:val="char1"/>
        </w:rPr>
      </w:r>
      <w:r>
        <w:rPr>
          <w:rStyle w:val="char1"/>
        </w:rPr>
        <w:footnoteRef/>
      </w:r>
      <w:r>
        <w:t xml:space="preserve"> Curry, </w:t>
      </w:r>
      <w:r>
        <w:rPr>
          <w:i/>
          <w:iCs/>
        </w:rPr>
        <w:t>Prophecy and Power,</w:t>
      </w:r>
      <w:r>
        <w:t xml:space="preserve"> p. 46.</w:t>
      </w:r>
    </w:p>
  </w:footnote>
  <w:footnote w:id="83">
    <w:p>
      <w:pPr>
        <w:pStyle w:val="para5"/>
      </w:pPr>
      <w:r>
        <w:rPr>
          <w:rStyle w:val="char1"/>
        </w:rPr>
      </w:r>
      <w:r>
        <w:rPr>
          <w:rStyle w:val="char1"/>
        </w:rPr>
        <w:footnoteRef/>
      </w:r>
      <w:r>
        <w:t xml:space="preserve"> Pfeffer, ‘Marginalization of Astrology’, p. 1174.</w:t>
      </w:r>
    </w:p>
  </w:footnote>
  <w:footnote w:id="84">
    <w:p>
      <w:pPr>
        <w:pStyle w:val="para5"/>
      </w:pPr>
      <w:r>
        <w:rPr>
          <w:rStyle w:val="char1"/>
        </w:rPr>
      </w:r>
      <w:r>
        <w:rPr>
          <w:rStyle w:val="char1"/>
        </w:rPr>
        <w:footnoteRef/>
      </w:r>
      <w:r>
        <w:t xml:space="preserve"> Darrel H. Rutkin, ‘How to Accurately Account for Astrology’s Marginalization in the History of Science and Culture: The Central Importance of an Interpretive Framework’, </w:t>
      </w:r>
      <w:r>
        <w:rPr>
          <w:i/>
          <w:iCs/>
        </w:rPr>
        <w:t>Early Science and Medicine,</w:t>
      </w:r>
      <w:r>
        <w:t xml:space="preserve"> 23, 3, (2018), 217–243, (p. 235). &lt;DOI:10.1163/15733823-00233P02&gt;.</w:t>
      </w:r>
    </w:p>
  </w:footnote>
  <w:footnote w:id="85">
    <w:p>
      <w:pPr>
        <w:pStyle w:val="para5"/>
      </w:pPr>
      <w:r>
        <w:rPr>
          <w:rStyle w:val="char1"/>
        </w:rPr>
      </w:r>
      <w:r>
        <w:rPr>
          <w:rStyle w:val="char1"/>
        </w:rPr>
        <w:footnoteRef/>
      </w:r>
      <w:r>
        <w:t xml:space="preserve"> Curry, </w:t>
      </w:r>
      <w:r>
        <w:rPr>
          <w:i/>
          <w:iCs/>
        </w:rPr>
        <w:t>Prophecy and Power,</w:t>
      </w:r>
      <w:r>
        <w:t xml:space="preserve"> p. 63.</w:t>
      </w:r>
    </w:p>
  </w:footnote>
  <w:footnote w:id="86">
    <w:p>
      <w:pPr>
        <w:pStyle w:val="para5"/>
      </w:pPr>
      <w:r>
        <w:rPr>
          <w:rStyle w:val="char1"/>
        </w:rPr>
      </w:r>
      <w:r>
        <w:rPr>
          <w:rStyle w:val="char1"/>
        </w:rPr>
        <w:footnoteRef/>
      </w:r>
      <w:r>
        <w:t xml:space="preserve"> Curry, </w:t>
      </w:r>
      <w:r>
        <w:rPr>
          <w:i/>
          <w:iCs/>
        </w:rPr>
        <w:t>Prophecy and Power,</w:t>
      </w:r>
      <w:r>
        <w:t xml:space="preserve"> p. 51.</w:t>
      </w:r>
    </w:p>
  </w:footnote>
  <w:footnote w:id="87">
    <w:p>
      <w:pPr>
        <w:pStyle w:val="para5"/>
      </w:pPr>
      <w:r>
        <w:rPr>
          <w:rStyle w:val="char1"/>
        </w:rPr>
      </w:r>
      <w:r>
        <w:rPr>
          <w:rStyle w:val="char1"/>
        </w:rPr>
        <w:footnoteRef/>
      </w:r>
      <w:r>
        <w:t xml:space="preserve"> Curry, </w:t>
      </w:r>
      <w:r>
        <w:rPr>
          <w:i/>
          <w:iCs/>
        </w:rPr>
        <w:t>Prophecy and Power</w:t>
      </w:r>
      <w:r>
        <w:t>, p. 51.</w:t>
      </w:r>
    </w:p>
  </w:footnote>
  <w:footnote w:id="88">
    <w:p>
      <w:pPr>
        <w:pStyle w:val="para5"/>
      </w:pPr>
      <w:r>
        <w:rPr>
          <w:rStyle w:val="char1"/>
        </w:rPr>
      </w:r>
      <w:r>
        <w:rPr>
          <w:rStyle w:val="char1"/>
        </w:rPr>
        <w:footnoteRef/>
      </w:r>
      <w:r>
        <w:t xml:space="preserve"> Curry, Prophecy and Power, p. 51.</w:t>
      </w:r>
    </w:p>
  </w:footnote>
  <w:footnote w:id="89">
    <w:p>
      <w:pPr>
        <w:pStyle w:val="para5"/>
      </w:pPr>
      <w:r>
        <w:rPr>
          <w:rStyle w:val="char1"/>
        </w:rPr>
      </w:r>
      <w:r>
        <w:rPr>
          <w:rStyle w:val="char1"/>
        </w:rPr>
        <w:footnoteRef/>
      </w:r>
      <w:r>
        <w:t xml:space="preserve"> Campion, </w:t>
      </w:r>
      <w:r>
        <w:rPr>
          <w:i/>
          <w:iCs/>
        </w:rPr>
        <w:t>Western Astrology Vol. II</w:t>
      </w:r>
      <w:r>
        <w:rPr>
          <w:b/>
          <w:bCs/>
        </w:rPr>
        <w:t>,</w:t>
      </w:r>
      <w:r>
        <w:t xml:space="preserve"> pp. 159-60.</w:t>
      </w:r>
    </w:p>
  </w:footnote>
  <w:footnote w:id="90">
    <w:p>
      <w:pPr>
        <w:pStyle w:val="para5"/>
      </w:pPr>
      <w:r>
        <w:rPr>
          <w:rStyle w:val="char1"/>
        </w:rPr>
      </w:r>
      <w:r>
        <w:rPr>
          <w:rStyle w:val="char1"/>
        </w:rPr>
        <w:footnoteRef/>
      </w:r>
      <w:r>
        <w:t xml:space="preserve"> Early Modern Letters Online, Bodleian Library, University of Oxford, </w:t>
      </w:r>
      <w:r>
        <w:rPr>
          <w:i/>
          <w:iCs/>
        </w:rPr>
        <w:t>23 Oct 1673: Lilly, William, 1602-1681 to Ashmole, Elias, 1617-1692 (Mr Ashmole's house, Shire Lane, London, England)</w:t>
      </w:r>
      <w:r>
        <w:t xml:space="preserve">, Source of data: Cultures of Knowledge and Helen Watt, based on C. H. Josten edition (Oxford University Press, 1967), 17 May 2017 </w:t>
      </w:r>
      <w:r>
        <w:t>, &lt;http://emlo.bodleian.ox.ac.uk/w/962847&gt;,  [accessed 20</w:t>
      </w:r>
      <w:r>
        <w:rPr>
          <w:vertAlign w:val="superscript"/>
        </w:rPr>
        <w:t>th</w:t>
      </w:r>
      <w:r>
        <w:t xml:space="preserve"> December 2024].</w:t>
      </w:r>
    </w:p>
  </w:footnote>
  <w:footnote w:id="91">
    <w:p>
      <w:pPr>
        <w:pStyle w:val="para5"/>
      </w:pPr>
      <w:r>
        <w:rPr>
          <w:rStyle w:val="char1"/>
        </w:rPr>
      </w:r>
      <w:r>
        <w:rPr>
          <w:rStyle w:val="char1"/>
        </w:rPr>
        <w:footnoteRef/>
      </w:r>
      <w:r>
        <w:t xml:space="preserve"> </w:t>
      </w:r>
      <w:r>
        <w:rPr>
          <w:i/>
          <w:iCs/>
        </w:rPr>
        <w:t xml:space="preserve"> </w:t>
      </w:r>
      <w:r>
        <w:t>Oxford English Dictionary,</w:t>
      </w:r>
      <w:r>
        <w:rPr>
          <w:i/>
          <w:iCs/>
        </w:rPr>
        <w:t xml:space="preserve"> Virtue Signalling</w:t>
      </w:r>
      <w:r>
        <w:t>, &lt;https://www.oed.com/dictionary/virtue-signalling_n&gt;, [accessed 27</w:t>
      </w:r>
      <w:r>
        <w:rPr>
          <w:vertAlign w:val="superscript"/>
        </w:rPr>
        <w:t>th</w:t>
      </w:r>
      <w:r>
        <w:t xml:space="preserve"> December 2024].</w:t>
      </w:r>
    </w:p>
  </w:footnote>
  <w:footnote w:id="92">
    <w:p>
      <w:pPr>
        <w:pStyle w:val="para5"/>
      </w:pPr>
      <w:r>
        <w:rPr>
          <w:rStyle w:val="char1"/>
        </w:rPr>
      </w:r>
      <w:r>
        <w:rPr>
          <w:rStyle w:val="char1"/>
        </w:rPr>
        <w:footnoteRef/>
      </w:r>
      <w:r>
        <w:t xml:space="preserve"> Campion, </w:t>
      </w:r>
      <w:r>
        <w:rPr>
          <w:i/>
          <w:iCs/>
        </w:rPr>
        <w:t>Astrology and Cosmology,</w:t>
      </w:r>
      <w:r>
        <w:t xml:space="preserve"> p. 11.</w:t>
      </w:r>
    </w:p>
  </w:footnote>
  <w:footnote w:id="93">
    <w:p>
      <w:pPr>
        <w:pStyle w:val="para5"/>
      </w:pPr>
      <w:r>
        <w:rPr>
          <w:rStyle w:val="char1"/>
        </w:rPr>
      </w:r>
      <w:r>
        <w:rPr>
          <w:rStyle w:val="char1"/>
        </w:rPr>
        <w:footnoteRef/>
      </w:r>
      <w:r>
        <w:t xml:space="preserve"> Maureen Perkins, Visions of the Future, p. 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tabs defTabSz="708">
        <w:tab w:val="center" w:pos="4819" w:leader="none"/>
        <w:tab w:val="clear" w:pos="9639" w:leader="none"/>
      </w:tabs>
      <w:rPr>
        <w:color w:val="000000"/>
      </w:rPr>
    </w:pPr>
    <w:r>
      <w:tab/>
      <w:t xml:space="preserve">Linda Parkinson-Hardman, </w:t>
    </w:r>
    <w:r>
      <w:rPr>
        <w:color w:val="000000"/>
      </w:rPr>
      <w:t xml:space="preserve">2409122, Page </w:t>
    </w:r>
    <w:r>
      <w:rPr>
        <w:color w:val="000000"/>
      </w:rPr>
    </w:r>
    <w:r>
      <w:rPr>
        <w:color w:val="000000"/>
      </w:rPr>
      <w:fldChar w:fldCharType="begin"/>
      <w:instrText xml:space="preserve"> PAGE </w:instrText>
      <w:fldChar w:fldCharType="separate"/>
      <w:t>1</w:t>
      <w:fldChar w:fldCharType="end"/>
    </w:r>
    <w:r>
      <w:rPr>
        <w:color w:val="000000"/>
      </w:rPr>
      <w:t xml:space="preserve"> of</w:t>
    </w:r>
    <w:r>
      <w:rPr>
        <w:color w:val="000000"/>
      </w:rPr>
      <w:t xml:space="preserve"> 1</w:t>
    </w:r>
    <w:r>
      <w:rPr>
        <w:color w:val="000000"/>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start w:val="1"/>
      <w:numFmt w:val="decimal"/>
      <w:suff w:val="tab"/>
      <w:lvlText w:val="%1."/>
      <w:lvlJc w:val="left"/>
      <w:pPr>
        <w:ind w:left="0" w:hanging="0"/>
      </w:pPr>
    </w:lvl>
  </w:abstractNum>
  <w:abstractNum w:abstractNumId="2">
    <w:multiLevelType w:val="singleLevel"/>
    <w:name w:val="Bullet 2"/>
    <w:lvl w:ilvl="0">
      <w:start w:val="1"/>
      <w:numFmt w:val="decimal"/>
      <w:suff w:val="tab"/>
      <w:lvlText w:val="%1."/>
      <w:lvlJc w:val="left"/>
      <w:pPr>
        <w:ind w:left="0" w:hanging="0"/>
      </w:pPr>
    </w:lvl>
  </w:abstractNum>
  <w:abstractNum w:abstractNumId="3">
    <w:multiLevelType w:val="singleLevel"/>
    <w:name w:val="Bullet 3"/>
    <w:lvl w:ilvl="0">
      <w:numFmt w:val="bullet"/>
      <w:suff w:val="tab"/>
      <w:lvlText w:val=""/>
      <w:lvlJc w:val="left"/>
      <w:pPr>
        <w:ind w:left="0" w:hanging="0"/>
      </w:pPr>
      <w:rPr>
        <w:rFonts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0"/>
  <w:doNotShadeFormData w:val="1"/>
  <w:captions>
    <w:caption w:name="Table" w:pos="below" w:numFmt="decimal"/>
    <w:caption w:name="Figure" w:pos="below" w:numFmt="decimal"/>
    <w:caption w:name="Picture"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2049"/>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23"/>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6"/>
    <w:tmLastPosCaret>
      <w:tmLastPosPgfIdx w:val="0"/>
      <w:tmLastPosIdx w:val="87"/>
    </w:tmLastPosCaret>
    <w:tmLastPosAnchor>
      <w:tmLastPosPgfIdx w:val="0"/>
      <w:tmLastPosIdx w:val="0"/>
    </w:tmLastPosAnchor>
    <w:tmLastPosTblRect w:left="0" w:top="0" w:right="0" w:bottom="0"/>
  </w:tmLastPos>
  <w:tmAppRevision w:date="1735566425" w:val="1222"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en-gb" w:eastAsia="zh-cn" w:bidi="ar-sa"/>
      </w:rPr>
    </w:rPrDefault>
    <w:pPrDefault>
      <w:pPr>
        <w:ind w:firstLine="283"/>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libri" w:cs="Calibri"/>
      <w:sz w:val="22"/>
      <w:szCs w:val="22"/>
      <w:lang w:eastAsia="en-gb" w:bidi="en-gb"/>
    </w:rPr>
    <w:key w:val="1072"/>
  </w:style>
  <w:style w:type="paragraph" w:styleId="para1">
    <w:name w:val="heading 1"/>
    <w:qFormat/>
    <w:basedOn w:val="para0"/>
    <w:next w:val="para0"/>
    <w:pPr>
      <w:ind w:firstLine="0"/>
      <w:spacing w:before="280" w:after="240" w:beforeAutospacing="1"/>
      <w:keepNext/>
      <w:outlineLvl w:val="0"/>
      <w:keepLines/>
    </w:pPr>
    <w:rPr>
      <w:rFonts w:ascii="Cambria" w:hAnsi="Cambria" w:eastAsia="Cambria" w:cs="Cambria"/>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rmal (Web)"/>
    <w:qFormat/>
    <w:basedOn w:val="para0"/>
    <w:pPr>
      <w:spacing w:before="100" w:after="100" w:beforeAutospacing="1" w:afterAutospacing="1"/>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Georgia" w:hAnsi="Georgia" w:eastAsia="SimSun" w:cs="Georgia"/>
      <w:color w:val="000000"/>
      <w:sz w:val="21"/>
      <w:szCs w:val="21"/>
    </w:rPr>
  </w:style>
  <w:style w:type="paragraph" w:styleId="para5">
    <w:name w:val="Footnote Text"/>
    <w:qFormat/>
    <w:basedOn w:val="para0"/>
    <w:pPr>
      <w:ind w:firstLine="0"/>
    </w:pPr>
    <w:rPr>
      <w:sz w:val="20"/>
      <w:szCs w:val="20"/>
    </w:rPr>
  </w:style>
  <w:style w:type="paragraph" w:styleId="para6">
    <w:name w:val="Header"/>
    <w:qFormat/>
    <w:basedOn w:val="para0"/>
    <w:pPr>
      <w:tabs defTabSz="708">
        <w:tab w:val="center" w:pos="4819" w:leader="none"/>
        <w:tab w:val="right" w:pos="9639" w:leader="none"/>
      </w:tabs>
    </w:pPr>
  </w:style>
  <w:style w:type="paragraph" w:styleId="para7" w:customStyle="1">
    <w:name w:val="Quotation"/>
    <w:qFormat/>
    <w:basedOn w:val="para0"/>
    <w:pPr>
      <w:ind w:left="283" w:right="283" w:firstLine="0"/>
      <w:spacing w:before="120" w:after="120" w:line="276" w:lineRule="auto"/>
      <w:contextualSpacing/>
    </w:pPr>
  </w:style>
  <w:style w:type="paragraph" w:styleId="para8">
    <w:name w:val="Bibliography"/>
    <w:qFormat/>
    <w:basedOn w:val="para0"/>
    <w:next w:val="para0"/>
    <w:pPr>
      <w:ind w:hanging="283"/>
      <w:spacing w:before="120" w:after="120" w:line="276" w:lineRule="auto"/>
      <w:outlineLvl w:val="0"/>
    </w:pPr>
  </w:style>
  <w:style w:type="paragraph" w:styleId="para9">
    <w:name w:val="index 1"/>
    <w:qFormat/>
    <w:basedOn w:val="para0"/>
    <w:pPr>
      <w:ind w:left="180" w:hanging="180"/>
      <w:spacing w:before="60" w:after="60" w:line="276" w:lineRule="auto"/>
      <w:keepLines/>
    </w:pPr>
  </w:style>
  <w:style w:type="character" w:styleId="char0" w:default="1">
    <w:name w:val="Default Paragraph Font"/>
  </w:style>
  <w:style w:type="character" w:styleId="char1">
    <w:name w:val="Footnote Reference"/>
    <w:rPr>
      <w:vertAlign w:val="superscript"/>
    </w:rPr>
  </w:style>
  <w:style w:type="character" w:styleId="char2">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en-gb" w:eastAsia="zh-cn" w:bidi="ar-sa"/>
      </w:rPr>
    </w:rPrDefault>
    <w:pPrDefault>
      <w:pPr>
        <w:ind w:firstLine="283"/>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libri" w:cs="Calibri"/>
      <w:sz w:val="22"/>
      <w:szCs w:val="22"/>
      <w:lang w:eastAsia="en-gb" w:bidi="en-gb"/>
    </w:rPr>
    <w:key w:val="1072"/>
  </w:style>
  <w:style w:type="paragraph" w:styleId="para1">
    <w:name w:val="heading 1"/>
    <w:qFormat/>
    <w:basedOn w:val="para0"/>
    <w:next w:val="para0"/>
    <w:pPr>
      <w:ind w:firstLine="0"/>
      <w:spacing w:before="280" w:after="240" w:beforeAutospacing="1"/>
      <w:keepNext/>
      <w:outlineLvl w:val="0"/>
      <w:keepLines/>
    </w:pPr>
    <w:rPr>
      <w:rFonts w:ascii="Cambria" w:hAnsi="Cambria" w:eastAsia="Cambria" w:cs="Cambria"/>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paragraph" w:styleId="para4">
    <w:name w:val="Normal (Web)"/>
    <w:qFormat/>
    <w:basedOn w:val="para0"/>
    <w:pPr>
      <w:spacing w:before="100" w:after="100" w:beforeAutospacing="1" w:afterAutospacing="1"/>
      <w:jc w:val="left"/>
      <w:widowControl/>
      <w:tabs defTabSz="7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Georgia" w:hAnsi="Georgia" w:eastAsia="SimSun" w:cs="Georgia"/>
      <w:color w:val="000000"/>
      <w:sz w:val="21"/>
      <w:szCs w:val="21"/>
    </w:rPr>
  </w:style>
  <w:style w:type="paragraph" w:styleId="para5">
    <w:name w:val="Footnote Text"/>
    <w:qFormat/>
    <w:basedOn w:val="para0"/>
    <w:pPr>
      <w:ind w:firstLine="0"/>
    </w:pPr>
    <w:rPr>
      <w:sz w:val="20"/>
      <w:szCs w:val="20"/>
    </w:rPr>
  </w:style>
  <w:style w:type="paragraph" w:styleId="para6">
    <w:name w:val="Header"/>
    <w:qFormat/>
    <w:basedOn w:val="para0"/>
    <w:pPr>
      <w:tabs defTabSz="708">
        <w:tab w:val="center" w:pos="4819" w:leader="none"/>
        <w:tab w:val="right" w:pos="9639" w:leader="none"/>
      </w:tabs>
    </w:pPr>
  </w:style>
  <w:style w:type="paragraph" w:styleId="para7" w:customStyle="1">
    <w:name w:val="Quotation"/>
    <w:qFormat/>
    <w:basedOn w:val="para0"/>
    <w:pPr>
      <w:ind w:left="283" w:right="283" w:firstLine="0"/>
      <w:spacing w:before="120" w:after="120" w:line="276" w:lineRule="auto"/>
      <w:contextualSpacing/>
    </w:pPr>
  </w:style>
  <w:style w:type="paragraph" w:styleId="para8">
    <w:name w:val="Bibliography"/>
    <w:qFormat/>
    <w:basedOn w:val="para0"/>
    <w:next w:val="para0"/>
    <w:pPr>
      <w:ind w:hanging="283"/>
      <w:spacing w:before="120" w:after="120" w:line="276" w:lineRule="auto"/>
      <w:outlineLvl w:val="0"/>
    </w:pPr>
  </w:style>
  <w:style w:type="paragraph" w:styleId="para9">
    <w:name w:val="index 1"/>
    <w:qFormat/>
    <w:basedOn w:val="para0"/>
    <w:pPr>
      <w:ind w:left="180" w:hanging="180"/>
      <w:spacing w:before="60" w:after="60" w:line="276" w:lineRule="auto"/>
      <w:keepLines/>
    </w:pPr>
  </w:style>
  <w:style w:type="character" w:styleId="char0" w:default="1">
    <w:name w:val="Default Paragraph Font"/>
  </w:style>
  <w:style w:type="character" w:styleId="char1">
    <w:name w:val="Footnote Reference"/>
    <w:rPr>
      <w:vertAlign w:val="superscript"/>
    </w:rPr>
  </w:style>
  <w:style w:type="character" w:styleId="char2">
    <w:name w:val="Hyperlink"/>
    <w:rPr>
      <w:color w:val="0000ff"/>
      <w:u w:color="auto" w:val="single"/>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jpeg"/><Relationship Id="rId9" Type="http://schemas.openxmlformats.org/officeDocument/2006/relationships/footnotes" Target="footnotes.xml"/><Relationship Id="rId10" Type="http://schemas.openxmlformats.org/officeDocument/2006/relationships/image" Target="media/image2.png"/><Relationship Id="rId1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ambria"/>
        <a:cs typeface="Cambria"/>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2024 rev.1222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Linda</cp:lastModifiedBy>
  <cp:revision>23</cp:revision>
  <cp:lastPrinted>2024-10-14T10:27:22Z</cp:lastPrinted>
  <dcterms:created xsi:type="dcterms:W3CDTF">2024-10-02T14:09:39Z</dcterms:created>
  <dcterms:modified xsi:type="dcterms:W3CDTF">2024-12-30T13:47:05Z</dcterms:modified>
</cp:coreProperties>
</file>