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F78B2" w14:textId="292C3C6E" w:rsidR="00AA7FF6" w:rsidRDefault="51683C3D" w:rsidP="0BDBB948">
      <w:pPr>
        <w:pStyle w:val="Heading1"/>
        <w:spacing w:before="322" w:after="322"/>
        <w:rPr>
          <w:rFonts w:ascii="Aptos" w:eastAsia="Aptos" w:hAnsi="Aptos" w:cs="Aptos"/>
          <w:b/>
          <w:bCs/>
          <w:color w:val="auto"/>
          <w:sz w:val="48"/>
          <w:szCs w:val="48"/>
        </w:rPr>
      </w:pPr>
      <w:r w:rsidRPr="0BDBB948">
        <w:rPr>
          <w:rFonts w:ascii="Aptos" w:eastAsia="Aptos" w:hAnsi="Aptos" w:cs="Aptos"/>
          <w:b/>
          <w:bCs/>
          <w:color w:val="auto"/>
          <w:sz w:val="48"/>
          <w:szCs w:val="48"/>
        </w:rPr>
        <w:t>Essential Skills for Study and Employment in Cyber Security</w:t>
      </w:r>
    </w:p>
    <w:p w14:paraId="22D13558" w14:textId="24163C4F" w:rsidR="00AA7FF6" w:rsidRDefault="51683C3D" w:rsidP="0BDBB948">
      <w:pPr>
        <w:pStyle w:val="Heading2"/>
        <w:spacing w:before="299" w:after="299"/>
        <w:rPr>
          <w:rFonts w:ascii="Aptos" w:eastAsia="Aptos" w:hAnsi="Aptos" w:cs="Aptos"/>
          <w:b/>
          <w:bCs/>
          <w:color w:val="auto"/>
          <w:sz w:val="36"/>
          <w:szCs w:val="36"/>
        </w:rPr>
      </w:pPr>
      <w:r w:rsidRPr="0BDBB948">
        <w:rPr>
          <w:rFonts w:ascii="Aptos" w:eastAsia="Aptos" w:hAnsi="Aptos" w:cs="Aptos"/>
          <w:b/>
          <w:bCs/>
          <w:color w:val="auto"/>
          <w:sz w:val="36"/>
          <w:szCs w:val="36"/>
        </w:rPr>
        <w:t>Introduction</w:t>
      </w:r>
    </w:p>
    <w:p w14:paraId="5671FE04" w14:textId="3371AE92" w:rsidR="00AA7FF6" w:rsidRDefault="51683C3D" w:rsidP="0BDBB948">
      <w:pPr>
        <w:spacing w:before="240" w:after="240"/>
        <w:rPr>
          <w:rFonts w:ascii="Aptos" w:eastAsia="Aptos" w:hAnsi="Aptos" w:cs="Aptos"/>
        </w:rPr>
      </w:pPr>
      <w:r w:rsidRPr="0BDBB948">
        <w:rPr>
          <w:rFonts w:ascii="Aptos" w:eastAsia="Aptos" w:hAnsi="Aptos" w:cs="Aptos"/>
        </w:rPr>
        <w:t>Success in Cyber Security requires both technical expertise and transferable employability skills. While knowledge of networking, cryptography, and risk management is essential, employers increasingly prioritise communication, problem-solving, teamwork, digital literacy, and adaptability [1], [5].</w:t>
      </w:r>
    </w:p>
    <w:p w14:paraId="7DB1CC28" w14:textId="28E1FB52" w:rsidR="00AA7FF6" w:rsidRDefault="51683C3D" w:rsidP="0BDBB948">
      <w:pPr>
        <w:pStyle w:val="Heading2"/>
        <w:spacing w:before="299" w:after="299"/>
        <w:rPr>
          <w:rFonts w:ascii="Aptos" w:eastAsia="Aptos" w:hAnsi="Aptos" w:cs="Aptos"/>
          <w:b/>
          <w:bCs/>
          <w:color w:val="auto"/>
          <w:sz w:val="36"/>
          <w:szCs w:val="36"/>
        </w:rPr>
      </w:pPr>
      <w:r w:rsidRPr="0BDBB948">
        <w:rPr>
          <w:rFonts w:ascii="Aptos" w:eastAsia="Aptos" w:hAnsi="Aptos" w:cs="Aptos"/>
          <w:b/>
          <w:bCs/>
          <w:color w:val="auto"/>
          <w:sz w:val="36"/>
          <w:szCs w:val="36"/>
        </w:rPr>
        <w:t>Core Employability Skills in Cyber Security</w:t>
      </w:r>
    </w:p>
    <w:p w14:paraId="50299D31" w14:textId="1943D985" w:rsidR="00AA7FF6" w:rsidRDefault="51683C3D" w:rsidP="0BDBB948">
      <w:pPr>
        <w:pStyle w:val="Heading3"/>
        <w:spacing w:before="281" w:after="281"/>
        <w:rPr>
          <w:rFonts w:ascii="Aptos" w:eastAsia="Aptos" w:hAnsi="Aptos" w:cs="Aptos"/>
          <w:b/>
          <w:bCs/>
          <w:color w:val="auto"/>
        </w:rPr>
      </w:pPr>
      <w:r w:rsidRPr="0BDBB948">
        <w:rPr>
          <w:rFonts w:ascii="Aptos" w:eastAsia="Aptos" w:hAnsi="Aptos" w:cs="Aptos"/>
          <w:b/>
          <w:bCs/>
          <w:color w:val="auto"/>
        </w:rPr>
        <w:t>1. Analytical and Critical Thinking</w:t>
      </w:r>
    </w:p>
    <w:p w14:paraId="30C6B281" w14:textId="3C244DEE" w:rsidR="00AA7FF6" w:rsidRDefault="0A8150AD" w:rsidP="0BDBB948">
      <w:pPr>
        <w:spacing w:before="240" w:after="240"/>
        <w:rPr>
          <w:rFonts w:ascii="Aptos" w:eastAsia="Aptos" w:hAnsi="Aptos" w:cs="Aptos"/>
        </w:rPr>
      </w:pPr>
      <w:r w:rsidRPr="7CC3EE2D">
        <w:rPr>
          <w:rFonts w:ascii="Aptos" w:eastAsia="Aptos" w:hAnsi="Aptos" w:cs="Aptos"/>
        </w:rPr>
        <w:t xml:space="preserve">Cyber Security professionals must </w:t>
      </w:r>
      <w:bookmarkStart w:id="0" w:name="_Int_Jzd6t1q2"/>
      <w:r w:rsidRPr="7CC3EE2D">
        <w:rPr>
          <w:rFonts w:ascii="Aptos" w:eastAsia="Aptos" w:hAnsi="Aptos" w:cs="Aptos"/>
        </w:rPr>
        <w:t>identify</w:t>
      </w:r>
      <w:bookmarkEnd w:id="0"/>
      <w:r w:rsidRPr="7CC3EE2D">
        <w:rPr>
          <w:rFonts w:ascii="Aptos" w:eastAsia="Aptos" w:hAnsi="Aptos" w:cs="Aptos"/>
        </w:rPr>
        <w:t xml:space="preserve"> vulnerabilities, assess risks, and respond effectively to threats</w:t>
      </w:r>
      <w:r w:rsidR="0898E31A" w:rsidRPr="7CC3EE2D">
        <w:rPr>
          <w:rFonts w:ascii="Aptos" w:eastAsia="Aptos" w:hAnsi="Aptos" w:cs="Aptos"/>
        </w:rPr>
        <w:t xml:space="preserve">, as shown in Figure 1. </w:t>
      </w:r>
      <w:r w:rsidRPr="7CC3EE2D">
        <w:rPr>
          <w:rFonts w:ascii="Aptos" w:eastAsia="Aptos" w:hAnsi="Aptos" w:cs="Aptos"/>
        </w:rPr>
        <w:t>Analytical thinking supports tasks such as penetration testing, threat modelling, and incident response. Research highlights problem-solving and technological competence as key future workplace skills [3]. These abilities also strengthen academic performance by improving research, lab analysis, and structured investigation.</w:t>
      </w:r>
    </w:p>
    <w:p w14:paraId="0B1571D6" w14:textId="684561D8" w:rsidR="00AA7FF6" w:rsidRDefault="0A8150AD" w:rsidP="7CC3EE2D">
      <w:pPr>
        <w:spacing w:before="240" w:after="240"/>
      </w:pPr>
      <w:r w:rsidRPr="7CC3EE2D">
        <w:rPr>
          <w:rFonts w:ascii="Aptos" w:eastAsia="Aptos" w:hAnsi="Aptos" w:cs="Aptos"/>
          <w:b/>
          <w:bCs/>
        </w:rPr>
        <w:t>Figure 1. Core Analytical Skills in Cyber Security</w:t>
      </w:r>
      <w:r w:rsidR="007E0BE4">
        <w:br/>
      </w:r>
    </w:p>
    <w:p w14:paraId="08E3775A" w14:textId="3879EB7F" w:rsidR="00AA7FF6" w:rsidRDefault="169363FC" w:rsidP="7CC3EE2D">
      <w:r>
        <w:rPr>
          <w:noProof/>
        </w:rPr>
        <w:drawing>
          <wp:inline distT="0" distB="0" distL="0" distR="0" wp14:anchorId="168FCAED" wp14:editId="11C32E72">
            <wp:extent cx="6305550" cy="686527"/>
            <wp:effectExtent l="0" t="0" r="0" b="0"/>
            <wp:docPr id="1481599636" name="drawing">
              <a:extLst xmlns:a="http://schemas.openxmlformats.org/drawingml/2006/main">
                <a:ext uri="{FF2B5EF4-FFF2-40B4-BE49-F238E27FC236}">
                  <a16:creationId xmlns:a16="http://schemas.microsoft.com/office/drawing/2014/main" id="{143EAE12-BD71-46DB-8BFE-D931959AED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469858" name="Picture 457469858"/>
                    <pic:cNvPicPr/>
                  </pic:nvPicPr>
                  <pic:blipFill>
                    <a:blip r:embed="rId5">
                      <a:extLst>
                        <a:ext uri="{28A0092B-C50C-407E-A947-70E740481C1C}">
                          <a14:useLocalDpi xmlns:a14="http://schemas.microsoft.com/office/drawing/2010/main"/>
                        </a:ext>
                      </a:extLst>
                    </a:blip>
                    <a:stretch>
                      <a:fillRect/>
                    </a:stretch>
                  </pic:blipFill>
                  <pic:spPr>
                    <a:xfrm>
                      <a:off x="0" y="0"/>
                      <a:ext cx="6305550" cy="686527"/>
                    </a:xfrm>
                    <a:prstGeom prst="rect">
                      <a:avLst/>
                    </a:prstGeom>
                  </pic:spPr>
                </pic:pic>
              </a:graphicData>
            </a:graphic>
          </wp:inline>
        </w:drawing>
      </w:r>
    </w:p>
    <w:p w14:paraId="0144278F" w14:textId="6F9BD3CB" w:rsidR="00AA7FF6" w:rsidRDefault="51683C3D" w:rsidP="0BDBB948">
      <w:pPr>
        <w:pStyle w:val="Heading3"/>
        <w:spacing w:before="281" w:after="281"/>
        <w:rPr>
          <w:rFonts w:ascii="Aptos" w:eastAsia="Aptos" w:hAnsi="Aptos" w:cs="Aptos"/>
          <w:b/>
          <w:bCs/>
          <w:color w:val="auto"/>
        </w:rPr>
      </w:pPr>
      <w:r w:rsidRPr="0BDBB948">
        <w:rPr>
          <w:rFonts w:ascii="Aptos" w:eastAsia="Aptos" w:hAnsi="Aptos" w:cs="Aptos"/>
          <w:b/>
          <w:bCs/>
          <w:color w:val="auto"/>
        </w:rPr>
        <w:t>2. Communication and Teamwork</w:t>
      </w:r>
    </w:p>
    <w:p w14:paraId="224E7AE9" w14:textId="4E4C4D0C" w:rsidR="00AA7FF6" w:rsidRDefault="0A8150AD" w:rsidP="0BDBB948">
      <w:pPr>
        <w:spacing w:before="240" w:after="240"/>
        <w:rPr>
          <w:rFonts w:ascii="Aptos" w:eastAsia="Aptos" w:hAnsi="Aptos" w:cs="Aptos"/>
        </w:rPr>
      </w:pPr>
      <w:r w:rsidRPr="7CC3EE2D">
        <w:rPr>
          <w:rFonts w:ascii="Aptos" w:eastAsia="Aptos" w:hAnsi="Aptos" w:cs="Aptos"/>
        </w:rPr>
        <w:t xml:space="preserve">Cyber professionals </w:t>
      </w:r>
      <w:r w:rsidR="002B4C47" w:rsidRPr="7CC3EE2D">
        <w:rPr>
          <w:rFonts w:ascii="Aptos" w:eastAsia="Aptos" w:hAnsi="Aptos" w:cs="Aptos"/>
        </w:rPr>
        <w:t>often</w:t>
      </w:r>
      <w:r w:rsidRPr="7CC3EE2D">
        <w:rPr>
          <w:rFonts w:ascii="Aptos" w:eastAsia="Aptos" w:hAnsi="Aptos" w:cs="Aptos"/>
        </w:rPr>
        <w:t xml:space="preserve"> explain technical risks to non-technical stakeholders, write incident reports, and collaborate with IT and management teams</w:t>
      </w:r>
      <w:r w:rsidR="6E89C62A" w:rsidRPr="7CC3EE2D">
        <w:rPr>
          <w:rFonts w:ascii="Aptos" w:eastAsia="Aptos" w:hAnsi="Aptos" w:cs="Aptos"/>
        </w:rPr>
        <w:t>, see Figure 2 for details.</w:t>
      </w:r>
      <w:r w:rsidRPr="7CC3EE2D">
        <w:rPr>
          <w:rFonts w:ascii="Aptos" w:eastAsia="Aptos" w:hAnsi="Aptos" w:cs="Aptos"/>
        </w:rPr>
        <w:t xml:space="preserve"> Effective communication and self-management significantly enhance both academic and professional success [2].</w:t>
      </w:r>
    </w:p>
    <w:p w14:paraId="1F271EA1" w14:textId="09AB5031" w:rsidR="00AA7FF6" w:rsidRDefault="0A8150AD" w:rsidP="7CC3EE2D">
      <w:pPr>
        <w:spacing w:after="0"/>
        <w:rPr>
          <w:rFonts w:ascii="Aptos" w:eastAsia="Aptos" w:hAnsi="Aptos" w:cs="Aptos"/>
          <w:b/>
          <w:bCs/>
        </w:rPr>
      </w:pPr>
      <w:r w:rsidRPr="7CC3EE2D">
        <w:rPr>
          <w:rFonts w:ascii="Aptos" w:eastAsia="Aptos" w:hAnsi="Aptos" w:cs="Aptos"/>
          <w:b/>
          <w:bCs/>
        </w:rPr>
        <w:t>Figure 2. Communication Flow in Cyber Security Roles</w:t>
      </w:r>
      <w:r w:rsidR="007E0BE4">
        <w:br/>
      </w:r>
    </w:p>
    <w:p w14:paraId="599045C9" w14:textId="0D1239BC" w:rsidR="00AA7FF6" w:rsidRDefault="13700EE9" w:rsidP="7CC3EE2D">
      <w:pPr>
        <w:spacing w:after="0"/>
      </w:pPr>
      <w:r>
        <w:rPr>
          <w:noProof/>
        </w:rPr>
        <w:drawing>
          <wp:inline distT="0" distB="0" distL="0" distR="0" wp14:anchorId="2843EADD" wp14:editId="4658E6D3">
            <wp:extent cx="5724525" cy="1704975"/>
            <wp:effectExtent l="0" t="0" r="0" b="0"/>
            <wp:docPr id="1667246251" name="drawing">
              <a:extLst xmlns:a="http://schemas.openxmlformats.org/drawingml/2006/main">
                <a:ext uri="{FF2B5EF4-FFF2-40B4-BE49-F238E27FC236}">
                  <a16:creationId xmlns:a16="http://schemas.microsoft.com/office/drawing/2014/main" id="{562A6E5C-6643-4ABE-95A7-24133D659B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246251" name="Picture 1667246251"/>
                    <pic:cNvPicPr/>
                  </pic:nvPicPr>
                  <pic:blipFill>
                    <a:blip r:embed="rId6">
                      <a:extLst>
                        <a:ext uri="{28A0092B-C50C-407E-A947-70E740481C1C}">
                          <a14:useLocalDpi xmlns:a14="http://schemas.microsoft.com/office/drawing/2010/main"/>
                        </a:ext>
                      </a:extLst>
                    </a:blip>
                    <a:stretch>
                      <a:fillRect/>
                    </a:stretch>
                  </pic:blipFill>
                  <pic:spPr>
                    <a:xfrm>
                      <a:off x="0" y="0"/>
                      <a:ext cx="5724525" cy="1704975"/>
                    </a:xfrm>
                    <a:prstGeom prst="rect">
                      <a:avLst/>
                    </a:prstGeom>
                  </pic:spPr>
                </pic:pic>
              </a:graphicData>
            </a:graphic>
          </wp:inline>
        </w:drawing>
      </w:r>
    </w:p>
    <w:p w14:paraId="0507FE7F" w14:textId="19458484" w:rsidR="00AA7FF6" w:rsidRDefault="00AA7FF6" w:rsidP="0BDBB948">
      <w:pPr>
        <w:spacing w:before="240" w:after="240"/>
      </w:pPr>
    </w:p>
    <w:p w14:paraId="63E67313" w14:textId="700A0557" w:rsidR="00AA7FF6" w:rsidRDefault="51683C3D" w:rsidP="0BDBB948">
      <w:pPr>
        <w:pStyle w:val="Heading3"/>
        <w:spacing w:before="281" w:after="281"/>
        <w:rPr>
          <w:rFonts w:ascii="Aptos" w:eastAsia="Aptos" w:hAnsi="Aptos" w:cs="Aptos"/>
          <w:b/>
          <w:bCs/>
          <w:color w:val="auto"/>
        </w:rPr>
      </w:pPr>
      <w:r w:rsidRPr="0BDBB948">
        <w:rPr>
          <w:rFonts w:ascii="Aptos" w:eastAsia="Aptos" w:hAnsi="Aptos" w:cs="Aptos"/>
          <w:b/>
          <w:bCs/>
          <w:color w:val="auto"/>
        </w:rPr>
        <w:t>3. Digital Literacy and Adaptability</w:t>
      </w:r>
    </w:p>
    <w:p w14:paraId="4227074A" w14:textId="48BC9A22" w:rsidR="00AA7FF6" w:rsidRDefault="51683C3D" w:rsidP="0BDBB948">
      <w:pPr>
        <w:spacing w:before="240" w:after="240"/>
        <w:rPr>
          <w:rFonts w:ascii="Aptos" w:eastAsia="Aptos" w:hAnsi="Aptos" w:cs="Aptos"/>
        </w:rPr>
      </w:pPr>
      <w:r w:rsidRPr="0BDBB948">
        <w:rPr>
          <w:rFonts w:ascii="Aptos" w:eastAsia="Aptos" w:hAnsi="Aptos" w:cs="Aptos"/>
        </w:rPr>
        <w:t xml:space="preserve">With the rapid development of artificial intelligence, cyber roles are evolving. Studies show that AI increases demand for human judgement, collaboration, and digital competence rather than replacing them [4]. The World Economic Forum </w:t>
      </w:r>
      <w:bookmarkStart w:id="1" w:name="_Int_hZgiIDeq"/>
      <w:r w:rsidRPr="0BDBB948">
        <w:rPr>
          <w:rFonts w:ascii="Aptos" w:eastAsia="Aptos" w:hAnsi="Aptos" w:cs="Aptos"/>
        </w:rPr>
        <w:t>identifies</w:t>
      </w:r>
      <w:bookmarkEnd w:id="1"/>
      <w:r w:rsidRPr="0BDBB948">
        <w:rPr>
          <w:rFonts w:ascii="Aptos" w:eastAsia="Aptos" w:hAnsi="Aptos" w:cs="Aptos"/>
        </w:rPr>
        <w:t xml:space="preserve"> analytical thinking, resilience, and flexibility as critical future skills [5].</w:t>
      </w:r>
    </w:p>
    <w:p w14:paraId="42A1CF68" w14:textId="2FBB6071" w:rsidR="00AA7FF6" w:rsidRDefault="0A8150AD" w:rsidP="7CC3EE2D">
      <w:pPr>
        <w:spacing w:after="0"/>
        <w:rPr>
          <w:rFonts w:ascii="Aptos" w:eastAsia="Aptos" w:hAnsi="Aptos" w:cs="Aptos"/>
          <w:b/>
          <w:bCs/>
        </w:rPr>
      </w:pPr>
      <w:r w:rsidRPr="7CC3EE2D">
        <w:rPr>
          <w:rFonts w:ascii="Aptos" w:eastAsia="Aptos" w:hAnsi="Aptos" w:cs="Aptos"/>
          <w:b/>
          <w:bCs/>
        </w:rPr>
        <w:t>Figure 3. Future Skills for Cyber Security Professionals</w:t>
      </w:r>
      <w:r w:rsidR="007E0BE4">
        <w:br/>
      </w:r>
    </w:p>
    <w:p w14:paraId="4C2ABB63" w14:textId="527394BD" w:rsidR="00AA7FF6" w:rsidRDefault="4A54A57B" w:rsidP="7CC3EE2D">
      <w:pPr>
        <w:spacing w:after="0"/>
      </w:pPr>
      <w:r>
        <w:rPr>
          <w:noProof/>
        </w:rPr>
        <w:drawing>
          <wp:inline distT="0" distB="0" distL="0" distR="0" wp14:anchorId="3E72359A" wp14:editId="45097C21">
            <wp:extent cx="5724525" cy="2333625"/>
            <wp:effectExtent l="0" t="0" r="0" b="0"/>
            <wp:docPr id="1100164816" name="drawing">
              <a:extLst xmlns:a="http://schemas.openxmlformats.org/drawingml/2006/main">
                <a:ext uri="{FF2B5EF4-FFF2-40B4-BE49-F238E27FC236}">
                  <a16:creationId xmlns:a16="http://schemas.microsoft.com/office/drawing/2014/main" id="{FAC1BFC7-00AC-46B1-98CB-2D5DF38D7C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164816" name="Picture 1100164816"/>
                    <pic:cNvPicPr/>
                  </pic:nvPicPr>
                  <pic:blipFill>
                    <a:blip r:embed="rId7">
                      <a:extLst>
                        <a:ext uri="{28A0092B-C50C-407E-A947-70E740481C1C}">
                          <a14:useLocalDpi xmlns:a14="http://schemas.microsoft.com/office/drawing/2010/main"/>
                        </a:ext>
                      </a:extLst>
                    </a:blip>
                    <a:stretch>
                      <a:fillRect/>
                    </a:stretch>
                  </pic:blipFill>
                  <pic:spPr>
                    <a:xfrm>
                      <a:off x="0" y="0"/>
                      <a:ext cx="5724525" cy="2333625"/>
                    </a:xfrm>
                    <a:prstGeom prst="rect">
                      <a:avLst/>
                    </a:prstGeom>
                  </pic:spPr>
                </pic:pic>
              </a:graphicData>
            </a:graphic>
          </wp:inline>
        </w:drawing>
      </w:r>
    </w:p>
    <w:p w14:paraId="1D5518CF" w14:textId="3F4523B8" w:rsidR="00AA7FF6" w:rsidRDefault="00AA7FF6" w:rsidP="0BDBB948">
      <w:pPr>
        <w:spacing w:before="240" w:after="240"/>
      </w:pPr>
    </w:p>
    <w:p w14:paraId="67D7D26C" w14:textId="3D3F7765" w:rsidR="00AA7FF6" w:rsidRDefault="51683C3D" w:rsidP="0BDBB948">
      <w:pPr>
        <w:pStyle w:val="Heading2"/>
        <w:spacing w:before="299" w:after="299"/>
        <w:rPr>
          <w:rFonts w:ascii="Aptos" w:eastAsia="Aptos" w:hAnsi="Aptos" w:cs="Aptos"/>
          <w:b/>
          <w:bCs/>
          <w:color w:val="auto"/>
          <w:sz w:val="36"/>
          <w:szCs w:val="36"/>
        </w:rPr>
      </w:pPr>
      <w:r w:rsidRPr="0BDBB948">
        <w:rPr>
          <w:rFonts w:ascii="Aptos" w:eastAsia="Aptos" w:hAnsi="Aptos" w:cs="Aptos"/>
          <w:b/>
          <w:bCs/>
          <w:color w:val="auto"/>
          <w:sz w:val="36"/>
          <w:szCs w:val="36"/>
        </w:rPr>
        <w:t>Conclusion</w:t>
      </w:r>
    </w:p>
    <w:p w14:paraId="1423D98B" w14:textId="6688E139" w:rsidR="00AA7FF6" w:rsidRDefault="0A8150AD" w:rsidP="0BDBB948">
      <w:pPr>
        <w:spacing w:before="240" w:after="240"/>
        <w:rPr>
          <w:rFonts w:ascii="Aptos" w:eastAsia="Aptos" w:hAnsi="Aptos" w:cs="Aptos"/>
        </w:rPr>
      </w:pPr>
      <w:r w:rsidRPr="7CC3EE2D">
        <w:rPr>
          <w:rFonts w:ascii="Aptos" w:eastAsia="Aptos" w:hAnsi="Aptos" w:cs="Aptos"/>
        </w:rPr>
        <w:t xml:space="preserve">Developing these essential skills during university strengthens readiness for roles such as Security Analyst, Penetration Tester, or Cyber Security Consultant. By combining technical knowledge with communication, critical thinking, and adaptability, graduates become resilient professionals capable of responding </w:t>
      </w:r>
      <w:r w:rsidR="60BE6249" w:rsidRPr="7CC3EE2D">
        <w:rPr>
          <w:rFonts w:ascii="Aptos" w:eastAsia="Aptos" w:hAnsi="Aptos" w:cs="Aptos"/>
        </w:rPr>
        <w:t>to] emerging</w:t>
      </w:r>
      <w:r w:rsidRPr="7CC3EE2D">
        <w:rPr>
          <w:rFonts w:ascii="Aptos" w:eastAsia="Aptos" w:hAnsi="Aptos" w:cs="Aptos"/>
        </w:rPr>
        <w:t xml:space="preserve"> cyber threats and sustaining long-term career growth.</w:t>
      </w:r>
    </w:p>
    <w:p w14:paraId="40BB7BCF" w14:textId="034DD260" w:rsidR="00AA7FF6" w:rsidRDefault="0A8150AD" w:rsidP="0BDBB948">
      <w:pPr>
        <w:pStyle w:val="Heading1"/>
        <w:spacing w:before="322" w:after="322"/>
        <w:rPr>
          <w:rFonts w:ascii="Aptos" w:eastAsia="Aptos" w:hAnsi="Aptos" w:cs="Aptos"/>
          <w:b/>
          <w:bCs/>
          <w:color w:val="auto"/>
          <w:sz w:val="48"/>
          <w:szCs w:val="48"/>
        </w:rPr>
      </w:pPr>
      <w:r w:rsidRPr="7CC3EE2D">
        <w:rPr>
          <w:rFonts w:ascii="Aptos" w:eastAsia="Aptos" w:hAnsi="Aptos" w:cs="Aptos"/>
          <w:b/>
          <w:bCs/>
          <w:color w:val="auto"/>
          <w:sz w:val="48"/>
          <w:szCs w:val="48"/>
        </w:rPr>
        <w:t>References (IEEE)</w:t>
      </w:r>
    </w:p>
    <w:p w14:paraId="7746A090" w14:textId="77F9AAB4" w:rsidR="00AA7FF6" w:rsidRDefault="51683C3D" w:rsidP="0BDBB948">
      <w:pPr>
        <w:spacing w:before="240" w:after="240"/>
      </w:pPr>
      <w:r w:rsidRPr="0BDBB948">
        <w:rPr>
          <w:rFonts w:ascii="Aptos" w:eastAsia="Aptos" w:hAnsi="Aptos" w:cs="Aptos"/>
        </w:rPr>
        <w:t xml:space="preserve">[1] Cambridge English, “Developing employability skills in higher education and at work,” 2018. [Online]. </w:t>
      </w:r>
    </w:p>
    <w:p w14:paraId="08CA36A2" w14:textId="2DF045EB" w:rsidR="00AA7FF6" w:rsidRDefault="51683C3D" w:rsidP="0BDBB948">
      <w:pPr>
        <w:spacing w:before="240" w:after="240"/>
      </w:pPr>
      <w:hyperlink r:id="rId8">
        <w:r w:rsidRPr="0BDBB948">
          <w:rPr>
            <w:rStyle w:val="Hyperlink"/>
            <w:rFonts w:ascii="Aptos" w:eastAsia="Aptos" w:hAnsi="Aptos" w:cs="Aptos"/>
            <w:color w:val="auto"/>
          </w:rPr>
          <w:t>https://www.cambridgeenglish.org/blog/developing-employability-skills-in-higher-education-and-at-work/</w:t>
        </w:r>
      </w:hyperlink>
    </w:p>
    <w:p w14:paraId="474C5D69" w14:textId="2E59BD54" w:rsidR="00AA7FF6" w:rsidRDefault="51683C3D" w:rsidP="0BDBB948">
      <w:pPr>
        <w:spacing w:before="240" w:after="240"/>
        <w:rPr>
          <w:rFonts w:ascii="Aptos" w:eastAsia="Aptos" w:hAnsi="Aptos" w:cs="Aptos"/>
        </w:rPr>
      </w:pPr>
      <w:r w:rsidRPr="0BDBB948">
        <w:rPr>
          <w:rFonts w:ascii="Aptos" w:eastAsia="Aptos" w:hAnsi="Aptos" w:cs="Aptos"/>
        </w:rPr>
        <w:t xml:space="preserve">[2] S. Cottrell, </w:t>
      </w:r>
      <w:r w:rsidRPr="0BDBB948">
        <w:rPr>
          <w:rFonts w:ascii="Aptos" w:eastAsia="Aptos" w:hAnsi="Aptos" w:cs="Aptos"/>
          <w:i/>
          <w:iCs/>
        </w:rPr>
        <w:t>The Study Skills Handbook</w:t>
      </w:r>
      <w:r w:rsidRPr="0BDBB948">
        <w:rPr>
          <w:rFonts w:ascii="Aptos" w:eastAsia="Aptos" w:hAnsi="Aptos" w:cs="Aptos"/>
        </w:rPr>
        <w:t>, 5th ed. London, U.K.: Palgrave Macmillan, 2019.</w:t>
      </w:r>
    </w:p>
    <w:p w14:paraId="05B780E0" w14:textId="1D141B32" w:rsidR="00AA7FF6" w:rsidRDefault="51683C3D" w:rsidP="0BDBB948">
      <w:pPr>
        <w:spacing w:before="240" w:after="240"/>
        <w:rPr>
          <w:rFonts w:ascii="Aptos" w:eastAsia="Aptos" w:hAnsi="Aptos" w:cs="Aptos"/>
        </w:rPr>
      </w:pPr>
      <w:r w:rsidRPr="0BDBB948">
        <w:rPr>
          <w:rFonts w:ascii="Aptos" w:eastAsia="Aptos" w:hAnsi="Aptos" w:cs="Aptos"/>
        </w:rPr>
        <w:t xml:space="preserve">[3] N. Fajaryati, Budiyono, M. Akhyar, and Wiranto, “The employability skills needed to face the demands of work in the future: A systematic literature review,” </w:t>
      </w:r>
      <w:r w:rsidRPr="0BDBB948">
        <w:rPr>
          <w:rFonts w:ascii="Aptos" w:eastAsia="Aptos" w:hAnsi="Aptos" w:cs="Aptos"/>
          <w:i/>
          <w:iCs/>
        </w:rPr>
        <w:t>Open Engineering</w:t>
      </w:r>
      <w:r w:rsidRPr="0BDBB948">
        <w:rPr>
          <w:rFonts w:ascii="Aptos" w:eastAsia="Aptos" w:hAnsi="Aptos" w:cs="Aptos"/>
        </w:rPr>
        <w:t>, vol. 10, no. 1, pp. 595–603, 2020.</w:t>
      </w:r>
    </w:p>
    <w:p w14:paraId="1887451C" w14:textId="1EEBF830" w:rsidR="00AA7FF6" w:rsidRDefault="51683C3D" w:rsidP="0BDBB948">
      <w:pPr>
        <w:spacing w:before="240" w:after="240"/>
      </w:pPr>
      <w:r w:rsidRPr="0BDBB948">
        <w:rPr>
          <w:rFonts w:ascii="Aptos" w:eastAsia="Aptos" w:hAnsi="Aptos" w:cs="Aptos"/>
        </w:rPr>
        <w:t xml:space="preserve">[4] E. Mäkelä and F. Stephany, “Complement or substitute? How AI increases the demand for human skills,” arXiv preprint, 2024. </w:t>
      </w:r>
    </w:p>
    <w:p w14:paraId="04ED1F1C" w14:textId="66922CA7" w:rsidR="00AA7FF6" w:rsidRDefault="51683C3D" w:rsidP="0BDBB948">
      <w:pPr>
        <w:spacing w:before="240" w:after="240"/>
      </w:pPr>
      <w:r w:rsidRPr="0BDBB948">
        <w:rPr>
          <w:rFonts w:ascii="Aptos" w:eastAsia="Aptos" w:hAnsi="Aptos" w:cs="Aptos"/>
        </w:rPr>
        <w:t xml:space="preserve"> </w:t>
      </w:r>
      <w:hyperlink r:id="rId9">
        <w:r w:rsidRPr="0BDBB948">
          <w:rPr>
            <w:rStyle w:val="Hyperlink"/>
            <w:rFonts w:ascii="Aptos" w:eastAsia="Aptos" w:hAnsi="Aptos" w:cs="Aptos"/>
            <w:color w:val="auto"/>
          </w:rPr>
          <w:t>https://arxiv.org/abs/2412.19754</w:t>
        </w:r>
      </w:hyperlink>
    </w:p>
    <w:p w14:paraId="399EE12D" w14:textId="14FC4A30" w:rsidR="00AA7FF6" w:rsidRDefault="51683C3D" w:rsidP="0BDBB948">
      <w:pPr>
        <w:spacing w:before="240" w:after="240"/>
      </w:pPr>
      <w:r w:rsidRPr="0BDBB948">
        <w:rPr>
          <w:rFonts w:ascii="Aptos" w:eastAsia="Aptos" w:hAnsi="Aptos" w:cs="Aptos"/>
        </w:rPr>
        <w:t xml:space="preserve">[5] World Economic Forum, </w:t>
      </w:r>
      <w:r w:rsidRPr="0BDBB948">
        <w:rPr>
          <w:rFonts w:ascii="Aptos" w:eastAsia="Aptos" w:hAnsi="Aptos" w:cs="Aptos"/>
          <w:i/>
          <w:iCs/>
        </w:rPr>
        <w:t>The Future of Jobs Report 2023</w:t>
      </w:r>
      <w:r w:rsidRPr="0BDBB948">
        <w:rPr>
          <w:rFonts w:ascii="Aptos" w:eastAsia="Aptos" w:hAnsi="Aptos" w:cs="Aptos"/>
        </w:rPr>
        <w:t>. Geneva, Switzerland: World Economic Forum, 2023. [Online]</w:t>
      </w:r>
    </w:p>
    <w:p w14:paraId="62ED3D0E" w14:textId="4661F38E" w:rsidR="00AA7FF6" w:rsidRDefault="51683C3D" w:rsidP="0BDBB948">
      <w:pPr>
        <w:spacing w:before="240" w:after="240"/>
      </w:pPr>
      <w:hyperlink r:id="rId10">
        <w:r w:rsidRPr="0BDBB948">
          <w:rPr>
            <w:rStyle w:val="Hyperlink"/>
            <w:rFonts w:ascii="Aptos" w:eastAsia="Aptos" w:hAnsi="Aptos" w:cs="Aptos"/>
            <w:color w:val="auto"/>
          </w:rPr>
          <w:t>https://www.weforum.org/reports/the-future-of-jobs-report-2023/</w:t>
        </w:r>
      </w:hyperlink>
    </w:p>
    <w:p w14:paraId="0FE0AB68" w14:textId="489F8B88" w:rsidR="00AA7FF6" w:rsidRDefault="00AA7FF6" w:rsidP="0BDBB948"/>
    <w:p w14:paraId="5E5787A5" w14:textId="0E5280A5" w:rsidR="00AA7FF6" w:rsidRDefault="00AA7FF6" w:rsidP="0BDBB948"/>
    <w:sectPr w:rsidR="00AA7FF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Jzd6t1q2" int2:invalidationBookmarkName="" int2:hashCode="m/D4/19di8v/ud" int2:id="Tt1p7Wm2">
      <int2:state int2:value="Rejected" int2:type="style"/>
    </int2:bookmark>
    <int2:bookmark int2:bookmarkName="_Int_hZgiIDeq" int2:invalidationBookmarkName="" int2:hashCode="T2uh1uCfFUtYOn" int2:id="Uwjz10T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D421719"/>
    <w:rsid w:val="000C434F"/>
    <w:rsid w:val="001C03D3"/>
    <w:rsid w:val="002030E0"/>
    <w:rsid w:val="00293442"/>
    <w:rsid w:val="002B4C47"/>
    <w:rsid w:val="005B0A9F"/>
    <w:rsid w:val="007526CE"/>
    <w:rsid w:val="00792668"/>
    <w:rsid w:val="007E0BE4"/>
    <w:rsid w:val="009B50E6"/>
    <w:rsid w:val="00A62DBA"/>
    <w:rsid w:val="00AA7FF6"/>
    <w:rsid w:val="0898E31A"/>
    <w:rsid w:val="0A8150AD"/>
    <w:rsid w:val="0BDBB948"/>
    <w:rsid w:val="0D65103C"/>
    <w:rsid w:val="0F3C86E8"/>
    <w:rsid w:val="1031BAE4"/>
    <w:rsid w:val="12C5F977"/>
    <w:rsid w:val="13700EE9"/>
    <w:rsid w:val="155894A5"/>
    <w:rsid w:val="169363FC"/>
    <w:rsid w:val="1A12E34E"/>
    <w:rsid w:val="267CB387"/>
    <w:rsid w:val="2D245C04"/>
    <w:rsid w:val="3621368F"/>
    <w:rsid w:val="3BB049BB"/>
    <w:rsid w:val="4423461B"/>
    <w:rsid w:val="4A54A57B"/>
    <w:rsid w:val="4D421719"/>
    <w:rsid w:val="502A1466"/>
    <w:rsid w:val="51683C3D"/>
    <w:rsid w:val="54DBF082"/>
    <w:rsid w:val="5632C888"/>
    <w:rsid w:val="60BE6249"/>
    <w:rsid w:val="6E89C62A"/>
    <w:rsid w:val="7360260C"/>
    <w:rsid w:val="77E259EE"/>
    <w:rsid w:val="7CC3EE2D"/>
    <w:rsid w:val="7EF3B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21719"/>
  <w15:chartTrackingRefBased/>
  <w15:docId w15:val="{6A668A90-835D-4B52-AC3B-1EDFE895E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D6510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D6510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D65103C"/>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D65103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english.org/blog/developing-employability-skills-in-higher-education-and-at-work/?utm_source=chatgpt.com"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eforum.org/reports/the-future-of-jobs-report-2023/" TargetMode="External"/><Relationship Id="rId4" Type="http://schemas.openxmlformats.org/officeDocument/2006/relationships/webSettings" Target="webSettings.xml"/><Relationship Id="rId9" Type="http://schemas.openxmlformats.org/officeDocument/2006/relationships/hyperlink" Target="https://arxiv.org/abs/2412.19754?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497</Words>
  <Characters>2834</Characters>
  <Application>Microsoft Office Word</Application>
  <DocSecurity>0</DocSecurity>
  <Lines>23</Lines>
  <Paragraphs>6</Paragraphs>
  <ScaleCrop>false</ScaleCrop>
  <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ali</dc:creator>
  <cp:keywords/>
  <dc:description/>
  <cp:lastModifiedBy>Mujahid Abbas (2531317)</cp:lastModifiedBy>
  <cp:revision>2</cp:revision>
  <dcterms:created xsi:type="dcterms:W3CDTF">2026-03-02T19:54:00Z</dcterms:created>
  <dcterms:modified xsi:type="dcterms:W3CDTF">2026-03-02T19:54:00Z</dcterms:modified>
</cp:coreProperties>
</file>