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668C26B" w:rsidP="08956164" w:rsidRDefault="1668C26B" w14:paraId="598AC549" w14:textId="1D98F1F4">
      <w:pPr>
        <w:rPr>
          <w:rFonts w:ascii="Calibri" w:hAnsi="Calibri" w:eastAsia="Calibri" w:cs="Calibri"/>
          <w:b w:val="0"/>
          <w:bCs w:val="0"/>
          <w:i w:val="0"/>
          <w:iCs w:val="0"/>
          <w:caps w:val="0"/>
          <w:smallCaps w:val="0"/>
          <w:noProof w:val="0"/>
          <w:color w:val="000000" w:themeColor="text1" w:themeTint="FF" w:themeShade="FF"/>
          <w:sz w:val="22"/>
          <w:szCs w:val="22"/>
          <w:lang w:val="en-US"/>
        </w:rPr>
      </w:pPr>
      <w:r w:rsidRPr="08956164" w:rsidR="1668C26B">
        <w:rPr>
          <w:rFonts w:ascii="Calibri" w:hAnsi="Calibri" w:eastAsia="Calibri" w:cs="Calibri"/>
          <w:b w:val="0"/>
          <w:bCs w:val="0"/>
          <w:i w:val="0"/>
          <w:iCs w:val="0"/>
          <w:caps w:val="0"/>
          <w:smallCaps w:val="0"/>
          <w:noProof w:val="0"/>
          <w:color w:val="000000" w:themeColor="text1" w:themeTint="FF" w:themeShade="FF"/>
          <w:sz w:val="22"/>
          <w:szCs w:val="22"/>
          <w:lang w:val="en-GB"/>
        </w:rPr>
        <w:t>Targedu / Targets</w:t>
      </w:r>
    </w:p>
    <w:p w:rsidR="08956164" w:rsidP="08956164" w:rsidRDefault="08956164" w14:paraId="67771D99" w14:textId="2A54E44A">
      <w:pPr>
        <w:rPr>
          <w:rFonts w:ascii="Calibri" w:hAnsi="Calibri" w:eastAsia="Calibri" w:cs="Calibri"/>
          <w:b w:val="0"/>
          <w:bCs w:val="0"/>
          <w:i w:val="0"/>
          <w:iCs w:val="0"/>
          <w:caps w:val="0"/>
          <w:smallCaps w:val="0"/>
          <w:noProof w:val="0"/>
          <w:color w:val="000000" w:themeColor="text1" w:themeTint="FF" w:themeShade="FF"/>
          <w:sz w:val="22"/>
          <w:szCs w:val="22"/>
          <w:lang w:val="en-US"/>
        </w:rPr>
      </w:pPr>
    </w:p>
    <w:tbl>
      <w:tblPr>
        <w:tblStyle w:val="TableNormal"/>
        <w:tblW w:w="0" w:type="auto"/>
        <w:tblInd w:w="105" w:type="dxa"/>
        <w:tblBorders>
          <w:top w:val="single" w:sz="6"/>
          <w:left w:val="single" w:sz="6"/>
          <w:bottom w:val="single" w:sz="6"/>
          <w:right w:val="single" w:sz="6"/>
        </w:tblBorders>
        <w:tblLayout w:type="fixed"/>
        <w:tblLook w:val="04A0" w:firstRow="1" w:lastRow="0" w:firstColumn="1" w:lastColumn="0" w:noHBand="0" w:noVBand="1"/>
      </w:tblPr>
      <w:tblGrid>
        <w:gridCol w:w="3000"/>
        <w:gridCol w:w="3000"/>
        <w:gridCol w:w="3000"/>
      </w:tblGrid>
      <w:tr w:rsidR="08956164" w:rsidTr="08956164" w14:paraId="64CAB22E">
        <w:trPr>
          <w:trHeight w:val="1155"/>
        </w:trPr>
        <w:tc>
          <w:tcPr>
            <w:tcW w:w="30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DD4E9"/>
            <w:tcMar/>
            <w:vAlign w:val="top"/>
          </w:tcPr>
          <w:p w:rsidR="08956164" w:rsidP="08956164" w:rsidRDefault="08956164" w14:paraId="671E5BFC" w14:textId="0F465E0C">
            <w:pPr>
              <w:spacing w:line="360" w:lineRule="auto"/>
              <w:rPr>
                <w:rFonts w:ascii="Arial" w:hAnsi="Arial" w:eastAsia="Arial" w:cs="Arial"/>
                <w:b w:val="0"/>
                <w:bCs w:val="0"/>
                <w:i w:val="0"/>
                <w:iCs w:val="0"/>
                <w:sz w:val="22"/>
                <w:szCs w:val="22"/>
              </w:rPr>
            </w:pPr>
          </w:p>
        </w:tc>
        <w:tc>
          <w:tcPr>
            <w:tcW w:w="30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DD4E9"/>
            <w:tcMar/>
            <w:vAlign w:val="top"/>
          </w:tcPr>
          <w:p w:rsidR="08956164" w:rsidP="08956164" w:rsidRDefault="08956164" w14:paraId="55CDAF2F" w14:textId="7EC3A381">
            <w:pPr>
              <w:tabs>
                <w:tab w:val="left" w:leader="none" w:pos="1440"/>
                <w:tab w:val="left" w:leader="none" w:pos="2880"/>
              </w:tabs>
              <w:spacing w:line="360" w:lineRule="auto"/>
              <w:rPr>
                <w:rFonts w:ascii="Arial" w:hAnsi="Arial" w:eastAsia="Arial" w:cs="Arial"/>
                <w:b w:val="0"/>
                <w:bCs w:val="0"/>
                <w:i w:val="0"/>
                <w:iCs w:val="0"/>
                <w:color w:val="000000" w:themeColor="text1" w:themeTint="FF" w:themeShade="FF"/>
                <w:sz w:val="22"/>
                <w:szCs w:val="22"/>
              </w:rPr>
            </w:pPr>
            <w:r w:rsidRPr="08956164" w:rsidR="08956164">
              <w:rPr>
                <w:rFonts w:ascii="Arial" w:hAnsi="Arial" w:eastAsia="Arial" w:cs="Arial"/>
                <w:b w:val="0"/>
                <w:bCs w:val="0"/>
                <w:i w:val="0"/>
                <w:iCs w:val="0"/>
                <w:color w:val="000000" w:themeColor="text1" w:themeTint="FF" w:themeShade="FF"/>
                <w:sz w:val="22"/>
                <w:szCs w:val="22"/>
                <w:lang w:val="en-GB"/>
              </w:rPr>
              <w:t>Targed/Target</w:t>
            </w:r>
          </w:p>
        </w:tc>
        <w:tc>
          <w:tcPr>
            <w:tcW w:w="30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DD4E9"/>
            <w:tcMar/>
            <w:vAlign w:val="top"/>
          </w:tcPr>
          <w:p w:rsidR="08956164" w:rsidP="08956164" w:rsidRDefault="08956164" w14:paraId="006731C1" w14:textId="0F4BEB99">
            <w:pPr>
              <w:tabs>
                <w:tab w:val="left" w:leader="none" w:pos="1440"/>
                <w:tab w:val="left" w:leader="none" w:pos="2880"/>
              </w:tabs>
              <w:spacing w:line="360" w:lineRule="auto"/>
              <w:rPr>
                <w:rFonts w:ascii="Arial" w:hAnsi="Arial" w:eastAsia="Arial" w:cs="Arial"/>
                <w:b w:val="0"/>
                <w:bCs w:val="0"/>
                <w:i w:val="0"/>
                <w:iCs w:val="0"/>
                <w:color w:val="000000" w:themeColor="text1" w:themeTint="FF" w:themeShade="FF"/>
                <w:sz w:val="22"/>
                <w:szCs w:val="22"/>
              </w:rPr>
            </w:pPr>
            <w:r w:rsidRPr="08956164" w:rsidR="08956164">
              <w:rPr>
                <w:rFonts w:ascii="Arial" w:hAnsi="Arial" w:eastAsia="Arial" w:cs="Arial"/>
                <w:b w:val="0"/>
                <w:bCs w:val="0"/>
                <w:i w:val="0"/>
                <w:iCs w:val="0"/>
                <w:color w:val="000000" w:themeColor="text1" w:themeTint="FF" w:themeShade="FF"/>
                <w:sz w:val="22"/>
                <w:szCs w:val="22"/>
                <w:lang w:val="en-GB"/>
              </w:rPr>
              <w:t>Yr hyn yr wyf wedi’i wneud yn yr aseiniad hwn….</w:t>
            </w:r>
          </w:p>
          <w:p w:rsidR="08956164" w:rsidP="08956164" w:rsidRDefault="08956164" w14:paraId="1092F1FF" w14:textId="103325D6">
            <w:pPr>
              <w:tabs>
                <w:tab w:val="left" w:leader="none" w:pos="1440"/>
                <w:tab w:val="left" w:leader="none" w:pos="2880"/>
              </w:tabs>
              <w:spacing w:line="360" w:lineRule="auto"/>
              <w:rPr>
                <w:rFonts w:ascii="Arial" w:hAnsi="Arial" w:eastAsia="Arial" w:cs="Arial"/>
                <w:b w:val="0"/>
                <w:bCs w:val="0"/>
                <w:i w:val="0"/>
                <w:iCs w:val="0"/>
                <w:color w:val="000000" w:themeColor="text1" w:themeTint="FF" w:themeShade="FF"/>
                <w:sz w:val="22"/>
                <w:szCs w:val="22"/>
              </w:rPr>
            </w:pPr>
            <w:r w:rsidRPr="08956164" w:rsidR="08956164">
              <w:rPr>
                <w:rFonts w:ascii="Arial" w:hAnsi="Arial" w:eastAsia="Arial" w:cs="Arial"/>
                <w:b w:val="0"/>
                <w:bCs w:val="0"/>
                <w:i w:val="0"/>
                <w:iCs w:val="0"/>
                <w:color w:val="000000" w:themeColor="text1" w:themeTint="FF" w:themeShade="FF"/>
                <w:sz w:val="22"/>
                <w:szCs w:val="22"/>
                <w:lang w:val="en-GB"/>
              </w:rPr>
              <w:t>What I have done in this assignment….</w:t>
            </w:r>
          </w:p>
        </w:tc>
      </w:tr>
      <w:tr w:rsidR="08956164" w:rsidTr="08956164" w14:paraId="26ECE6D1">
        <w:trPr>
          <w:trHeight w:val="450"/>
        </w:trPr>
        <w:tc>
          <w:tcPr>
            <w:tcW w:w="30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DD4E9"/>
            <w:tcMar/>
            <w:vAlign w:val="top"/>
          </w:tcPr>
          <w:p w:rsidR="08956164" w:rsidP="08956164" w:rsidRDefault="08956164" w14:paraId="6BD5FBF9" w14:textId="5B7D1655">
            <w:pPr>
              <w:tabs>
                <w:tab w:val="left" w:leader="none" w:pos="1440"/>
                <w:tab w:val="left" w:leader="none" w:pos="2880"/>
              </w:tabs>
              <w:spacing w:line="360" w:lineRule="auto"/>
              <w:rPr>
                <w:rFonts w:ascii="Arial" w:hAnsi="Arial" w:eastAsia="Arial" w:cs="Arial"/>
                <w:b w:val="0"/>
                <w:bCs w:val="0"/>
                <w:i w:val="0"/>
                <w:iCs w:val="0"/>
                <w:color w:val="000000" w:themeColor="text1" w:themeTint="FF" w:themeShade="FF"/>
                <w:sz w:val="22"/>
                <w:szCs w:val="22"/>
              </w:rPr>
            </w:pPr>
            <w:r w:rsidRPr="08956164" w:rsidR="08956164">
              <w:rPr>
                <w:rFonts w:ascii="Arial" w:hAnsi="Arial" w:eastAsia="Arial" w:cs="Arial"/>
                <w:b w:val="0"/>
                <w:bCs w:val="0"/>
                <w:i w:val="0"/>
                <w:iCs w:val="0"/>
                <w:color w:val="000000" w:themeColor="text1" w:themeTint="FF" w:themeShade="FF"/>
                <w:sz w:val="22"/>
                <w:szCs w:val="22"/>
                <w:lang w:val="en-GB"/>
              </w:rPr>
              <w:t>Targed/Target 1</w:t>
            </w:r>
          </w:p>
        </w:tc>
        <w:tc>
          <w:tcPr>
            <w:tcW w:w="30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DD4E9"/>
            <w:tcMar/>
            <w:vAlign w:val="top"/>
          </w:tcPr>
          <w:p w:rsidR="08956164" w:rsidP="08956164" w:rsidRDefault="08956164" w14:paraId="5C2C82B8" w14:textId="53F64EA0">
            <w:pPr>
              <w:spacing w:line="360" w:lineRule="auto"/>
              <w:rPr>
                <w:rFonts w:ascii="Segoe UI" w:hAnsi="Segoe UI" w:eastAsia="Segoe UI" w:cs="Segoe UI"/>
                <w:b w:val="0"/>
                <w:bCs w:val="0"/>
                <w:i w:val="0"/>
                <w:iCs w:val="0"/>
                <w:color w:val="000000" w:themeColor="text1" w:themeTint="FF" w:themeShade="FF"/>
                <w:sz w:val="18"/>
                <w:szCs w:val="18"/>
                <w:lang w:val="en-US"/>
              </w:rPr>
            </w:pPr>
            <w:r w:rsidRPr="08956164" w:rsidR="08956164">
              <w:rPr>
                <w:rFonts w:ascii="Segoe UI" w:hAnsi="Segoe UI" w:eastAsia="Segoe UI" w:cs="Segoe UI"/>
                <w:b w:val="0"/>
                <w:bCs w:val="0"/>
                <w:i w:val="0"/>
                <w:iCs w:val="0"/>
                <w:caps w:val="0"/>
                <w:smallCaps w:val="0"/>
                <w:strike w:val="0"/>
                <w:dstrike w:val="0"/>
                <w:color w:val="000000" w:themeColor="text1" w:themeTint="FF" w:themeShade="FF"/>
                <w:sz w:val="18"/>
                <w:szCs w:val="18"/>
                <w:u w:val="none"/>
                <w:lang w:val="en-GB"/>
              </w:rPr>
              <w:t xml:space="preserve">Read more widely around the topic. Remember to draw from a range of literature, including research papers. You can use the library website as well as references within key texts provided by the module.  </w:t>
            </w:r>
          </w:p>
        </w:tc>
        <w:tc>
          <w:tcPr>
            <w:tcW w:w="300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CDD4E9"/>
            <w:tcMar/>
            <w:vAlign w:val="top"/>
          </w:tcPr>
          <w:p w:rsidR="08956164" w:rsidP="08956164" w:rsidRDefault="08956164" w14:paraId="2FC32083" w14:textId="01395A37">
            <w:pPr>
              <w:spacing w:line="360" w:lineRule="auto"/>
              <w:rPr>
                <w:rFonts w:ascii="Arial" w:hAnsi="Arial" w:eastAsia="Arial" w:cs="Arial"/>
                <w:b w:val="0"/>
                <w:bCs w:val="0"/>
                <w:i w:val="0"/>
                <w:iCs w:val="0"/>
                <w:sz w:val="22"/>
                <w:szCs w:val="22"/>
              </w:rPr>
            </w:pPr>
            <w:r w:rsidRPr="08956164" w:rsidR="08956164">
              <w:rPr>
                <w:rFonts w:ascii="Arial" w:hAnsi="Arial" w:eastAsia="Arial" w:cs="Arial"/>
                <w:b w:val="0"/>
                <w:bCs w:val="0"/>
                <w:i w:val="0"/>
                <w:iCs w:val="0"/>
                <w:sz w:val="22"/>
                <w:szCs w:val="22"/>
                <w:lang w:val="en-GB"/>
              </w:rPr>
              <w:t>I used a wide range of sources, particularly in key areas to bolster my points.</w:t>
            </w:r>
          </w:p>
        </w:tc>
      </w:tr>
    </w:tbl>
    <w:p w:rsidR="08956164" w:rsidP="08956164" w:rsidRDefault="08956164" w14:paraId="50A486EE" w14:textId="48870750">
      <w:pPr>
        <w:pStyle w:val="Normal"/>
        <w:rPr>
          <w:rFonts w:ascii="Calibri" w:hAnsi="Calibri" w:eastAsia="Calibri" w:cs="Calibri"/>
          <w:b w:val="0"/>
          <w:bCs w:val="0"/>
          <w:i w:val="0"/>
          <w:iCs w:val="0"/>
          <w:caps w:val="0"/>
          <w:smallCaps w:val="0"/>
          <w:noProof w:val="0"/>
          <w:color w:val="000000" w:themeColor="text1" w:themeTint="FF" w:themeShade="FF"/>
          <w:sz w:val="22"/>
          <w:szCs w:val="22"/>
          <w:lang w:val="en-US"/>
        </w:rPr>
      </w:pPr>
    </w:p>
    <w:p w:rsidR="62C85E2A" w:rsidP="08956164" w:rsidRDefault="62C85E2A" w14:paraId="7C7ECE6A" w14:textId="41AC8C9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62C85E2A">
        <w:rPr>
          <w:rFonts w:ascii="Arial" w:hAnsi="Arial" w:eastAsia="Arial" w:cs="Arial"/>
          <w:b w:val="1"/>
          <w:bCs w:val="1"/>
          <w:i w:val="0"/>
          <w:iCs w:val="0"/>
          <w:caps w:val="0"/>
          <w:smallCaps w:val="0"/>
          <w:noProof w:val="0"/>
          <w:color w:val="000000" w:themeColor="text1" w:themeTint="FF" w:themeShade="FF"/>
          <w:sz w:val="24"/>
          <w:szCs w:val="24"/>
          <w:u w:val="single"/>
          <w:lang w:val="en-US"/>
        </w:rPr>
        <w:t>How</w:t>
      </w:r>
      <w:r w:rsidRPr="08956164" w:rsidR="62C85E2A">
        <w:rPr>
          <w:rFonts w:ascii="Arial" w:hAnsi="Arial" w:eastAsia="Arial" w:cs="Arial"/>
          <w:b w:val="1"/>
          <w:bCs w:val="1"/>
          <w:i w:val="0"/>
          <w:iCs w:val="0"/>
          <w:caps w:val="0"/>
          <w:smallCaps w:val="0"/>
          <w:noProof w:val="0"/>
          <w:color w:val="000000" w:themeColor="text1" w:themeTint="FF" w:themeShade="FF"/>
          <w:sz w:val="24"/>
          <w:szCs w:val="24"/>
          <w:u w:val="single"/>
          <w:lang w:val="en-US"/>
        </w:rPr>
        <w:t xml:space="preserve"> do the learning experiences of pupils during compulsory Welsh Language lessons influence their attitudes, </w:t>
      </w:r>
      <w:r w:rsidRPr="08956164" w:rsidR="62C85E2A">
        <w:rPr>
          <w:rFonts w:ascii="Arial" w:hAnsi="Arial" w:eastAsia="Arial" w:cs="Arial"/>
          <w:b w:val="1"/>
          <w:bCs w:val="1"/>
          <w:i w:val="0"/>
          <w:iCs w:val="0"/>
          <w:caps w:val="0"/>
          <w:smallCaps w:val="0"/>
          <w:noProof w:val="0"/>
          <w:color w:val="000000" w:themeColor="text1" w:themeTint="FF" w:themeShade="FF"/>
          <w:sz w:val="24"/>
          <w:szCs w:val="24"/>
          <w:u w:val="single"/>
          <w:lang w:val="en-US"/>
        </w:rPr>
        <w:t>proficiency</w:t>
      </w:r>
      <w:r w:rsidRPr="08956164" w:rsidR="62C85E2A">
        <w:rPr>
          <w:rFonts w:ascii="Arial" w:hAnsi="Arial" w:eastAsia="Arial" w:cs="Arial"/>
          <w:b w:val="1"/>
          <w:bCs w:val="1"/>
          <w:i w:val="0"/>
          <w:iCs w:val="0"/>
          <w:caps w:val="0"/>
          <w:smallCaps w:val="0"/>
          <w:noProof w:val="0"/>
          <w:color w:val="000000" w:themeColor="text1" w:themeTint="FF" w:themeShade="FF"/>
          <w:sz w:val="24"/>
          <w:szCs w:val="24"/>
          <w:u w:val="single"/>
          <w:lang w:val="en-US"/>
        </w:rPr>
        <w:t>, and engagement with the Welsh language and culture?</w:t>
      </w:r>
    </w:p>
    <w:p w:rsidR="1A8E7649" w:rsidP="08956164" w:rsidRDefault="1A8E7649" w14:paraId="0D2E3CCE" w14:textId="74EA5C2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Research Context</w:t>
      </w:r>
    </w:p>
    <w:p w:rsidR="08956164" w:rsidP="08956164" w:rsidRDefault="08956164" w14:paraId="5D87FDF4" w14:textId="5308260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1A8E7649" w:rsidP="08956164" w:rsidRDefault="1A8E7649" w14:paraId="51034158" w14:textId="28888CF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This research aims to gauge the experience of Year 3 pupils during compulsory Welsh language lessons.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This project aims to understand the perception of lessons, and experiences of the pupils, as well as how School T’s approach to Welsh lessons may affect this.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research itself will discuss how School T’s Welsh lessons may enable learners to meet the goals of the Welsh Government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Cymraeg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2050 strategy to achieve a million Welsh speakers by 2050 (Welsh Govt., 2017). This is due to the school's approach to a school-wide Welsh lead that plans the lessons for each class. This research aims to discuss this approach and how it affects the learning of a Year 3 class within the school.</w:t>
      </w:r>
    </w:p>
    <w:p w:rsidR="1A8E7649" w:rsidP="08956164" w:rsidRDefault="1A8E7649" w14:paraId="2B61436E" w14:textId="0C8346A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The school has a mix of two-form and single-form year groups with a total of 13 classes.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There are 2 Year 3 classes, this research concerns Class 0. Class 0 consists of 30 pupils with 6 pupils with Additional Learning Needs (ALN) and an Increased Support Group (ISG) of 8 pupils. The ISG is supported throughout work more than other pupils and consists of learners who are not in the same progression step as the class and may struggle to access classroom content independently.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There are also pupils with Social, Emotional and Mental Health (SEMH) needs within the class.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However, the SEMH pupils have not been formally added to School T’s ALN register. They were, however, highlighted to the researcher by the class teacher as they access the school SEMH provision and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resources to aid in lessons. </w:t>
      </w:r>
    </w:p>
    <w:p w:rsidR="1A8E7649" w:rsidP="08956164" w:rsidRDefault="1A8E7649" w14:paraId="082900EE" w14:textId="0C03FAC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This research hopes to address the issue of how pupils perceive compulsory Welsh lessons. Through this, I then hope to discuss the strategies and foundations of School T’s approach to Welsh language lessons and how that may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impact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learners and their acquisition of the Welsh language.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 have chosen this research area as Language Acquisition is an area of interest that I have explored in my elective days with English as an Addition Language (EAL) learners.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As such, research into the acquisition of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languages including Welsh was of interest. Over the course of this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research</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I hope to answer; how do the learning experiences of pupils during compulsory Welsh Language lessons influence their attitudes, proficiency, and engagement with the Welsh language and culture?</w:t>
      </w:r>
    </w:p>
    <w:p w:rsidR="1A8E7649" w:rsidP="08956164" w:rsidRDefault="1A8E7649" w14:paraId="42AC49F2" w14:textId="3692529C">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Literature Review</w:t>
      </w:r>
    </w:p>
    <w:p w:rsidR="1A8E7649" w:rsidP="08956164" w:rsidRDefault="1A8E7649" w14:paraId="267EB96C" w14:textId="43EA0CFB">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This research will primarily concern itself with the acquisition of Welsh in an English medium school, as well as the pedogeological methods used by the Welsh teacher in the classroom. As such it is important to first outline the literature around contemporary Language acquisition. In their discussion of second language learning Savvidou (2020) discusses the importance of high frequency and role-play within learning. Furthermore, they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importance of emotive language being central to language acquisition in pupils learning a second language. In addition to Savvidou, Bardel and Sanchez (2020) state that older learners have a greater ability in language learning due to their high ability to cognitively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recognise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work. (Bardel and Sanchez, 2020, p.6). This is in line with the findings of Muñoz (2020) who discusses the ability of older children to learn languages by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recognising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 larger set of vocabulary trends. In addition to this role-play is discussed as a key factor in learning particularly by C.B.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Winardy</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Septiana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(2023) who discuss role-play in education as a fantastic form of learning.</w:t>
      </w:r>
    </w:p>
    <w:p w:rsidR="1A8E7649" w:rsidP="08956164" w:rsidRDefault="1A8E7649" w14:paraId="5619C9C5" w14:textId="6F622BF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role-play differs from structured play in learning. Other theorists such as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Pramling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(2019),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Blaskova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(2020) and Rogers (2011) discuss the importance of play in learning and how it may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benefit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learners. This has historically been viewed as something limited to early years which is the focus of the work of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Pramling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(2019) and Rogers (2011). However,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Blaskova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(2020), and Hunkin and Carmel (2022) are rethinking the importance of play throughout the education of children and call for a difference to the traditional model of play learning being exclusively for early years education, extending learning through play for a broader range of children. This is also discussed by Selen and Ulas (2021) who discuss the importance of play in learning as a system of teaching children well-being skills like self-regulation. This self-regulation is also important to ALN pupils, play in learning helps to engage and involve these pupils as written by Cobbe (2019) and Seach (2007), who both discuss the importance of play in the education of ALN pupils.</w:t>
      </w:r>
    </w:p>
    <w:p w:rsidR="1A8E7649" w:rsidP="08956164" w:rsidRDefault="1A8E7649" w14:paraId="55FB0512" w14:textId="4F7C61C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These principles are important to understand in conjunction with the Welsh Government’s strategies for Welsh learners in the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Cymraeg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2050 strategy (Welsh Govt., 2017) and the Well-being of Future Generations Act (Welsh Govt., 2015), both of which have a focus on developing the confidence and competence of Welsh learners. Moreover, the Curriculum for Wales (Welsh Govt., 2024) encourages Welsh language acquisition as a key feature of learning in each progression step, placing the Welsh language alongside English language acquisition within the same Area of Learning and Experience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AoLE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These government initiatives guide schools in how they might progress learners through the Welsh language acquisition, however, do not pose any direct methods for teaching the language to learners. Instead, the curriculum for Wales allows schools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their own program of learning and progression. As such, it is important that schools reflect on their own practices and develop strategies that work for them. </w:t>
      </w:r>
    </w:p>
    <w:p w:rsidR="1A8E7649" w:rsidP="08956164" w:rsidRDefault="1A8E7649" w14:paraId="18FD5D47" w14:textId="337A33E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as Mackie (2018) outlines, there are many barriers to the introduction and maintenance of these Government language initiatives. They pose that because of the government pressures to meet these initiatives within given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time frames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resources of different institutions, such as educational institutions are being driven toward meeting those targets. This means that although schools may not necessarily have the means to meet the demands they are being asked to do so. In the case of School T, this has resulted in a whole-school approach to the teaching of Welsh language lessons and a dedicated Welsh lead who plans and teaches the Welsh lessons. This approach allows the school to internally direct the learning's progression, which is in line with the Curriculum for Wales (2024). However, it has the limitation of not necessarily engaging with all approaches to learning. This research aims to look at the experiences of Class 0 and create a case study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analyse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approach of the school and the experiences of the pupils in their compulsory Welsh language lessons.</w:t>
      </w:r>
    </w:p>
    <w:p w:rsidR="1A8E7649" w:rsidP="08956164" w:rsidRDefault="1A8E7649" w14:paraId="3B8F50E8" w14:textId="5A09B439">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Case Study</w:t>
      </w:r>
    </w:p>
    <w:p w:rsidR="1A8E7649" w:rsidP="08956164" w:rsidRDefault="1A8E7649" w14:paraId="784C387F" w14:textId="555DD063">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For this research I have undertaken a case study of pupils in a Year 3 class, Class 0. It is important then to outline here the definition and approach to a case study that I have used in my own research. The position of the researcher within a case study for my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my</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own was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base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foundationally, upon the work of Yazan (2015) and their discussion of the principles outlined by Stake (1995), Merriam (1998) and Yin (2002). In his writing, Yazan outlines the position of the researcher and issues with comparison between different sample groups (Yazan, pp. 135-136). A case study must therefore be understood as a representation of a set group for a set purpose. This case study outlines the context external to the persons involved to better understand the study itself.</w:t>
      </w:r>
    </w:p>
    <w:p w:rsidR="1A8E7649" w:rsidP="08956164" w:rsidRDefault="1A8E7649" w14:paraId="2A6F01EC" w14:textId="6A43B88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It is also important that the case study focuses on a specific area for which it hopes to answer or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 link between those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or involved, and a set topic or area. Cohen, Manion and Morrison (2007) further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importance of cause and effect within a case study. A case study is a moment of action rather than a set observation and is a specific moment to speak to a more general principle (Nisbet and Watt 1984: 72, Adelman et al. 1980). These foundational understandings of a case study help us understand and design one for illuminating a specific area of education. </w:t>
      </w:r>
    </w:p>
    <w:p w:rsidR="1A8E7649" w:rsidP="08956164" w:rsidRDefault="1A8E7649" w14:paraId="1F62768B" w14:textId="1F39798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It is a strong form of research within education to see specific instances. This specificity allows researchers to understand things within their contemporary context. Cohen, Manion and Marrison (2007) further agree that case studies are bound by factors that are key to a contextual understanding of the case study; location, time and educational institution are key factors within the study itself and therefore any findings have a great specificity to them. This specificity allows for actionable steps or findings that fit within the original context. In addition, this creates boundaries between unrelated factors that might confuse the case study itself with irrelevant factors, when creating a case study this specificity allows for context to be given that creates a detailed description of events as indicated by both Merriam (1998) and Stake (1995).</w:t>
      </w:r>
    </w:p>
    <w:p w:rsidR="1A8E7649" w:rsidP="08956164" w:rsidRDefault="1A8E7649" w14:paraId="3F1FB568" w14:textId="60FED24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However, this specificity is also one of the major limitations of a case study. In Nisbet and Watt’s (1984) definition of a case study they speak to it being ‘frequently designed to illustrate a more general principle’ (Nisbet and Watt, 1984, p.72). Whilst this research is older it is foundational to a contemporary understanding of Case studies and speaks to their function outside of the original research context. However, this also overlooks the case study’s nuance being bound to its original context as used in Stake’s (1995) discussion of case studies. Stake (1995), Merriam (1998) and Yin (2002) discuss a ‘Case’ as a moment within boundaries of context. In my research I have used, Yin’s model of a Case Study as described by Yazan (2015). As such I have used an ‘empirical inquiry’ not to discuss the case within the context of itself, but rather to look at the contributing factors that have formed the studied case (Yazan, 2015, p.148).</w:t>
      </w:r>
    </w:p>
    <w:p w:rsidR="1A8E7649" w:rsidP="08956164" w:rsidRDefault="1A8E7649" w14:paraId="66620A39" w14:textId="6F0B5B2D">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Ethical Framework</w:t>
      </w:r>
    </w:p>
    <w:p w:rsidR="1A8E7649" w:rsidP="08956164" w:rsidRDefault="1A8E7649" w14:paraId="4087FD0F" w14:textId="31871FB6">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As outlined by Cohen, Manion and Morrison (2007, p.51) ethics is a key area of concern in research, particularly educational research that involves pupils and educational institutions. For this research, I followed the guidance of BERA (2018) and ensured that I have considered my own positionality in relationship to the research participants. Moreover, here I will outline important steps I have taken to ensure any research conducted is ethical and in line with the ethics policy of UWTSD (2022) and BERA (2018). Whilst this is not an exhaustive account of measures taken to ensure an ethical approach in my research it is indicative of key measures taken in conducting my research.</w:t>
      </w:r>
    </w:p>
    <w:p w:rsidR="1A8E7649" w:rsidP="08956164" w:rsidRDefault="1A8E7649" w14:paraId="4DC31787" w14:textId="041047C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Importantly, I gained informed consent from parents/guardians of pupils involved via a consent letter (Appendix B) sent home with pupils, and parents/guardians were given a week to return the letter. No pupils who did not have informed consent were included in the findings. In addition, pupils were informed of the research topic and given details about the research itself before giving their assent to being a part of the research. This assent was also ongoing and could be removed at any time by participants flipping over an indicator (Appendix C). Moreover, once research was conducted up until the point of completion the participants or their guardians could remove their data from that which was used in the research and revoke their consent.</w:t>
      </w:r>
    </w:p>
    <w:p w:rsidR="1A8E7649" w:rsidP="08956164" w:rsidRDefault="1A8E7649" w14:paraId="74A487DB" w14:textId="4EEAE60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All data has been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anonymised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including the names of pupils,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teachers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and educational institutions. Moreover, all data is stored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in accordance with</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Data Protection Act (DPA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2018) and could be retrieved,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removed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or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deleted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by the participants/guardians within the given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timeframe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This data was stored digitally in a password-protected and two-factor authenticator-protected cloud file only accessible by the researcher. This ensured that all data gathered was stored in the correct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manor</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outlined by the DPA (2018), UWTSD (2022) and BERA (2018).</w:t>
      </w:r>
    </w:p>
    <w:p w:rsidR="1A8E7649" w:rsidP="08956164" w:rsidRDefault="1A8E7649" w14:paraId="5BA6D979" w14:textId="27AF6E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These are the key features in the method of conducting research and storing data. The positionality of the researcher will be discussed later when discussing the research itself as, whilst an ethical concern, it pertains more closely to how the research questioning, interviews and observations are conducted rather than the methodological approach of the research.</w:t>
      </w:r>
    </w:p>
    <w:p w:rsidR="1A8E7649" w:rsidP="08956164" w:rsidRDefault="1A8E7649" w14:paraId="5E38FCC3" w14:textId="666064D5">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Research Methods</w:t>
      </w:r>
    </w:p>
    <w:p w:rsidR="1A8E7649" w:rsidP="08956164" w:rsidRDefault="1A8E7649" w14:paraId="513272CB" w14:textId="00DFD580">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For this research, I planned three approaches that would allow me to triangulate my qualitative data. A qualitative approach differs from a quantitative approach as it focuses on the qualities of data and research, such as thematic through-lines, rather than using quantitative data like numbers and statistics of classes (Braun and Clarke, 2006., Maguire and Delahunt, 2017., Merriam, 2009). To gather this qualitative data, I had initially planned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 Welsh lesson in Class 0, followed by a small group interview with a group of pupils in Class 0 and finally a questionnaire to be filled out by pupils in Class 0. However, due to time constraints placed upon the research by staff absence and the deadline for the research, within the time available I was able to conduct a class observation and a singular interview with a pupil. As such I will discuss here my approach to creating the interview and how I planned my lesson observation. </w:t>
      </w:r>
    </w:p>
    <w:p w:rsidR="1A8E7649" w:rsidP="08956164" w:rsidRDefault="1A8E7649" w14:paraId="30D9F82F" w14:textId="306A318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Firstly, I will discuss my lesson observation. My lesson observation was planned and structured according to the work of Forman and Hall (2005) and Cohen, Manion and Morrison (2007). They outline the importance of placing yourself in the classroom with the intention of seeing how pupils interact with each other, as well as the lesson itself. Both groups of theorists also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state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importance of structuring an observation to gather objective notes and context for generating a case study. The context for the observation and actions of the children is important to create a case study as described by Yazan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2015) when describing the work of Stake (1995) and Yin (2002). In their description of Stake and Yin’s respective approaches to creating a case study, Yazan presses upon the importance of gathering as much contextual data as possible to create the Case Study. To adhere to this advice in my observation, I noted all the information available to me explicitly in the lesson and observations made of the pupils. This is shown in Appendix D which shows the structure and highlighting of the notes to follow the lesson and gather enough contextual information for writing the Case Study. </w:t>
      </w:r>
    </w:p>
    <w:p w:rsidR="1A8E7649" w:rsidP="08956164" w:rsidRDefault="1A8E7649" w14:paraId="6EF4394B" w14:textId="5184E70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It is also important here to note the bias that may occur when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observing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 class.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Poulton (2020) writes that the positionality of the researcher is an important ethical position within the research that should be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stated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positionality of the researcher in relation to the participants of the research may affect any observations that they make. Here then it is important for me to address that, because of the order in which the research was carried out, there was a potential bias in the notes taken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Class 0’s engagement with the Welsh lesson. Whilst I strove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maintain</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objective statements, as it is a generation of qualitative data it was also important to gather the opinions and engagement of the pupils. It is important then, to create a more objective data set, that a larger group of data be collected than was possible within the bounds of this research. </w:t>
      </w:r>
    </w:p>
    <w:p w:rsidR="1A8E7649" w:rsidP="08956164" w:rsidRDefault="1A8E7649" w14:paraId="4338D9DC" w14:textId="1D8234E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Despite this, I also created and carried out an interview to better understand the opinions of the pupils beyond the bounds of pure observation. As previously mentioned, the limitation of my research was the lack of breadth in the sample size taken from Class 0. However, I planned my interviews prior to my awareness of these limitations and will describe here the foundation for that planning,</w:t>
      </w:r>
    </w:p>
    <w:p w:rsidR="1A8E7649" w:rsidP="08956164" w:rsidRDefault="1A8E7649" w14:paraId="03F084E2" w14:textId="7016B01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To plan the interviews, I looked at the work of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Opdenakker</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(2006) discussing the advantages and disadvantages of several interview strategies. Using this, I chose to use face-to-face interviews, and I also looked at the discussion of qualitative interviews by Turner (2010). Using these theorists, I looked at generating non-leading questions that focused on engaging the participants in their own opinions and generating qualitative terms. As shown in Appendix E, the questions allow for the participants to generate their own thoughts rather than being led to specific answers. This is also recommended by Mathers, Fox and Hunn (2002), who would discuss in detail further the semi-structured interview. The interview itself was semi-structured as it was guided by questioning, however, where there may be more depth needed for an answer, the interviewer was able to ask follow-up questions. </w:t>
      </w:r>
    </w:p>
    <w:p w:rsidR="1A8E7649" w:rsidP="08956164" w:rsidRDefault="1A8E7649" w14:paraId="37B5BC20" w14:textId="207681D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in a semi-structured interview, there is also the concern of personal bias. This is a concern of Mathers, Fox and Hunn (2002) and Poulton (2020) who discuss the objectivity of the research itself. In a semi-structured interview, there is a risk of leading the participant to answers in follow-up questioning. There is also this risk in the structure of the questions themselves that you could lead the participant and so the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initial</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questions were designed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allows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them to guide the questioning. </w:t>
      </w:r>
    </w:p>
    <w:p w:rsidR="1A8E7649" w:rsidP="08956164" w:rsidRDefault="1A8E7649" w14:paraId="7E52FCD5" w14:textId="000EC05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Despite these techniques being limited by the factors previously mentioned, the research methods were carried out following this foundational planning. The results of them are presented and detailed below.</w:t>
      </w:r>
    </w:p>
    <w:p w:rsidR="1A8E7649" w:rsidP="08956164" w:rsidRDefault="1A8E7649" w14:paraId="45163C87" w14:textId="6399713F">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Data Presentation</w:t>
      </w:r>
    </w:p>
    <w:p w:rsidR="1A8E7649" w:rsidP="08956164" w:rsidRDefault="1A8E7649" w14:paraId="6F448133" w14:textId="16201094">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The data gathered from this research is presented here using a thematic analysis of the information gathered in the previously described research methods. This data is shown in a thematic map (Appendix D) based on the work of Braun and Clarke (2006) and, Maguire and Delahunt (2017). The thematic map began as a broader map of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common areas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mentioned in interviews, this was taken from direct statements by participants that were repeated or closely correlated across different interviews and observations. This allowed for themes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emerge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between these statements and create a more refined map linked more closely to the relevant themes to discuss. This approach ensures that the qualitative data is presented and documented in a way that can be easily understood by its thematic content (Braun and Clarke, 2006, p.88). </w:t>
      </w:r>
    </w:p>
    <w:p w:rsidR="1A8E7649" w:rsidP="08956164" w:rsidRDefault="1A8E7649" w14:paraId="068A6D2B" w14:textId="27F4A0D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For this it was important to create transcription of interviews and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analyise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ongoing thematic throughlines. The reason that direct transcription was important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it creates trustworthy and repeatable data given the same data samples (Braun and Clarke, 2006, p.87). This repeatability and confirmability of the data through direct and objective transcription is important as it speaks to the veracity of any analysis of the data itself. Moreover, it is important to acknowledge that if it were not taken from transcription the thematic findings could be skewed by the positionality of the researcher to the participants. This is a concern of Poulton (2020) who discusses the importance of reflexivity in your position as a researcher and how that may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impact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your research, and the importance of objectivity, where possible, within your research.</w:t>
      </w:r>
    </w:p>
    <w:p w:rsidR="1A8E7649" w:rsidP="08956164" w:rsidRDefault="1A8E7649" w14:paraId="2AE02517" w14:textId="66A9CA5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The transcription was taken from an audio recording of an interview with children. This transcription was done by the researcher and was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anonymised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This was then used to find thematic repetitions throughout the interview and to create the thematic map below (Appendix D). There are, however, limitations to this research as due to staff changes and timetable changes the researcher was only able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 lesson and conduct a single interview. As such the thematic findings are based on a single interview rather than a detailed analysis over a set of interviews. The observation findings are also described below, and the observing methods were based on Forman and Hall (2005) in their discussions of the importance of interviews in understanding education. As such, all observations are understood to be as objective as possible whilst still acknowledging my own position as a researcher in line with the positional reflexivity encouraged by Poulton (2020). </w:t>
      </w:r>
    </w:p>
    <w:p w:rsidR="1A8E7649" w:rsidP="08956164" w:rsidRDefault="1A8E7649" w14:paraId="5FC587DE" w14:textId="2B7436C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1A8E7649">
        <w:drawing>
          <wp:inline wp14:editId="7C3E64FE" wp14:anchorId="2CFF95BC">
            <wp:extent cx="5943600" cy="2914650"/>
            <wp:effectExtent l="0" t="0" r="0" b="0"/>
            <wp:docPr id="38672726" name="" descr="Appendix D" title=""/>
            <wp:cNvGraphicFramePr>
              <a:graphicFrameLocks noChangeAspect="1"/>
            </wp:cNvGraphicFramePr>
            <a:graphic>
              <a:graphicData uri="http://schemas.openxmlformats.org/drawingml/2006/picture">
                <pic:pic>
                  <pic:nvPicPr>
                    <pic:cNvPr id="0" name=""/>
                    <pic:cNvPicPr/>
                  </pic:nvPicPr>
                  <pic:blipFill>
                    <a:blip r:embed="R1e0e4739dde141ef">
                      <a:extLst>
                        <a:ext xmlns:a="http://schemas.openxmlformats.org/drawingml/2006/main" uri="{28A0092B-C50C-407E-A947-70E740481C1C}">
                          <a14:useLocalDpi val="0"/>
                        </a:ext>
                      </a:extLst>
                    </a:blip>
                    <a:stretch>
                      <a:fillRect/>
                    </a:stretch>
                  </pic:blipFill>
                  <pic:spPr>
                    <a:xfrm>
                      <a:off x="0" y="0"/>
                      <a:ext cx="5943600" cy="2914650"/>
                    </a:xfrm>
                    <a:prstGeom prst="rect">
                      <a:avLst/>
                    </a:prstGeom>
                  </pic:spPr>
                </pic:pic>
              </a:graphicData>
            </a:graphic>
          </wp:inline>
        </w:drawing>
      </w:r>
    </w:p>
    <w:p w:rsidR="1A8E7649" w:rsidP="08956164" w:rsidRDefault="1A8E7649" w14:paraId="0739B9C0" w14:textId="41B0DE30">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Discussion of Findings</w:t>
      </w:r>
    </w:p>
    <w:p w:rsidR="1A8E7649" w:rsidP="08956164" w:rsidRDefault="1A8E7649" w14:paraId="656C1040" w14:textId="13723D62">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As shown in Appendix D above there are clear themes that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emerge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interviews.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Largely it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is important to note that the pupils find the Welsh lessons fun and have associated words like games and play.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This clearly shows links between pupils and playing within lessons as well as playing games as one of the key features within their Welsh lessons.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This was also found during observations of the lesson which included many games and engagement techniques that encouraged children to play and enjoy themselves. This then leads to the emotions that are linked to the lessons in the thematic map, happiness,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excitement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and enjoyment (Appendix D). </w:t>
      </w:r>
    </w:p>
    <w:p w:rsidR="1A8E7649" w:rsidP="08956164" w:rsidRDefault="1A8E7649" w14:paraId="3F090147" w14:textId="5B42993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This supports statements by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Blaskova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(2020) and their support of engaging children through play, this was previously supported by </w:t>
      </w:r>
      <w:r w:rsidRPr="08956164" w:rsidR="4532917E">
        <w:rPr>
          <w:rFonts w:ascii="Arial" w:hAnsi="Arial" w:eastAsia="Arial" w:cs="Arial"/>
          <w:b w:val="0"/>
          <w:bCs w:val="0"/>
          <w:i w:val="0"/>
          <w:iCs w:val="0"/>
          <w:caps w:val="0"/>
          <w:smallCaps w:val="0"/>
          <w:noProof w:val="0"/>
          <w:color w:val="000000" w:themeColor="text1" w:themeTint="FF" w:themeShade="FF"/>
          <w:sz w:val="24"/>
          <w:szCs w:val="24"/>
          <w:lang w:val="en-US"/>
        </w:rPr>
        <w:t xml:space="preserve">Theobald </w:t>
      </w:r>
      <w:r w:rsidRPr="08956164" w:rsidR="4532917E">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(2011) who discussed the importance of play in education in early years. Class 0 being between 7 and 8 years old may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benefit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from this approach to language learning as shown by the fact that they enjoy or are excited by the lessons, as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indicated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by the thematic map. </w:t>
      </w:r>
    </w:p>
    <w:p w:rsidR="1A8E7649" w:rsidP="08956164" w:rsidRDefault="1A8E7649" w14:paraId="62AE406F" w14:textId="60D2217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as the map also shows, the pupils found some of the language learning difficult. This is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indicated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by the recurrence of the terms ‘too hard’ and ‘don’t know</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observed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by the researchers, often pupils say they ‘don’t know’ when they find things difficult rather than when they do not know. This may be down to the use of the term within the school community; however, it indicates a lack of clarity in the children. Another term that links to this lack of clarity for the pupils is the term ‘try’ when discussing the work. This is linked as a positive and uncertainty on the thematic map due to the additional context surrounding the term's use in interviews. Within context, the term ‘try’ was used both as a discouraged statement of not understanding work and as a statement of wanting to try different learning games. </w:t>
      </w:r>
    </w:p>
    <w:p w:rsidR="1A8E7649" w:rsidP="08956164" w:rsidRDefault="1A8E7649" w14:paraId="5EDDA524" w14:textId="0A284C8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Within the class's context, this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they enjoy their Welsh lessons. Despite the limitations of a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relatively small</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interview sample size, it was clear that the children interviewed enjoyed the lessons. This was also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evident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in the observations of the lessons and the children's engagement in them. Moreover, the techniques of using playfulness with the class engaged and aided the ALN pupils with their language learning in line with discussions of playfulness from Cobbe (2019) and Seach (2007). This interactive play also aided in the classroom management of the SEMH pupils within the classroom. This management is encouraged by Gus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(2017) and Selen and Ulas (2021), who discuss the role of playfulness in engaging pupils in self-management.</w:t>
      </w:r>
    </w:p>
    <w:p w:rsidR="1A8E7649" w:rsidP="08956164" w:rsidRDefault="1A8E7649" w14:paraId="4E4405A8" w14:textId="25218EF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the pupils also find this style of learning difficult when translating to written work as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indicated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by observations of pupils struggling with the written components of their work. Moreover, whilst the pupils can engage with learning through a rote style of language acquisition there is a lack of using pair work or roleplay within the lessons. Theorists like Savvidou (2020)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and,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Bardel and Sanchez (2020) discuss the use of emotion and role-play as key areas for second and third-language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acquisition</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respectively. Moreover, C.B.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Winardy</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Septiana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(2023) discuss the importance of role-play as a function of learning and developing skills in education. This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perhaps indicates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that a singular approach of rote and games led learning is not effective for this class. This may be the reason that words like ‘hard’ come up when discussing the written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of work, or why pupils disengage from lessons at that point.</w:t>
      </w:r>
    </w:p>
    <w:p w:rsidR="1A8E7649" w:rsidP="08956164" w:rsidRDefault="1A8E7649" w14:paraId="07DD3858" w14:textId="6B7194B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as this data set was collected from a single observation and interview it is not conclusive evidence. More this data shows that this class may struggle with their current Welsh lessons. Whilst they may find them difficult, it is also true that they enjoy these lessons and that thematically the words linked with enjoyment recur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when discussing their experiences of Welsh language lessons. However, as this is a school-wide approach to Welsh second language lessons it is possible that this approach is being carried out in other classes throughout the school with different effects.</w:t>
      </w:r>
    </w:p>
    <w:p w:rsidR="1A8E7649" w:rsidP="08956164" w:rsidRDefault="1A8E7649" w14:paraId="7CB39463" w14:textId="6207AAEE">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1A8E7649">
        <w:rPr>
          <w:rFonts w:ascii="Arial" w:hAnsi="Arial" w:eastAsia="Arial" w:cs="Arial"/>
          <w:b w:val="1"/>
          <w:bCs w:val="1"/>
          <w:i w:val="0"/>
          <w:iCs w:val="0"/>
          <w:caps w:val="0"/>
          <w:smallCaps w:val="0"/>
          <w:noProof w:val="0"/>
          <w:color w:val="000000" w:themeColor="text1" w:themeTint="FF" w:themeShade="FF"/>
          <w:sz w:val="24"/>
          <w:szCs w:val="24"/>
          <w:u w:val="single"/>
          <w:lang w:val="en-US"/>
        </w:rPr>
        <w:t>Conclusion and Further Actions</w:t>
      </w:r>
    </w:p>
    <w:p w:rsidR="1A8E7649" w:rsidP="08956164" w:rsidRDefault="1A8E7649" w14:paraId="7B1A1341" w14:textId="7BC5D00F">
      <w:pPr>
        <w:spacing w:line="360" w:lineRule="auto"/>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To conclude, whilst the research planned and conducted found that pupils were engaged in their compulsory Welsh language lessons, they found components of the lessons more difficult to understand and ‘too hard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These Welsh lessons are conducted to adhere to the Welsh Government strategy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Cymraeg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2050 (Welsh Govt., 2017) and are planned and delivered using a whole-school approach to progression. This planning allows for the use of play and games throughout the learning that both engages learners and aids in their self-management skills (Seach, 2007., Cobbe, 2019.,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Blaskova</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08956164" w:rsidR="1A8E7649">
        <w:rPr>
          <w:rFonts w:ascii="Arial" w:hAnsi="Arial" w:eastAsia="Arial" w:cs="Arial"/>
          <w:b w:val="0"/>
          <w:bCs w:val="0"/>
          <w:i w:val="1"/>
          <w:iCs w:val="1"/>
          <w:caps w:val="0"/>
          <w:smallCaps w:val="0"/>
          <w:noProof w:val="0"/>
          <w:color w:val="000000" w:themeColor="text1" w:themeTint="FF" w:themeShade="FF"/>
          <w:sz w:val="24"/>
          <w:szCs w:val="24"/>
          <w:lang w:val="en-US"/>
        </w:rPr>
        <w:t xml:space="preserve">et al.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2020., Selen and Ulas, 2021.).</w:t>
      </w:r>
    </w:p>
    <w:p w:rsidR="1A8E7649" w:rsidP="08956164" w:rsidRDefault="1A8E7649" w14:paraId="38F43554" w14:textId="5F5EEFC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through this research, it also became clear that there were limitations to the observed approach.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Mainly, the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lack of diversity in language acquisition approaches through the practical application of language in role-play learning. This limits the learning and role-play is a technique that is encouraged by Savvidou (2020) and Bardel and Sanchez (2020) as it is emotive which both posit improve the learning of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additional</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languages. Moreover, this limited approach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seemingly impacts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the written ability of the learners in Welsh which they find more difficult than learning through play. </w:t>
      </w:r>
    </w:p>
    <w:p w:rsidR="1A8E7649" w:rsidP="08956164" w:rsidRDefault="1A8E7649" w14:paraId="1D4F8779" w14:textId="4637182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However, due to the limitations of this research, it is impossible to conclusively posit that these Welsh lessons are perceived in any particular,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generalised</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way by the pupils in Class 0. More so these limitations make the findings of this research so specific to the lessons of a singular week that any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generalisations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drawn from them may prove false to a larger account of Year 3 experiences. Whilst theorists like Yin (2002) and Stake (1995) view a case study as a specific instance, bound by its context to create a greater understanding of a general point. This research is so limited in scope that it can pose questions of how or why something may happen but does not have any conclusive evidence to support any kind of conclusion.</w:t>
      </w:r>
    </w:p>
    <w:p w:rsidR="1A8E7649" w:rsidP="08956164" w:rsidRDefault="1A8E7649" w14:paraId="7F3BD3C1" w14:textId="5A436DE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If the research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was</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to continue with a larger data set of more interviews it may be possible to create a larger and more conclusive thematic map to discuss the experiences of Class 0 in compulsory Welsh lessons. Another possible next step would be to broaden the research to include the second Year 3 class within the school and judge from both to discuss the parity of experience between the two classes. However, as discussed by Mackie (2018) the demand for Welsh language teaching and learning due to the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Cymraeg</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2050 strategy (Welsh Govt., 2017), put a strain on the Welsh resources of a school and staff. Therefore, the value of this research into effective language teaching cannot be overlooked. That is why I believe that it would be important to follow this research with a wider data set from within the school if the school wanted to create a more effective Welsh learning environment for learners. Furthermore, during my final summer placement I hope to </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facilitate</w:t>
      </w:r>
      <w:r w:rsidRPr="08956164" w:rsidR="1A8E7649">
        <w:rPr>
          <w:rFonts w:ascii="Arial" w:hAnsi="Arial" w:eastAsia="Arial" w:cs="Arial"/>
          <w:b w:val="0"/>
          <w:bCs w:val="0"/>
          <w:i w:val="0"/>
          <w:iCs w:val="0"/>
          <w:caps w:val="0"/>
          <w:smallCaps w:val="0"/>
          <w:noProof w:val="0"/>
          <w:color w:val="000000" w:themeColor="text1" w:themeTint="FF" w:themeShade="FF"/>
          <w:sz w:val="24"/>
          <w:szCs w:val="24"/>
          <w:lang w:val="en-US"/>
        </w:rPr>
        <w:t xml:space="preserve"> more opportunities for learners to engage with the Welsh language in role-play and emotive scenarios to create effective language learning as outlined by Savvidou (2020) and Bardel and Sanchez (2020).</w:t>
      </w:r>
    </w:p>
    <w:p w:rsidR="08956164" w:rsidP="08956164" w:rsidRDefault="08956164" w14:paraId="6951F6C6" w14:textId="7D101E3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6F5C6D41" w:rsidP="08956164" w:rsidRDefault="6F5C6D41" w14:paraId="2DA81C92" w14:textId="00D0189C">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US"/>
        </w:rPr>
      </w:pPr>
      <w:r w:rsidRPr="08956164" w:rsidR="6F5C6D41">
        <w:rPr>
          <w:rFonts w:ascii="Arial" w:hAnsi="Arial" w:eastAsia="Arial" w:cs="Arial"/>
          <w:b w:val="1"/>
          <w:bCs w:val="1"/>
          <w:i w:val="0"/>
          <w:iCs w:val="0"/>
          <w:caps w:val="0"/>
          <w:smallCaps w:val="0"/>
          <w:noProof w:val="0"/>
          <w:color w:val="000000" w:themeColor="text1" w:themeTint="FF" w:themeShade="FF"/>
          <w:sz w:val="24"/>
          <w:szCs w:val="24"/>
          <w:u w:val="single"/>
          <w:lang w:val="en-US"/>
        </w:rPr>
        <w:t>Bibliography</w:t>
      </w:r>
    </w:p>
    <w:p w:rsidR="6F5C6D41" w:rsidP="08956164" w:rsidRDefault="6F5C6D41" w14:paraId="48865329" w14:textId="6A0E00C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Adelman, C., Kemmis, S. and Jenkins, D. (1980) Rethinking case study: notes from the Second Cambridge Conference. In H. Simons (ed.) Towards a Science of the Singular. Norwich, UK: Centre for Applied Research in Education, University of East Anglia, pp. 45–61. </w:t>
      </w:r>
    </w:p>
    <w:p w:rsidR="6F5C6D41" w:rsidP="08956164" w:rsidRDefault="6F5C6D41" w14:paraId="4F539CC1" w14:textId="3F3E48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36E3F02" w14:textId="439322A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Balkaya</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 &amp;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Akkucuk</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U. (2021). Adoption and Use of Learning Management Systems in Education: The Role of Playfulness and Self-Management. Sustainability (Basel, Switzerland), 13(3), 1127-.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https://doi.org/10.3390/su13031127</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6E3CB59" w14:textId="6D4A045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0061B22" w14:textId="44BDDAE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Bardel, C., &amp;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Sánchez</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L. (Eds.). (2020). Third language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acquisition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Age,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proficiency</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multilingualism. Language Science Press. </w:t>
      </w:r>
    </w:p>
    <w:p w:rsidR="6F5C6D41" w:rsidP="08956164" w:rsidRDefault="6F5C6D41" w14:paraId="7D0BA18C" w14:textId="3C63A0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38C17D7" w14:textId="6E7F9D6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Blaskova</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L. J., Le Courtois, S., Baker, S. T., Gibson, J. L., Ramchandani, P. G.,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O’Farrelly</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C., &amp; Fink, E. (2020). Participant engagement with play research - examples and lessons learned from the Centre for Play in Education, Development and Learning. International Journal of Play, 9(4), 365–381.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https://doi.org/10.1080/21594937.2020.1843804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E3888A2" w14:textId="240C523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76D09BB" w14:textId="19E4D06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Braun, V. and Clarke, V. (2006) ‘Using thematic analysis in psychology’, Qualitative Research in Psychology, 3(2), pp. 77–101. doi:10.1191/1478088706qp063oa</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4415323" w14:textId="7650B82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B8C4E5D" w14:textId="7756DD6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British Educational Research Association [BERA] (2018) Ethical Guidelines for Educational Research, fourth edition, London.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https://www.bera.ac.uk/researchers-resources/publications/ethicalguidelines-for-educational-research-2018</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C3A40DA" w14:textId="47ADE27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D2CD3C2" w14:textId="659C1A4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British Government (2018) Data protection act 2018, Legislation.gov.uk.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https://www.legislation.gov.uk/ukpga/2018/12/contents/enacted</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C777996" w14:textId="62192A5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3D8EC14" w14:textId="4329C61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Cobbe, S. (2019) Rhythms and routines on the autism spectrum: A guide for parents and professionals supporting children at home and in school. London: Jessica Kingsley Publishers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EC86267" w14:textId="2A18B11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DA15D36" w14:textId="72A3EEC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Cohen, L., Manion, L. and Morrison, K. (2007) Research methods in education. London: Routledge</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428E239" w14:textId="6268B23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2B93F4F" w14:textId="2210311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Forman, G. and Hall, E. (2013) ‘Wondering with children: The importance of observation in early education’,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LEARNing</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Landscapes, 7(1), pp. 187–202. doi:10.36510/</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learnland.v</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7i1.637</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9FB2999" w14:textId="6330498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EEB6831" w14:textId="03BB30C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Hunkin, E. and Carmel, J. (2022) ‘Toward a higher education playfulness pedagogy (HEPP) for pre-service early childhood work Integrated Learning Courses’, Journal of Early Childhood Teacher Education, 43(3), pp. 414–425. doi:10.1080/10901027.2021.2012542</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6CE278D" w14:textId="683722A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1FB75FB" w14:textId="6B35E86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Mackie, M.-A. (2018). The challenges and risks inherent in Welsh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language  revitalization</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the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Cymraeg</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2050 Strategic Plan. </w:t>
      </w:r>
    </w:p>
    <w:p w:rsidR="6F5C6D41" w:rsidP="08956164" w:rsidRDefault="6F5C6D41" w14:paraId="2315D417" w14:textId="475E9A9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FE7A40D" w14:textId="53E9EF5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Maguire, M. and Delahunt, B. (2017) (PDF) doing a thematic analysis: A practical, step-by-step guide.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https://www.researchgate.net/publication/349506918_Doing_a_Thematic_Analysis_A_Practical_Step-by-Step_Guide</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9F50E6A" w14:textId="16B2D16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459FB2E" w14:textId="6678241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Mathers, N.J., Fox, N.J. and Hunn, A. (1998) Using interviews in a research project. NHS Executive, Trent</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6BCD3F0" w14:textId="2B6BFB3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A25E44E" w14:textId="03E03D4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Merriam, S. (2009). Qualitative Research: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a</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Guide to Design and Implementation. San Francisco, CA: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JosseyBass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C48EEB2" w14:textId="01CF0D3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485E838" w14:textId="4CE8545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Merriam, S.B. (1998) Qualitative Research and case study applications in Education. KOROS Press Limited</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C62037D" w14:textId="78E5AD2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5A6A52F9" w14:textId="50DAB19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Moyles, J. R. (1989). Just playing</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the role and status of play in early childhood education. Open University Press. </w:t>
      </w:r>
    </w:p>
    <w:p w:rsidR="6F5C6D41" w:rsidP="08956164" w:rsidRDefault="6F5C6D41" w14:paraId="4E58FCA0" w14:textId="2E7BCF1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D837C20" w14:textId="2582613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Muñoz, C. (2020) Cognate recognition by young multilingual language learners: The role of age and exposure., In: Bardel, C., &amp;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Sánchez</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L. (Eds.). (2020). Third language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acquisition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Age,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proficiency</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multilingualism. Language Science Press. </w:t>
      </w:r>
    </w:p>
    <w:p w:rsidR="6F5C6D41" w:rsidP="08956164" w:rsidRDefault="6F5C6D41" w14:paraId="64C85BC4" w14:textId="31FFA95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1960259" w14:textId="3978594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Nisbet, J. and Watt, J. (1984) Case study. In J. Bell, T. Bush, A. Fox, J.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Goodey</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S. Goulding (eds) Conducting Small-Scale Investigations in Educational Management. London: Harper &amp; Row, pp. 79–92. </w:t>
      </w:r>
    </w:p>
    <w:p w:rsidR="6F5C6D41" w:rsidP="08956164" w:rsidRDefault="6F5C6D41" w14:paraId="1819A5A7" w14:textId="6A49DBC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25EFE94" w14:textId="460080A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Opdenakker</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R. (2006) (PDF) advantages and disadvantages of four interview techniques in qualitative research [electronic journal].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https://www.researchgate.net/publication/48666088_Advantages_and_Disadvantages_of_Four_Interview_Techniques_in_Qualitative_Research_Electronic_Journal</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321C0A9" w14:textId="770E9D2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566F7602" w14:textId="7403C4E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Poulton, P. (2020) Being a ‘chameleon’: The role of ethical reflexivity in becoming a more virtuous teacher-researcher, BERA.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https://www.bera.ac.uk/blog/being-a-chameleon-the-role-of-ethical-reflexivity-in-becoming-a-more-virtuous-teacher-researcher</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F73632E" w14:textId="0D08CF4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0B3BEC8" w14:textId="000DCC7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Pramling</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Niklas., Wallerstedt, Cecilia., Lagerlöf, Pernilla., Björklund, Camilla.,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Kultti</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Anne.,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Palmér</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Hanna., Magnusson, Maria., Thulin, Susanne., Jonsson, Agneta., &amp;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Pramling</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Samuelsson, Ingrid. (2019). Play-Responsive Teaching in Early Childhood Education (1st ed. 2019.). Springer International Publishing.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https://doi.org/10.1007/978-3-030-15958-0</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8757E2A" w14:textId="2A9D6D7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7942DE1" w14:textId="7060288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Rogers, S. (2011). Rethinking play and pedagogy in early childhood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education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concepts,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contexts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cultures. Routledge. </w:t>
      </w:r>
    </w:p>
    <w:p w:rsidR="6F5C6D41" w:rsidP="08956164" w:rsidRDefault="6F5C6D41" w14:paraId="5CBBD136" w14:textId="02BA7C6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0FD5FD3" w14:textId="4D8BFA3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Savvidou, C. (Ed.). (2020). Second language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acquisition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pedagogies,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practices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and perspectives.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IntechOpen</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5F089F0A" w14:textId="1ED69D9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3F8B678" w14:textId="0D3B41C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Seach, D. (2012) Interactive play for children with autism [Preprint]. doi:10.4324/9780203412930</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2823554" w14:textId="00E57F3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AC14B52" w14:textId="777812B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Stake, R.E. (1995) The Art of Case Study Research. Thousand Oaks, CA: Sage</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7BF7CBC" w14:textId="2300283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78D0B26" w14:textId="0978CCF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Theobald, M., Danby, S. and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Ailwood</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J. (2011) ‘Child participation in the Early Years: Challenges for education’, Australasian Journal of Early Childhood, 36(3), pp. 19–26. doi:10.1177/183693911103600304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0B4F941F" w14:textId="01C69F1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19CC1499" w14:textId="2152B4D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Turner, D. (2014) ‘Qualitative interview design: A practical guide for novice investigators’, The Qualitative Report [Preprint]. doi:10.46743/2160-3715/2010.1178</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677551CE" w14:textId="75ACC9D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3B3BF5B2" w14:textId="6367D40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UWTSD (2022) Research integrity and ethics, University of Wales Trinity Saint David.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https://www.uwtsd.ac.uk/research/research-integrity-and-ethics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41B87CB" w14:textId="27CA8C2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291143C6" w14:textId="533D7FF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Welsh Government (2015) Well-being of Future generations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wales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act 2015, The Future Generations Commissioner for Wales.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https://www.futuregenerations.wales/about-us/future-generations-act/</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5F71226F" w14:textId="48E1540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B2D72E8" w14:textId="26D7541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Welsh Government (2017)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Cymraeg</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2050: A million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welsh</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speakers.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https://www.gov.wales/sites/default/files/publications/2018-12/cymraeg-2050-welsh-language-strategy.pdf</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5C6AF158" w14:textId="5DDDB05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8A39F88" w14:textId="79C72E9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Welsh Government (2024) Curriculum for Wales, Hwb.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https://hwb.gov.wales/curriculum-for-wales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 </w:t>
      </w:r>
    </w:p>
    <w:p w:rsidR="6F5C6D41" w:rsidP="08956164" w:rsidRDefault="6F5C6D41" w14:paraId="3438A99D" w14:textId="24B4EBA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634A6F8" w14:textId="6D1C3D6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Winardy</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G.C. and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Septiana</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E. (2023) ‘Role, play, and games: Comparison between role-playing games and role-play in Education’, Social Sciences &amp;amp; Humanities Open, 8(1), p. 100527.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doi:10.1016/j.ssaho</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.2023.100527</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7842102" w14:textId="03DFEFA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5E657E58" w14:textId="2019A11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Yazan, B. (2015) Three approaches to case study methods in education: Yin, Merriam, and stake,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NSUWorks</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Available at: </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https://nsuworks.nova.edu/tqr/vol20/iss2/12/</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(Accessed: 06 May 2024)</w:t>
      </w: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48D68497" w14:textId="4CCA024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 xml:space="preserve"> </w:t>
      </w:r>
    </w:p>
    <w:p w:rsidR="6F5C6D41" w:rsidP="08956164" w:rsidRDefault="6F5C6D41" w14:paraId="7C55F1CA" w14:textId="4EBFB76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08956164" w:rsidR="6F5C6D41">
        <w:rPr>
          <w:rFonts w:ascii="Arial" w:hAnsi="Arial" w:eastAsia="Arial" w:cs="Arial"/>
          <w:b w:val="0"/>
          <w:bCs w:val="0"/>
          <w:i w:val="0"/>
          <w:iCs w:val="0"/>
          <w:caps w:val="0"/>
          <w:smallCaps w:val="0"/>
          <w:noProof w:val="0"/>
          <w:color w:val="000000" w:themeColor="text1" w:themeTint="FF" w:themeShade="FF"/>
          <w:sz w:val="24"/>
          <w:szCs w:val="24"/>
          <w:u w:val="none"/>
          <w:lang w:val="en-US"/>
        </w:rPr>
        <w:t>Yin, R.K. (2002) Case study research: Design and methods. London: Sage Publication.</w:t>
      </w:r>
    </w:p>
    <w:p w:rsidR="08956164" w:rsidP="08956164" w:rsidRDefault="08956164" w14:paraId="67F74446" w14:textId="7D3D625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headerReference w:type="default" r:id="Ra5dd67092aac427d"/>
      <w:footerReference w:type="default" r:id="Rbde48ef9347e4e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956164" w:rsidTr="08956164" w14:paraId="0FF48DED">
      <w:trPr>
        <w:trHeight w:val="300"/>
      </w:trPr>
      <w:tc>
        <w:tcPr>
          <w:tcW w:w="3120" w:type="dxa"/>
          <w:tcMar/>
        </w:tcPr>
        <w:p w:rsidR="08956164" w:rsidP="08956164" w:rsidRDefault="08956164" w14:paraId="06506A77" w14:textId="2382EE55">
          <w:pPr>
            <w:pStyle w:val="Header"/>
            <w:bidi w:val="0"/>
            <w:ind w:left="-115"/>
            <w:jc w:val="left"/>
          </w:pPr>
        </w:p>
      </w:tc>
      <w:tc>
        <w:tcPr>
          <w:tcW w:w="3120" w:type="dxa"/>
          <w:tcMar/>
        </w:tcPr>
        <w:p w:rsidR="08956164" w:rsidP="08956164" w:rsidRDefault="08956164" w14:paraId="7BD9D5AB" w14:textId="5F64D852">
          <w:pPr>
            <w:pStyle w:val="Header"/>
            <w:bidi w:val="0"/>
            <w:jc w:val="center"/>
          </w:pPr>
        </w:p>
      </w:tc>
      <w:tc>
        <w:tcPr>
          <w:tcW w:w="3120" w:type="dxa"/>
          <w:tcMar/>
        </w:tcPr>
        <w:p w:rsidR="08956164" w:rsidP="08956164" w:rsidRDefault="08956164" w14:paraId="7202DEB9" w14:textId="63BC6AC0">
          <w:pPr>
            <w:pStyle w:val="Header"/>
            <w:bidi w:val="0"/>
            <w:ind w:right="-115"/>
            <w:jc w:val="right"/>
          </w:pPr>
        </w:p>
      </w:tc>
    </w:tr>
  </w:tbl>
  <w:p w:rsidR="08956164" w:rsidP="08956164" w:rsidRDefault="08956164" w14:paraId="75D78948" w14:textId="1B3D42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8956164" w:rsidTr="08956164" w14:paraId="3BE5EEB3">
      <w:trPr>
        <w:trHeight w:val="300"/>
      </w:trPr>
      <w:tc>
        <w:tcPr>
          <w:tcW w:w="3120" w:type="dxa"/>
          <w:tcMar/>
        </w:tcPr>
        <w:p w:rsidR="08956164" w:rsidP="08956164" w:rsidRDefault="08956164" w14:paraId="631FDD86" w14:textId="68797C28">
          <w:pPr>
            <w:pStyle w:val="Header"/>
            <w:bidi w:val="0"/>
            <w:ind w:left="-115"/>
            <w:jc w:val="left"/>
          </w:pPr>
          <w:r w:rsidR="08956164">
            <w:rPr/>
            <w:t>2300086</w:t>
          </w:r>
        </w:p>
      </w:tc>
      <w:tc>
        <w:tcPr>
          <w:tcW w:w="3120" w:type="dxa"/>
          <w:tcMar/>
        </w:tcPr>
        <w:p w:rsidR="08956164" w:rsidP="08956164" w:rsidRDefault="08956164" w14:paraId="7E571BF0" w14:textId="0ED8C638">
          <w:pPr>
            <w:pStyle w:val="Header"/>
            <w:bidi w:val="0"/>
            <w:jc w:val="center"/>
          </w:pPr>
        </w:p>
      </w:tc>
      <w:tc>
        <w:tcPr>
          <w:tcW w:w="3120" w:type="dxa"/>
          <w:tcMar/>
        </w:tcPr>
        <w:p w:rsidR="08956164" w:rsidP="08956164" w:rsidRDefault="08956164" w14:paraId="1403D89E" w14:textId="2DFCD945">
          <w:pPr>
            <w:pStyle w:val="Header"/>
            <w:bidi w:val="0"/>
            <w:ind w:right="-115"/>
            <w:jc w:val="right"/>
          </w:pPr>
          <w:r>
            <w:fldChar w:fldCharType="begin"/>
          </w:r>
          <w:r>
            <w:instrText xml:space="preserve">PAGE</w:instrText>
          </w:r>
          <w:r>
            <w:fldChar w:fldCharType="separate"/>
          </w:r>
          <w:r>
            <w:fldChar w:fldCharType="end"/>
          </w:r>
        </w:p>
      </w:tc>
    </w:tr>
  </w:tbl>
  <w:p w:rsidR="08956164" w:rsidP="08956164" w:rsidRDefault="08956164" w14:paraId="3F671CD2" w14:textId="4BFC1A0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C7B282"/>
    <w:rsid w:val="08956164"/>
    <w:rsid w:val="113095B9"/>
    <w:rsid w:val="1668C26B"/>
    <w:rsid w:val="1A8E7649"/>
    <w:rsid w:val="1AE187B8"/>
    <w:rsid w:val="1D5E224C"/>
    <w:rsid w:val="229DC144"/>
    <w:rsid w:val="26E91783"/>
    <w:rsid w:val="3379FF84"/>
    <w:rsid w:val="3A652CDA"/>
    <w:rsid w:val="3FE1CB4F"/>
    <w:rsid w:val="40C7B282"/>
    <w:rsid w:val="4532917E"/>
    <w:rsid w:val="4A47C56D"/>
    <w:rsid w:val="62C85E2A"/>
    <w:rsid w:val="6807DDF0"/>
    <w:rsid w:val="6F5C6D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7B282"/>
  <w15:chartTrackingRefBased/>
  <w15:docId w15:val="{7B1E45C0-75EA-4642-BCD8-144AA29A21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e0e4739dde141ef" /><Relationship Type="http://schemas.openxmlformats.org/officeDocument/2006/relationships/header" Target="header.xml" Id="Ra5dd67092aac427d" /><Relationship Type="http://schemas.openxmlformats.org/officeDocument/2006/relationships/footer" Target="footer.xml" Id="Rbde48ef9347e4e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2024-05-06T16:46:35.6740811Z</dcterms:created>
  <dcterms:modified xsi:type="dcterms:W3CDTF">2024-05-06T17:38:44.7927861Z</dcterms:modified>
  <dc:creator>Iolo Williams (2300086)</dc:creator>
  <lastModifiedBy>Iolo Williams (2300086)</lastModifiedBy>
</coreProperties>
</file>