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CC486" w14:textId="24D2CA76" w:rsidR="00972D06" w:rsidRDefault="00AB1861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ADC4F2" wp14:editId="36694B9C">
                <wp:simplePos x="0" y="0"/>
                <wp:positionH relativeFrom="page">
                  <wp:posOffset>914400</wp:posOffset>
                </wp:positionH>
                <wp:positionV relativeFrom="margin">
                  <wp:posOffset>0</wp:posOffset>
                </wp:positionV>
                <wp:extent cx="5943600" cy="914400"/>
                <wp:effectExtent l="0" t="0" r="0" b="3810"/>
                <wp:wrapNone/>
                <wp:docPr id="62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2C7FCE" w:themeColor="text2" w:themeTint="9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7971927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CB54DC5" w14:textId="07EA4B17" w:rsidR="00AB1861" w:rsidRPr="00A461F9" w:rsidRDefault="007704BF" w:rsidP="00AB186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56"/>
                                    <w:szCs w:val="56"/>
                                  </w:rPr>
                                  <w:t>bmhp6027 – EMPOWERING THE OLDER PERSON</w:t>
                                </w:r>
                              </w:p>
                            </w:sdtContent>
                          </w:sdt>
                          <w:p w14:paraId="527589B5" w14:textId="7AA12BE9" w:rsidR="00AB1861" w:rsidRDefault="00000000" w:rsidP="00AB1861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olor w:val="156082" w:themeColor="accent1"/>
                                  <w:sz w:val="32"/>
                                  <w:szCs w:val="32"/>
                                </w:rPr>
                                <w:alias w:val="Subtitle"/>
                                <w:tag w:val=""/>
                                <w:id w:val="2021743002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4A131E">
                                  <w:rPr>
                                    <w:color w:val="156082" w:themeColor="accent1"/>
                                    <w:sz w:val="32"/>
                                    <w:szCs w:val="32"/>
                                  </w:rPr>
                                  <w:t>COMPONENT 2 – Debate References</w:t>
                                </w:r>
                              </w:sdtContent>
                            </w:sdt>
                          </w:p>
                          <w:p w14:paraId="0230CA70" w14:textId="77777777" w:rsidR="00AB1861" w:rsidRPr="00A461F9" w:rsidRDefault="00AB1861" w:rsidP="00AB1861">
                            <w:pPr>
                              <w:rPr>
                                <w:rFonts w:asciiTheme="minorBidi" w:hAnsiTheme="minorBidi"/>
                                <w:sz w:val="28"/>
                                <w:szCs w:val="28"/>
                              </w:rPr>
                            </w:pPr>
                            <w:r w:rsidRPr="00A461F9">
                              <w:rPr>
                                <w:rFonts w:asciiTheme="minorBidi" w:hAnsiTheme="minorBidi"/>
                                <w:sz w:val="28"/>
                                <w:szCs w:val="28"/>
                              </w:rPr>
                              <w:t>Sana Ahmed 2314455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</wp:anchor>
            </w:drawing>
          </mc:Choice>
          <mc:Fallback>
            <w:pict>
              <v:shapetype w14:anchorId="45ADC4F2"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1in;margin-top:0;width:468pt;height:1in;z-index:251662336;visibility:visible;mso-wrap-style:square;mso-width-percent:765;mso-wrap-distance-left:9pt;mso-wrap-distance-top:0;mso-wrap-distance-right:9pt;mso-wrap-distance-bottom:0;mso-position-horizontal:absolute;mso-position-horizontal-relative:page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9vv6gd4AAAAJAQAADwAAAGRycy9kb3du&#10;cmV2LnhtbEyPQUsDMRCF70L/QxjBy2ITSyll3Wyxag8epLQqeEw342ZxM1k3abv11zsFQS/DPN7w&#10;5nvFYvCtOGAfm0AabsYKBFIVbEO1hteX1fUcREyGrGkDoYYTRliUo4vC5DYcaYOHbaoFh1DMjQaX&#10;UpdLGSuH3sRx6JDY+wi9N4llX0vbmyOH+1ZOlJpJbxriD850eO+w+tzuvYbQPJ7e1vY5m6yy7Ovh&#10;qd58L9+d1leXw90tiIRD+juGMz6jQ8lMu7AnG0XLejrlLkkDz7Ot5oq33a8hy0L+b1D+AA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Pb7+oHeAAAACQEAAA8AAAAAAAAAAAAAAAAAwAQA&#10;AGRycy9kb3ducmV2LnhtbFBLBQYAAAAABAAEAPMAAADLBQAAAAA=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aps/>
                          <w:color w:val="2C7FCE" w:themeColor="text2" w:themeTint="99"/>
                          <w:sz w:val="56"/>
                          <w:szCs w:val="56"/>
                        </w:rPr>
                        <w:alias w:val="Title"/>
                        <w:tag w:val=""/>
                        <w:id w:val="79719276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14:paraId="7CB54DC5" w14:textId="07EA4B17" w:rsidR="00AB1861" w:rsidRPr="00A461F9" w:rsidRDefault="007704BF" w:rsidP="00AB1861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56"/>
                              <w:szCs w:val="56"/>
                            </w:rPr>
                            <w:t>bmhp6027 – EMPOWERING THE OLDER PERSON</w:t>
                          </w:r>
                        </w:p>
                      </w:sdtContent>
                    </w:sdt>
                    <w:p w14:paraId="527589B5" w14:textId="7AA12BE9" w:rsidR="00AB1861" w:rsidRDefault="00000000" w:rsidP="00AB1861">
                      <w:pPr>
                        <w:pStyle w:val="NoSpacing"/>
                        <w:spacing w:before="120"/>
                        <w:rPr>
                          <w:color w:val="156082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color w:val="156082" w:themeColor="accent1"/>
                            <w:sz w:val="32"/>
                            <w:szCs w:val="32"/>
                          </w:rPr>
                          <w:alias w:val="Subtitle"/>
                          <w:tag w:val=""/>
                          <w:id w:val="2021743002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4A131E">
                            <w:rPr>
                              <w:color w:val="156082" w:themeColor="accent1"/>
                              <w:sz w:val="32"/>
                              <w:szCs w:val="32"/>
                            </w:rPr>
                            <w:t>COMPONENT 2 – Debate References</w:t>
                          </w:r>
                        </w:sdtContent>
                      </w:sdt>
                    </w:p>
                    <w:p w14:paraId="0230CA70" w14:textId="77777777" w:rsidR="00AB1861" w:rsidRPr="00A461F9" w:rsidRDefault="00AB1861" w:rsidP="00AB1861">
                      <w:pPr>
                        <w:rPr>
                          <w:rFonts w:asciiTheme="minorBidi" w:hAnsiTheme="minorBidi"/>
                          <w:sz w:val="28"/>
                          <w:szCs w:val="28"/>
                        </w:rPr>
                      </w:pPr>
                      <w:r w:rsidRPr="00A461F9">
                        <w:rPr>
                          <w:rFonts w:asciiTheme="minorBidi" w:hAnsiTheme="minorBidi"/>
                          <w:sz w:val="28"/>
                          <w:szCs w:val="28"/>
                        </w:rPr>
                        <w:t>Sana Ahmed 2314455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14:paraId="617DC854" w14:textId="77777777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5BFD3A3C" w14:textId="77777777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273D9A60" w14:textId="77777777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2C2DB4E0" w14:textId="77777777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13CEE561" w14:textId="76420142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27D68760" w14:textId="0629FE84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6063A7EA" w14:textId="124FE1A0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72FFAA4F" w14:textId="61037545" w:rsidR="00972D06" w:rsidRDefault="00972D06" w:rsidP="00F1352A">
      <w:pPr>
        <w:pStyle w:val="p1"/>
        <w:spacing w:before="0" w:beforeAutospacing="0" w:after="0" w:afterAutospacing="0" w:line="360" w:lineRule="auto"/>
        <w:jc w:val="both"/>
        <w:rPr>
          <w:rStyle w:val="s1"/>
          <w:rFonts w:ascii="Arial" w:hAnsi="Arial" w:cs="Arial"/>
          <w:sz w:val="22"/>
          <w:szCs w:val="22"/>
        </w:rPr>
      </w:pPr>
    </w:p>
    <w:p w14:paraId="2FF89303" w14:textId="207888BC" w:rsidR="00505532" w:rsidRPr="00505532" w:rsidRDefault="00505532" w:rsidP="00505532">
      <w:pPr>
        <w:rPr>
          <w:rFonts w:eastAsiaTheme="minorHAnsi"/>
          <w:lang w:eastAsia="en-US"/>
        </w:rPr>
      </w:pPr>
      <w:r w:rsidRPr="00505532">
        <w:rPr>
          <w:rFonts w:eastAsiaTheme="minorHAnsi"/>
          <w:noProof/>
          <w:color w:val="156082" w:themeColor="accent1"/>
          <w:sz w:val="36"/>
          <w:szCs w:val="36"/>
          <w:lang w:eastAsia="en-U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C2DBA7D" wp14:editId="4B2244C6">
                <wp:simplePos x="0" y="0"/>
                <mc:AlternateContent>
                  <mc:Choice Requires="wp14">
                    <wp:positionH relativeFrom="page">
                      <wp14:pctPosHOffset>22000</wp14:pctPosHOffset>
                    </wp:positionH>
                  </mc:Choice>
                  <mc:Fallback>
                    <wp:positionH relativeFrom="page">
                      <wp:posOffset>1663065</wp:posOffset>
                    </wp:positionH>
                  </mc:Fallback>
                </mc:AlternateContent>
                <mc:AlternateContent>
                  <mc:Choice Requires="wp14">
                    <wp:positionV relativeFrom="page">
                      <wp14:pctPosVOffset>30000</wp14:pctPosVOffset>
                    </wp:positionV>
                  </mc:Choice>
                  <mc:Fallback>
                    <wp:positionV relativeFrom="page">
                      <wp:posOffset>3207385</wp:posOffset>
                    </wp:positionV>
                  </mc:Fallback>
                </mc:AlternateContent>
                <wp:extent cx="5494369" cy="5696712"/>
                <wp:effectExtent l="0" t="0" r="0" b="3175"/>
                <wp:wrapNone/>
                <wp:docPr id="63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494369" cy="5696712"/>
                          <a:chOff x="0" y="0"/>
                          <a:chExt cx="4329113" cy="4491038"/>
                        </a:xfr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1501775" y="0"/>
                            <a:ext cx="2827338" cy="2835275"/>
                          </a:xfrm>
                          <a:custGeom>
                            <a:avLst/>
                            <a:gdLst>
                              <a:gd name="T0" fmla="*/ 4 w 1781"/>
                              <a:gd name="T1" fmla="*/ 1786 h 1786"/>
                              <a:gd name="T2" fmla="*/ 0 w 1781"/>
                              <a:gd name="T3" fmla="*/ 1782 h 1786"/>
                              <a:gd name="T4" fmla="*/ 1776 w 1781"/>
                              <a:gd name="T5" fmla="*/ 0 h 1786"/>
                              <a:gd name="T6" fmla="*/ 1781 w 1781"/>
                              <a:gd name="T7" fmla="*/ 5 h 1786"/>
                              <a:gd name="T8" fmla="*/ 4 w 1781"/>
                              <a:gd name="T9" fmla="*/ 1786 h 17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782637" y="227013"/>
                            <a:ext cx="3546475" cy="3546475"/>
                          </a:xfrm>
                          <a:custGeom>
                            <a:avLst/>
                            <a:gdLst>
                              <a:gd name="T0" fmla="*/ 5 w 2234"/>
                              <a:gd name="T1" fmla="*/ 2234 h 2234"/>
                              <a:gd name="T2" fmla="*/ 0 w 2234"/>
                              <a:gd name="T3" fmla="*/ 2229 h 2234"/>
                              <a:gd name="T4" fmla="*/ 2229 w 2234"/>
                              <a:gd name="T5" fmla="*/ 0 h 2234"/>
                              <a:gd name="T6" fmla="*/ 2234 w 2234"/>
                              <a:gd name="T7" fmla="*/ 5 h 2234"/>
                              <a:gd name="T8" fmla="*/ 5 w 2234"/>
                              <a:gd name="T9" fmla="*/ 2234 h 2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841375" y="109538"/>
                            <a:ext cx="3487738" cy="3487738"/>
                          </a:xfrm>
                          <a:custGeom>
                            <a:avLst/>
                            <a:gdLst>
                              <a:gd name="T0" fmla="*/ 9 w 2197"/>
                              <a:gd name="T1" fmla="*/ 2197 h 2197"/>
                              <a:gd name="T2" fmla="*/ 0 w 2197"/>
                              <a:gd name="T3" fmla="*/ 2193 h 2197"/>
                              <a:gd name="T4" fmla="*/ 2188 w 2197"/>
                              <a:gd name="T5" fmla="*/ 0 h 2197"/>
                              <a:gd name="T6" fmla="*/ 2197 w 2197"/>
                              <a:gd name="T7" fmla="*/ 10 h 2197"/>
                              <a:gd name="T8" fmla="*/ 9 w 2197"/>
                              <a:gd name="T9" fmla="*/ 2197 h 2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67"/>
                        <wps:cNvSpPr>
                          <a:spLocks/>
                        </wps:cNvSpPr>
                        <wps:spPr bwMode="auto">
                          <a:xfrm>
                            <a:off x="1216025" y="498475"/>
                            <a:ext cx="3113088" cy="3121025"/>
                          </a:xfrm>
                          <a:custGeom>
                            <a:avLst/>
                            <a:gdLst>
                              <a:gd name="T0" fmla="*/ 9 w 1961"/>
                              <a:gd name="T1" fmla="*/ 1966 h 1966"/>
                              <a:gd name="T2" fmla="*/ 0 w 1961"/>
                              <a:gd name="T3" fmla="*/ 1957 h 1966"/>
                              <a:gd name="T4" fmla="*/ 1952 w 1961"/>
                              <a:gd name="T5" fmla="*/ 0 h 1966"/>
                              <a:gd name="T6" fmla="*/ 1961 w 1961"/>
                              <a:gd name="T7" fmla="*/ 9 h 1966"/>
                              <a:gd name="T8" fmla="*/ 9 w 1961"/>
                              <a:gd name="T9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0" y="153988"/>
                            <a:ext cx="4329113" cy="4337050"/>
                          </a:xfrm>
                          <a:custGeom>
                            <a:avLst/>
                            <a:gdLst>
                              <a:gd name="T0" fmla="*/ 0 w 2727"/>
                              <a:gd name="T1" fmla="*/ 2732 h 2732"/>
                              <a:gd name="T2" fmla="*/ 0 w 2727"/>
                              <a:gd name="T3" fmla="*/ 2728 h 2732"/>
                              <a:gd name="T4" fmla="*/ 2722 w 2727"/>
                              <a:gd name="T5" fmla="*/ 0 h 2732"/>
                              <a:gd name="T6" fmla="*/ 2727 w 2727"/>
                              <a:gd name="T7" fmla="*/ 5 h 2732"/>
                              <a:gd name="T8" fmla="*/ 0 w 2727"/>
                              <a:gd name="T9" fmla="*/ 2732 h 2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1A5E4CAB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">
                <o:lock v:ext="edit" aspectratio="t"/>
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" path="m4,1786l,1782,1776,r5,5l4,1786xe" fillcolor="#2c7fce [1951]" stroked="f">
                  <v:path arrowok="t" o:connecttype="custom" o:connectlocs="6350,2835275;0,2828925;2819400,0;2827338,7938;6350,2835275" o:connectangles="0,0,0,0,0"/>
                </v:shape>
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<v:path arrowok="t" o:connecttype="custom" o:connectlocs="7938,3546475;0,3538538;3538538,0;3546475,7938;7938,3546475" o:connectangles="0,0,0,0,0"/>
                </v:shape>
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" path="m9,2197l,2193,2188,r9,10l9,2197xe" fillcolor="#2c7fce [1951]" stroked="f">
                  <v:path arrowok="t" o:connecttype="custom" o:connectlocs="14288,3487738;0,3481388;3473450,0;3487738,15875;14288,3487738" o:connectangles="0,0,0,0,0"/>
                </v:shape>
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<v:path arrowok="t" o:connecttype="custom" o:connectlocs="14288,3121025;0,3106738;3098800,0;3113088,14288;14288,3121025" o:connectangles="0,0,0,0,0"/>
                </v:shape>
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" path="m,2732r,-4l2722,r5,5l,2732xe" fillcolor="#2c7fce [1951]" stroked="f">
                  <v:path arrowok="t" o:connecttype="custom" o:connectlocs="0,4337050;0,4330700;4321175,0;4329113,7938;0,4337050" o:connectangles="0,0,0,0,0"/>
                </v:shape>
                <w10:wrap anchorx="page" anchory="page"/>
              </v:group>
            </w:pict>
          </mc:Fallback>
        </mc:AlternateContent>
      </w:r>
      <w:r w:rsidRPr="00505532">
        <w:rPr>
          <w:rFonts w:eastAsiaTheme="minorHAns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C1186" wp14:editId="3751B827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5943600" cy="374904"/>
                <wp:effectExtent l="0" t="0" r="7620" b="6985"/>
                <wp:wrapNone/>
                <wp:docPr id="69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74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8D7AC" w14:textId="11EF2C32" w:rsidR="00505532" w:rsidRDefault="00000000">
                            <w:pPr>
                              <w:pStyle w:val="NoSpacing"/>
                              <w:jc w:val="right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alias w:val="School"/>
                                <w:tag w:val="School"/>
                                <w:id w:val="1850680582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3C5FC3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Lecturer: Dr Kennedy Oboh</w:t>
                                </w:r>
                                <w:r w:rsidR="00C15D14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wemu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Course"/>
                              <w:tag w:val="Course"/>
                              <w:id w:val="1717703537"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Content>
                              <w:p w14:paraId="16F6D613" w14:textId="53CF6C56" w:rsidR="00505532" w:rsidRDefault="00C15D14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Sunday 15th March 2026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C1186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<v:textbox style="mso-fit-shape-to-text:t" inset="0,0,0,0">
                  <w:txbxContent>
                    <w:p w14:paraId="6078D7AC" w14:textId="11EF2C32" w:rsidR="00505532" w:rsidRDefault="00000000">
                      <w:pPr>
                        <w:pStyle w:val="NoSpacing"/>
                        <w:jc w:val="right"/>
                        <w:rPr>
                          <w:color w:val="156082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color w:val="156082" w:themeColor="accent1"/>
                            <w:sz w:val="36"/>
                            <w:szCs w:val="36"/>
                          </w:rPr>
                          <w:alias w:val="School"/>
                          <w:tag w:val="School"/>
                          <w:id w:val="1850680582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3C5FC3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Lecturer: Dr Kennedy Oboh</w:t>
                          </w:r>
                          <w:r w:rsidR="00C15D14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wemu</w:t>
                          </w:r>
                        </w:sdtContent>
                      </w:sdt>
                    </w:p>
                    <w:sdt>
                      <w:sdtPr>
                        <w:rPr>
                          <w:color w:val="156082" w:themeColor="accent1"/>
                          <w:sz w:val="36"/>
                          <w:szCs w:val="36"/>
                        </w:rPr>
                        <w:alias w:val="Course"/>
                        <w:tag w:val="Course"/>
                        <w:id w:val="1717703537"/>
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<w:text/>
                      </w:sdtPr>
                      <w:sdtContent>
                        <w:p w14:paraId="16F6D613" w14:textId="53CF6C56" w:rsidR="00505532" w:rsidRDefault="00C15D14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Sunday 15th March 2026</w:t>
                          </w:r>
                        </w:p>
                      </w:sdtContent>
                    </w:sdt>
                  </w:txbxContent>
                </v:textbox>
                <w10:wrap anchorx="page" anchory="margin"/>
              </v:shape>
            </w:pict>
          </mc:Fallback>
        </mc:AlternateContent>
      </w:r>
    </w:p>
    <w:p w14:paraId="17C020B1" w14:textId="25D0A4CF" w:rsidR="00AC186F" w:rsidRPr="00AC186F" w:rsidRDefault="00505532" w:rsidP="00AC186F">
      <w:pPr>
        <w:rPr>
          <w:rFonts w:eastAsiaTheme="minorHAnsi"/>
          <w:lang w:eastAsia="en-US"/>
        </w:rPr>
      </w:pPr>
      <w:r w:rsidRPr="00505532">
        <w:rPr>
          <w:rFonts w:eastAsiaTheme="minorHAnsi"/>
          <w:lang w:eastAsia="en-US"/>
        </w:rPr>
        <w:br w:type="page"/>
      </w:r>
    </w:p>
    <w:p w14:paraId="40B2DD26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lastRenderedPageBreak/>
        <w:t>Ajluni, V. (2023).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Respecting autonomy: Prioritizing patient-</w:t>
      </w:r>
      <w:proofErr w:type="spellStart"/>
      <w:r w:rsidRPr="00AC186F">
        <w:rPr>
          <w:rStyle w:val="s2"/>
          <w:rFonts w:asciiTheme="minorBidi" w:hAnsiTheme="minorBidi" w:cstheme="minorBidi"/>
          <w:sz w:val="22"/>
          <w:szCs w:val="22"/>
        </w:rPr>
        <w:t>centered</w:t>
      </w:r>
      <w:proofErr w:type="spellEnd"/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care and decision-making capacity for stronger doctor–patient relationships.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Journal of Family Medicine and Primary Care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12(8), pp.1752–1753. DOI: </w:t>
      </w:r>
      <w:hyperlink r:id="rId4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https://doi.org/10.4103/jfmpc.jfmpc_712_23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3AEBB163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28DAD326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Andersson, M., Nordin, A., Fredholm, A. and Engström, Å. (2023).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The four domains of the person-centred practice framework from the perspective of critical care nurses in intensive care units during a pandemic.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Intensive and Critical Care Nursing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78(78), pp.103449–103449. DOI: </w:t>
      </w:r>
      <w:hyperlink r:id="rId5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https://doi.org/10.1016/j.iccn.2023.103449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613D5B8B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6DE31233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Coulter, A., Entwistle, V.A., Eccles, A., Ryan, S., Shepperd, S. and Perera, R. (2015).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Personalised care planning for adults with chronic or long-term health conditions.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Cochrane Database of Systematic Reviews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 xml:space="preserve">, 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3(3). DOI: </w:t>
      </w:r>
      <w:hyperlink r:id="rId6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https://doi.org/10.1002/14651858.cd010523.pub2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04F7AAB4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3B3E0D9D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Expósito</w:t>
      </w:r>
      <w:proofErr w:type="spellEnd"/>
      <w:r w:rsidRPr="00AC186F">
        <w:rPr>
          <w:rStyle w:val="s1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1"/>
          <w:rFonts w:asciiTheme="minorBidi" w:hAnsiTheme="minorBidi" w:cstheme="minorBidi"/>
          <w:sz w:val="22"/>
          <w:szCs w:val="22"/>
        </w:rPr>
        <w:t>Jiménez, A., Alcaide</w:t>
      </w:r>
      <w:r w:rsidRPr="00AC186F">
        <w:rPr>
          <w:rStyle w:val="s1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1"/>
          <w:rFonts w:asciiTheme="minorBidi" w:hAnsiTheme="minorBidi" w:cstheme="minorBidi"/>
          <w:sz w:val="22"/>
          <w:szCs w:val="22"/>
        </w:rPr>
        <w:t>Leyva, J.M., Rocío, del and Martínez</w:t>
      </w:r>
      <w:r w:rsidRPr="00AC186F">
        <w:rPr>
          <w:rStyle w:val="s1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1"/>
          <w:rFonts w:asciiTheme="minorBidi" w:hAnsiTheme="minorBidi" w:cstheme="minorBidi"/>
          <w:sz w:val="22"/>
          <w:szCs w:val="22"/>
        </w:rPr>
        <w:t>Angulo, P. (2024).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Health communication and shared decision</w:t>
      </w:r>
      <w:r w:rsidRPr="00AC186F">
        <w:rPr>
          <w:rStyle w:val="s2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making between nurses and older adults in community setting: An integrative review.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Journal of Clinical Nursing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33(8). DOI: </w:t>
      </w:r>
      <w:hyperlink r:id="rId7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https://doi.org/10.1111/jocn.17152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73AB2E93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569D06D7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Jorgensen, K.,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Lerbaek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B., Frederiksen, J., Watson, E. and Karlsson, B. (2024).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Patient participation in mental health care – perspectives of healthcare professionals and patients: A scoping review.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Issues in Mental Health Nursing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 xml:space="preserve">, 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45(8), pp.1–17. DOI: </w:t>
      </w:r>
      <w:hyperlink r:id="rId8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https://doi.org/10.1080/01612840.2024.2358931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2A22E4A6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611C58E5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Kumar, A.A., Kamath, A., Ashok, L., Kamath, V.G. and Sekaran, V.C.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Shared decision-making among older adults with multimorbidity in Kerala’s primary care: a qualitative study using the socio-ecological model.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Frontiers in Public Health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13. DOI: </w:t>
      </w:r>
      <w:hyperlink r:id="rId9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https://doi.org/10.3389/fpubh.2025.1665368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036426E7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78B2D86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Lee, K.G., Gagliardi, A.R., Lofters, A.K., Pinto, A.D. and Maunder, R.G.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Shared decision-making, the working alliance, and patient-</w:t>
      </w:r>
      <w:proofErr w:type="spellStart"/>
      <w:r w:rsidRPr="00AC186F">
        <w:rPr>
          <w:rStyle w:val="s2"/>
          <w:rFonts w:asciiTheme="minorBidi" w:hAnsiTheme="minorBidi" w:cstheme="minorBidi"/>
          <w:sz w:val="22"/>
          <w:szCs w:val="22"/>
        </w:rPr>
        <w:t>centered</w:t>
      </w:r>
      <w:proofErr w:type="spellEnd"/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care: A simultaneous concept analysis and review of the literature.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 xml:space="preserve">Patient Education and </w:t>
      </w:r>
      <w:proofErr w:type="spellStart"/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Counseling</w:t>
      </w:r>
      <w:proofErr w:type="spellEnd"/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pp.109316–109316. DOI: </w:t>
      </w:r>
      <w:hyperlink r:id="rId10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https://doi.org/10.1016/j.pec.2025.109316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7771FB4C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43ACBCB9" w14:textId="152DAB09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Lewis, J. and Holm, S. (2022).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Patient autonomy, clinical decision making, and the phenomenological reduction.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Medicine, Health Care and Philosophy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, 25(4), pp.615–627. DOI: </w:t>
      </w:r>
      <w:hyperlink r:id="rId11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https://doi.org/10.1007/s11019-022-10102-2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2469DEDA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lastRenderedPageBreak/>
        <w:t xml:space="preserve">Lorber, M., Mlinar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Reljić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N., McCormack, B. and Kmetec, S.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Person-centred care in association with psychological well-being of older adults.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Healthcare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13(12), p.1379. DOI: </w:t>
      </w:r>
      <w:hyperlink r:id="rId12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https://doi.org/10.3390/healthcare13121379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72990AE2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0C970726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Marriott</w:t>
      </w:r>
      <w:r w:rsidRPr="00AC186F">
        <w:rPr>
          <w:rStyle w:val="s1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1"/>
          <w:rFonts w:asciiTheme="minorBidi" w:hAnsiTheme="minorBidi" w:cstheme="minorBidi"/>
          <w:sz w:val="22"/>
          <w:szCs w:val="22"/>
        </w:rPr>
        <w:t>Statham, K., Dickson, C.A.W. and Hardiman, M. (2022).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Sharing decision</w:t>
      </w:r>
      <w:r w:rsidRPr="00AC186F">
        <w:rPr>
          <w:rStyle w:val="s2"/>
          <w:rFonts w:ascii="Cambria Math" w:hAnsi="Cambria Math" w:cs="Cambria Math"/>
          <w:sz w:val="22"/>
          <w:szCs w:val="22"/>
        </w:rPr>
        <w:t>‐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making between the older person and the nurse: A scoping review.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International Journal of Older People Nursing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 xml:space="preserve">, 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18(1). DOI: </w:t>
      </w:r>
      <w:hyperlink r:id="rId13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https://doi.org/10.1111/opn.12507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5AD7D684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8F9E7E4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Martínez-Angulo, P., Rich-Ruiz, M., Ventura-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Puertos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P.E. and López-Quero, S. (2023).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Integrating shared decision-making, expressing preferences and active participation of older adults in primary care nursing: a systematic review of qualitative studies and qualitative meta-synthesis.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BMJ Open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13(6), p.e071549. DOI: </w:t>
      </w:r>
      <w:hyperlink r:id="rId14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https://doi.org/10.1136/bmjopen-2022-071549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253576DA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4641DA50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McCance, T. and McCormack, B.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The person-centred nursing framework: A mid-range theory for nursing practice.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Journal of Research in Nursing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, 30(1), pp.47–60. DOI: </w:t>
      </w:r>
      <w:hyperlink r:id="rId15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https://doi.org/10.1177/17449871241281428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6FE6E191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676109A6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Mousazadeh, N.,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Babaieasl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, F., Bagherian, S. and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Mivehchi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S.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The spectrum of person-</w:t>
      </w:r>
      <w:proofErr w:type="spellStart"/>
      <w:r w:rsidRPr="00AC186F">
        <w:rPr>
          <w:rStyle w:val="s2"/>
          <w:rFonts w:asciiTheme="minorBidi" w:hAnsiTheme="minorBidi" w:cstheme="minorBidi"/>
          <w:sz w:val="22"/>
          <w:szCs w:val="22"/>
        </w:rPr>
        <w:t>centered</w:t>
      </w:r>
      <w:proofErr w:type="spellEnd"/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care: from luxury to necessity: a descriptive qualitative study.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BMC Nursing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24(1). DOI: </w:t>
      </w:r>
      <w:hyperlink r:id="rId16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https://doi.org/10.1186/s12912-025-03737-y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4CE00F17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0BC164D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National Institute for Health and Care Excellence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About shared decision making.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Available at: </w:t>
      </w:r>
      <w:hyperlink r:id="rId17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https://www.nice.org.uk/what-nice-does/our-guidance/about-nice-guidelines/about-shared-decision-making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 (Accessed: 1 March 2026).</w:t>
      </w:r>
    </w:p>
    <w:p w14:paraId="53271442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AB03827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Švab, I. and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Cerovečki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V. (2024).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Person-centred care, a core concept of family medicine.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European Journal of General Practice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30(1), pp.1–5. DOI: </w:t>
      </w:r>
      <w:hyperlink r:id="rId18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https://doi.org/10.1080/13814788.2024.2393860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62E99558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75670223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Varkey, B. (2021).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Principles of clinical ethics and their application to practice.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Medical Principles and Practice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, 30(1), pp.17–28. DOI: </w:t>
      </w:r>
      <w:hyperlink r:id="rId19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https://doi.org/10.1159/000509119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1C0FCE53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0BC9EDFB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Warner, B.E., Wells, M.,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Vindrola-Padros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C. and Brett, S.J. (2024).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Shared decision-making with older people on treatment escalation planning for acute deterioration in the emergency medical setting: a qualitative study of clinicians’ perspectives (STREAMS-C).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Age and Ageing</w:t>
      </w:r>
      <w:r w:rsidRPr="00AC186F">
        <w:rPr>
          <w:rStyle w:val="s2"/>
          <w:rFonts w:asciiTheme="minorBidi" w:hAnsiTheme="minorBidi" w:cstheme="minorBidi"/>
          <w:i/>
          <w:iCs/>
          <w:sz w:val="22"/>
          <w:szCs w:val="22"/>
        </w:rPr>
        <w:t>,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53(9). DOI: </w:t>
      </w:r>
      <w:hyperlink r:id="rId20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https://doi.org/10.1093/ageing/afae204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5CBB73FF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lastRenderedPageBreak/>
        <w:t>World Health Organization. (2015).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</w:t>
      </w:r>
      <w:r w:rsidRPr="00AC186F">
        <w:rPr>
          <w:rStyle w:val="s3"/>
          <w:rFonts w:asciiTheme="minorBidi" w:hAnsiTheme="minorBidi" w:cstheme="minorBidi"/>
          <w:sz w:val="22"/>
          <w:szCs w:val="22"/>
        </w:rPr>
        <w:t>World report on ageing and health.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Available at: </w:t>
      </w:r>
      <w:hyperlink r:id="rId21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https://www.afro.who.int/sites/default/files/2017-06/9789240694811_eng.pdf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(Accessed: 1 March 2026).</w:t>
      </w:r>
    </w:p>
    <w:p w14:paraId="17AEDC5B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E5DF839" w14:textId="77777777" w:rsid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Style w:val="s2"/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>World Health Organization. (2024).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Ageing and health</w:t>
      </w:r>
      <w:r w:rsidRPr="00AC186F">
        <w:rPr>
          <w:rStyle w:val="s3"/>
          <w:rFonts w:asciiTheme="minorBidi" w:hAnsiTheme="minorBidi" w:cstheme="minorBidi"/>
          <w:sz w:val="22"/>
          <w:szCs w:val="22"/>
        </w:rPr>
        <w:t>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Available at: </w:t>
      </w:r>
      <w:hyperlink r:id="rId22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https://www.who.int/news-room/fact-sheets/detail/ageing-and-health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 (Accessed: 1 March 2026).</w:t>
      </w:r>
    </w:p>
    <w:p w14:paraId="33A896DD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6085C7B" w14:textId="77777777" w:rsidR="00AC186F" w:rsidRPr="00AC186F" w:rsidRDefault="00AC186F" w:rsidP="00AC186F">
      <w:pPr>
        <w:pStyle w:val="p1"/>
        <w:spacing w:before="0" w:beforeAutospacing="0" w:after="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AC186F">
        <w:rPr>
          <w:rStyle w:val="s1"/>
          <w:rFonts w:asciiTheme="minorBidi" w:hAnsiTheme="minorBidi" w:cstheme="minorBidi"/>
          <w:sz w:val="22"/>
          <w:szCs w:val="22"/>
        </w:rPr>
        <w:t xml:space="preserve">Wulfse-Huisman, S., Oostra, D., Veldhuizen, J., </w:t>
      </w:r>
      <w:proofErr w:type="spellStart"/>
      <w:r w:rsidRPr="00AC186F">
        <w:rPr>
          <w:rStyle w:val="s1"/>
          <w:rFonts w:asciiTheme="minorBidi" w:hAnsiTheme="minorBidi" w:cstheme="minorBidi"/>
          <w:sz w:val="22"/>
          <w:szCs w:val="22"/>
        </w:rPr>
        <w:t>Bleijenberg</w:t>
      </w:r>
      <w:proofErr w:type="spellEnd"/>
      <w:r w:rsidRPr="00AC186F">
        <w:rPr>
          <w:rStyle w:val="s1"/>
          <w:rFonts w:asciiTheme="minorBidi" w:hAnsiTheme="minorBidi" w:cstheme="minorBidi"/>
          <w:sz w:val="22"/>
          <w:szCs w:val="22"/>
        </w:rPr>
        <w:t>, N., Buurman-van Es, B. and Pel-Littel, R. (2025).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Person-</w:t>
      </w:r>
      <w:proofErr w:type="spellStart"/>
      <w:r w:rsidRPr="00AC186F">
        <w:rPr>
          <w:rStyle w:val="s2"/>
          <w:rFonts w:asciiTheme="minorBidi" w:hAnsiTheme="minorBidi" w:cstheme="minorBidi"/>
          <w:sz w:val="22"/>
          <w:szCs w:val="22"/>
        </w:rPr>
        <w:t>centered</w:t>
      </w:r>
      <w:proofErr w:type="spellEnd"/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 shared decision-making in district nursing care on interventions to support independence in older adults with multiple chronic conditions: a video observation study. </w:t>
      </w:r>
      <w:r w:rsidRPr="00AC186F">
        <w:rPr>
          <w:rStyle w:val="s3"/>
          <w:rFonts w:asciiTheme="minorBidi" w:hAnsiTheme="minorBidi" w:cstheme="minorBidi"/>
          <w:i/>
          <w:iCs/>
          <w:sz w:val="22"/>
          <w:szCs w:val="22"/>
        </w:rPr>
        <w:t>BMC Nursing</w:t>
      </w:r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, 24(1). DOI: </w:t>
      </w:r>
      <w:hyperlink r:id="rId23" w:history="1">
        <w:r w:rsidRPr="00AC186F">
          <w:rPr>
            <w:rStyle w:val="Hyperlink"/>
            <w:rFonts w:asciiTheme="minorBidi" w:hAnsiTheme="minorBidi" w:cstheme="minorBidi"/>
            <w:sz w:val="22"/>
            <w:szCs w:val="22"/>
          </w:rPr>
          <w:t>https://doi.org/10.1186/s12912-025-03778-3</w:t>
        </w:r>
      </w:hyperlink>
      <w:r w:rsidRPr="00AC186F">
        <w:rPr>
          <w:rStyle w:val="s2"/>
          <w:rFonts w:asciiTheme="minorBidi" w:hAnsiTheme="minorBidi" w:cstheme="minorBidi"/>
          <w:sz w:val="22"/>
          <w:szCs w:val="22"/>
        </w:rPr>
        <w:t xml:space="preserve">. </w:t>
      </w:r>
    </w:p>
    <w:p w14:paraId="7C42DCB2" w14:textId="77777777" w:rsidR="00C4361F" w:rsidRPr="00F1352A" w:rsidRDefault="00C4361F" w:rsidP="00F1352A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sectPr w:rsidR="00C4361F" w:rsidRPr="00F13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61F"/>
    <w:rsid w:val="00075BFC"/>
    <w:rsid w:val="000B7A28"/>
    <w:rsid w:val="001227F1"/>
    <w:rsid w:val="00254C55"/>
    <w:rsid w:val="00284E15"/>
    <w:rsid w:val="002B3911"/>
    <w:rsid w:val="002B4947"/>
    <w:rsid w:val="002D03B8"/>
    <w:rsid w:val="002D488A"/>
    <w:rsid w:val="002E3C50"/>
    <w:rsid w:val="003023D5"/>
    <w:rsid w:val="00304455"/>
    <w:rsid w:val="003238A8"/>
    <w:rsid w:val="003300F4"/>
    <w:rsid w:val="00353F0A"/>
    <w:rsid w:val="003C5FC3"/>
    <w:rsid w:val="003D77DC"/>
    <w:rsid w:val="00445AB4"/>
    <w:rsid w:val="004A131E"/>
    <w:rsid w:val="00505532"/>
    <w:rsid w:val="005723C2"/>
    <w:rsid w:val="005901DB"/>
    <w:rsid w:val="005942A8"/>
    <w:rsid w:val="005C4724"/>
    <w:rsid w:val="005E47F4"/>
    <w:rsid w:val="006E25AF"/>
    <w:rsid w:val="007224BC"/>
    <w:rsid w:val="007704BF"/>
    <w:rsid w:val="007E410E"/>
    <w:rsid w:val="0080031E"/>
    <w:rsid w:val="00850AA4"/>
    <w:rsid w:val="008631A5"/>
    <w:rsid w:val="00866BA9"/>
    <w:rsid w:val="008F7AC5"/>
    <w:rsid w:val="009133EE"/>
    <w:rsid w:val="00972D06"/>
    <w:rsid w:val="009A056F"/>
    <w:rsid w:val="009B492F"/>
    <w:rsid w:val="00A23A1E"/>
    <w:rsid w:val="00A61203"/>
    <w:rsid w:val="00AB1861"/>
    <w:rsid w:val="00AC186F"/>
    <w:rsid w:val="00AF29D4"/>
    <w:rsid w:val="00BB5CD2"/>
    <w:rsid w:val="00BC518E"/>
    <w:rsid w:val="00BC78D2"/>
    <w:rsid w:val="00C15D14"/>
    <w:rsid w:val="00C4361F"/>
    <w:rsid w:val="00C506CC"/>
    <w:rsid w:val="00CA6656"/>
    <w:rsid w:val="00D522F7"/>
    <w:rsid w:val="00D96B80"/>
    <w:rsid w:val="00DA7291"/>
    <w:rsid w:val="00DD308B"/>
    <w:rsid w:val="00DD70CB"/>
    <w:rsid w:val="00E05975"/>
    <w:rsid w:val="00E142C0"/>
    <w:rsid w:val="00E23F62"/>
    <w:rsid w:val="00E67A23"/>
    <w:rsid w:val="00F1352A"/>
    <w:rsid w:val="00F5361B"/>
    <w:rsid w:val="00F738A9"/>
    <w:rsid w:val="00F944AC"/>
    <w:rsid w:val="00FB00E9"/>
    <w:rsid w:val="00FB0A45"/>
    <w:rsid w:val="00FD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85C4C"/>
  <w15:chartTrackingRefBased/>
  <w15:docId w15:val="{93273CDD-6BE9-834B-B33F-87D79539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6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6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6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6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6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6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6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6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6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6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6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6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6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6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6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6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6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6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6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6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6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61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436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C4361F"/>
  </w:style>
  <w:style w:type="character" w:customStyle="1" w:styleId="s2">
    <w:name w:val="s2"/>
    <w:basedOn w:val="DefaultParagraphFont"/>
    <w:rsid w:val="00C4361F"/>
  </w:style>
  <w:style w:type="paragraph" w:customStyle="1" w:styleId="p2">
    <w:name w:val="p2"/>
    <w:basedOn w:val="Normal"/>
    <w:rsid w:val="00C436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BC78D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BC78D2"/>
  </w:style>
  <w:style w:type="character" w:styleId="Hyperlink">
    <w:name w:val="Hyperlink"/>
    <w:basedOn w:val="DefaultParagraphFont"/>
    <w:uiPriority w:val="99"/>
    <w:unhideWhenUsed/>
    <w:rsid w:val="00850A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AA4"/>
    <w:rPr>
      <w:color w:val="605E5C"/>
      <w:shd w:val="clear" w:color="auto" w:fill="E1DFDD"/>
    </w:rPr>
  </w:style>
  <w:style w:type="character" w:customStyle="1" w:styleId="s3">
    <w:name w:val="s3"/>
    <w:basedOn w:val="DefaultParagraphFont"/>
    <w:rsid w:val="00DA7291"/>
  </w:style>
  <w:style w:type="paragraph" w:styleId="NoSpacing">
    <w:name w:val="No Spacing"/>
    <w:link w:val="NoSpacingChar"/>
    <w:uiPriority w:val="1"/>
    <w:qFormat/>
    <w:rsid w:val="005723C2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723C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1612840.2024.2358931" TargetMode="External"/><Relationship Id="rId13" Type="http://schemas.openxmlformats.org/officeDocument/2006/relationships/hyperlink" Target="https://doi.org/10.1111/opn.12507" TargetMode="External"/><Relationship Id="rId18" Type="http://schemas.openxmlformats.org/officeDocument/2006/relationships/hyperlink" Target="https://doi.org/10.1080/13814788.2024.239386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fro.who.int/sites/default/files/2017-06/9789240694811_eng.pdf" TargetMode="External"/><Relationship Id="rId7" Type="http://schemas.openxmlformats.org/officeDocument/2006/relationships/hyperlink" Target="https://doi.org/10.1111/jocn.17152" TargetMode="External"/><Relationship Id="rId12" Type="http://schemas.openxmlformats.org/officeDocument/2006/relationships/hyperlink" Target="https://doi.org/10.3390/healthcare13121379" TargetMode="External"/><Relationship Id="rId17" Type="http://schemas.openxmlformats.org/officeDocument/2006/relationships/hyperlink" Target="https://www.nice.org.uk/what-nice-does/our-guidance/about-nice-guidelines/about-shared-decision-making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i.org/10.1186/s12912-025-03737-y" TargetMode="External"/><Relationship Id="rId20" Type="http://schemas.openxmlformats.org/officeDocument/2006/relationships/hyperlink" Target="https://doi.org/10.1093/ageing/afae204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02/14651858.cd010523.pub2" TargetMode="External"/><Relationship Id="rId11" Type="http://schemas.openxmlformats.org/officeDocument/2006/relationships/hyperlink" Target="https://doi.org/10.1007/s11019-022-10102-2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i.org/10.1016/j.iccn.2023.103449" TargetMode="External"/><Relationship Id="rId15" Type="http://schemas.openxmlformats.org/officeDocument/2006/relationships/hyperlink" Target="https://doi.org/10.1177/17449871241281428" TargetMode="External"/><Relationship Id="rId23" Type="http://schemas.openxmlformats.org/officeDocument/2006/relationships/hyperlink" Target="https://doi.org/10.1186/s12912-025-03778-3" TargetMode="External"/><Relationship Id="rId10" Type="http://schemas.openxmlformats.org/officeDocument/2006/relationships/hyperlink" Target="https://doi.org/10.1016/j.pec.2025.109316" TargetMode="External"/><Relationship Id="rId19" Type="http://schemas.openxmlformats.org/officeDocument/2006/relationships/hyperlink" Target="https://doi.org/10.1159/000509119" TargetMode="External"/><Relationship Id="rId4" Type="http://schemas.openxmlformats.org/officeDocument/2006/relationships/hyperlink" Target="https://doi.org/10.4103/jfmpc.jfmpc_712_23" TargetMode="External"/><Relationship Id="rId9" Type="http://schemas.openxmlformats.org/officeDocument/2006/relationships/hyperlink" Target="https://doi.org/10.3389/fpubh.2025.1665368" TargetMode="External"/><Relationship Id="rId14" Type="http://schemas.openxmlformats.org/officeDocument/2006/relationships/hyperlink" Target="https://doi.org/10.1136/bmjopen-2022-071549" TargetMode="External"/><Relationship Id="rId22" Type="http://schemas.openxmlformats.org/officeDocument/2006/relationships/hyperlink" Target="https://www.who.int/news-room/fact-sheets/detail/ageing-and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967</Words>
  <Characters>5515</Characters>
  <Application>Microsoft Office Word</Application>
  <DocSecurity>0</DocSecurity>
  <Lines>45</Lines>
  <Paragraphs>12</Paragraphs>
  <ScaleCrop>false</ScaleCrop>
  <Company>Lecturer: Dr Kennedy Obohwemu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bmhp6027 – EMPOWERING THE OLDER PERSON</dc:title>
  <dc:subject>COMPONENT 2 – Debate References</dc:subject>
  <dc:creator>Sana Ahmed (2314455)</dc:creator>
  <cp:keywords/>
  <dc:description/>
  <cp:lastModifiedBy>Sana Ahmed (2314455)</cp:lastModifiedBy>
  <cp:revision>7</cp:revision>
  <dcterms:created xsi:type="dcterms:W3CDTF">2026-03-11T16:17:00Z</dcterms:created>
  <dcterms:modified xsi:type="dcterms:W3CDTF">2026-03-11T17:27:00Z</dcterms:modified>
  <cp:category>Sunday 15th March 2026</cp:category>
</cp:coreProperties>
</file>