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BFB7F9A" wp14:paraId="5B00B2BF" wp14:textId="1DD9E64F">
      <w:pPr>
        <w:jc w:val="center"/>
      </w:pPr>
      <w:r w:rsidRPr="3BFB7F9A" w:rsidR="38D767C6">
        <w:rPr>
          <w:rFonts w:ascii="Calibri" w:hAnsi="Calibri" w:eastAsia="Calibri" w:cs="Calibri"/>
          <w:b w:val="1"/>
          <w:bCs w:val="1"/>
          <w:noProof w:val="0"/>
          <w:sz w:val="32"/>
          <w:szCs w:val="32"/>
          <w:lang w:val="en-US"/>
        </w:rPr>
        <w:t>EVIDENCE-BASED POLICING AND DECISION MAKING:</w:t>
      </w:r>
      <w:r w:rsidRPr="3BFB7F9A" w:rsidR="38D767C6">
        <w:rPr>
          <w:rFonts w:ascii="Calibri" w:hAnsi="Calibri" w:eastAsia="Calibri" w:cs="Calibri"/>
          <w:noProof w:val="0"/>
          <w:sz w:val="22"/>
          <w:szCs w:val="22"/>
          <w:lang w:val="en-US"/>
        </w:rPr>
        <w:t xml:space="preserve"> </w:t>
      </w:r>
    </w:p>
    <w:p xmlns:wp14="http://schemas.microsoft.com/office/word/2010/wordml" w:rsidP="3BFB7F9A" wp14:paraId="28B38DD9" wp14:textId="161F99AE">
      <w:pPr>
        <w:jc w:val="center"/>
      </w:pPr>
      <w:r>
        <w:br/>
      </w:r>
    </w:p>
    <w:p xmlns:wp14="http://schemas.microsoft.com/office/word/2010/wordml" w:rsidP="3BFB7F9A" wp14:paraId="6EC9D5B5" wp14:textId="74E6542B">
      <w:pPr>
        <w:jc w:val="center"/>
      </w:pPr>
    </w:p>
    <w:p xmlns:wp14="http://schemas.microsoft.com/office/word/2010/wordml" w:rsidP="3BFB7F9A" wp14:paraId="251B659B" wp14:textId="3A1E614D">
      <w:pPr>
        <w:jc w:val="center"/>
      </w:pPr>
    </w:p>
    <w:p xmlns:wp14="http://schemas.microsoft.com/office/word/2010/wordml" w:rsidP="3BFB7F9A" wp14:paraId="7339E9C7" wp14:textId="26F2978F">
      <w:pPr>
        <w:jc w:val="center"/>
      </w:pPr>
      <w:r>
        <w:br/>
      </w:r>
    </w:p>
    <w:p w:rsidR="6EC5FEFE" w:rsidP="6EC5FEFE" w:rsidRDefault="6EC5FEFE" w14:paraId="52CE76EE" w14:textId="2DA095F2">
      <w:pPr>
        <w:pStyle w:val="Normal"/>
        <w:jc w:val="center"/>
      </w:pPr>
    </w:p>
    <w:p w:rsidR="6EC5FEFE" w:rsidP="6EC5FEFE" w:rsidRDefault="6EC5FEFE" w14:paraId="141BE9C2" w14:textId="622449A3">
      <w:pPr>
        <w:pStyle w:val="Normal"/>
        <w:jc w:val="center"/>
      </w:pPr>
    </w:p>
    <w:p xmlns:wp14="http://schemas.microsoft.com/office/word/2010/wordml" w:rsidP="3BFB7F9A" wp14:paraId="57A1A87B" wp14:textId="23BCC331">
      <w:pPr>
        <w:jc w:val="center"/>
      </w:pPr>
      <w:r>
        <w:br/>
      </w:r>
    </w:p>
    <w:p xmlns:wp14="http://schemas.microsoft.com/office/word/2010/wordml" w:rsidP="565E94E5" wp14:paraId="72A15233" wp14:textId="7D14CB09">
      <w:pPr>
        <w:jc w:val="center"/>
        <w:rPr>
          <w:rFonts w:ascii="Calibri" w:hAnsi="Calibri" w:eastAsia="Calibri" w:cs="Calibri"/>
          <w:b w:val="1"/>
          <w:bCs w:val="1"/>
          <w:noProof w:val="0"/>
          <w:sz w:val="28"/>
          <w:szCs w:val="28"/>
          <w:lang w:val="en-US"/>
        </w:rPr>
      </w:pPr>
      <w:r w:rsidRPr="565E94E5" w:rsidR="38D767C6">
        <w:rPr>
          <w:rFonts w:ascii="Calibri" w:hAnsi="Calibri" w:eastAsia="Calibri" w:cs="Calibri"/>
          <w:b w:val="1"/>
          <w:bCs w:val="1"/>
          <w:noProof w:val="0"/>
          <w:sz w:val="28"/>
          <w:szCs w:val="28"/>
          <w:lang w:val="en-US"/>
        </w:rPr>
        <w:t>STUDENT NAME:</w:t>
      </w:r>
      <w:r w:rsidRPr="565E94E5" w:rsidR="38D767C6">
        <w:rPr>
          <w:rFonts w:ascii="Calibri" w:hAnsi="Calibri" w:eastAsia="Calibri" w:cs="Calibri"/>
          <w:b w:val="1"/>
          <w:bCs w:val="1"/>
          <w:noProof w:val="0"/>
          <w:sz w:val="28"/>
          <w:szCs w:val="28"/>
          <w:lang w:val="en-US"/>
        </w:rPr>
        <w:t xml:space="preserve"> Ramona Maria Avram</w:t>
      </w:r>
      <w:r w:rsidRPr="565E94E5" w:rsidR="38D767C6">
        <w:rPr>
          <w:rFonts w:ascii="Calibri" w:hAnsi="Calibri" w:eastAsia="Calibri" w:cs="Calibri"/>
          <w:b w:val="1"/>
          <w:bCs w:val="1"/>
          <w:noProof w:val="0"/>
          <w:sz w:val="28"/>
          <w:szCs w:val="28"/>
          <w:lang w:val="en-US"/>
        </w:rPr>
        <w:t xml:space="preserve"> </w:t>
      </w:r>
    </w:p>
    <w:p xmlns:wp14="http://schemas.microsoft.com/office/word/2010/wordml" w:rsidP="565E94E5" wp14:paraId="672C809A" wp14:textId="41797C5B">
      <w:pPr>
        <w:jc w:val="center"/>
        <w:rPr>
          <w:rFonts w:ascii="Calibri" w:hAnsi="Calibri" w:eastAsia="Calibri" w:cs="Calibri"/>
          <w:b w:val="1"/>
          <w:bCs w:val="1"/>
          <w:noProof w:val="0"/>
          <w:sz w:val="28"/>
          <w:szCs w:val="28"/>
          <w:lang w:val="en-US"/>
        </w:rPr>
      </w:pPr>
      <w:r w:rsidRPr="565E94E5" w:rsidR="38D767C6">
        <w:rPr>
          <w:rFonts w:ascii="Calibri" w:hAnsi="Calibri" w:eastAsia="Calibri" w:cs="Calibri"/>
          <w:b w:val="1"/>
          <w:bCs w:val="1"/>
          <w:noProof w:val="0"/>
          <w:sz w:val="28"/>
          <w:szCs w:val="28"/>
          <w:lang w:val="en-US"/>
        </w:rPr>
        <w:t>STUDENT ID:</w:t>
      </w:r>
      <w:r w:rsidRPr="565E94E5" w:rsidR="38D767C6">
        <w:rPr>
          <w:rFonts w:ascii="Calibri" w:hAnsi="Calibri" w:eastAsia="Calibri" w:cs="Calibri"/>
          <w:b w:val="1"/>
          <w:bCs w:val="1"/>
          <w:noProof w:val="0"/>
          <w:sz w:val="28"/>
          <w:szCs w:val="28"/>
          <w:lang w:val="en-US"/>
        </w:rPr>
        <w:t xml:space="preserve"> 2234752</w:t>
      </w:r>
    </w:p>
    <w:p w:rsidR="1A3A5F62" w:rsidP="565E94E5" w:rsidRDefault="1A3A5F62" w14:paraId="356C12A4" w14:textId="59FDF0DD">
      <w:pPr>
        <w:pStyle w:val="Normal"/>
        <w:jc w:val="center"/>
        <w:rPr>
          <w:rFonts w:ascii="Arial" w:hAnsi="Arial" w:eastAsia="Arial" w:cs="Arial"/>
          <w:b w:val="1"/>
          <w:bCs w:val="1"/>
          <w:noProof w:val="0"/>
          <w:sz w:val="28"/>
          <w:szCs w:val="28"/>
          <w:lang w:val="en-US"/>
        </w:rPr>
      </w:pPr>
      <w:r w:rsidRPr="565E94E5" w:rsidR="1A3A5F62">
        <w:rPr>
          <w:rFonts w:ascii="Calibri" w:hAnsi="Calibri" w:eastAsia="Calibri" w:cs="Calibri"/>
          <w:b w:val="1"/>
          <w:bCs w:val="1"/>
          <w:noProof w:val="0"/>
          <w:sz w:val="28"/>
          <w:szCs w:val="28"/>
          <w:lang w:val="en-US"/>
        </w:rPr>
        <w:t>Lecturer:</w:t>
      </w:r>
      <w:r w:rsidRPr="565E94E5" w:rsidR="1A3A5F62">
        <w:rPr>
          <w:rFonts w:ascii="Arial" w:hAnsi="Arial" w:eastAsia="Arial" w:cs="Arial"/>
          <w:b w:val="1"/>
          <w:bCs w:val="1"/>
          <w:noProof w:val="0"/>
          <w:sz w:val="28"/>
          <w:szCs w:val="28"/>
          <w:lang w:val="en-US"/>
        </w:rPr>
        <w:t xml:space="preserve"> Laura Humphries</w:t>
      </w:r>
    </w:p>
    <w:p xmlns:wp14="http://schemas.microsoft.com/office/word/2010/wordml" w:rsidP="565E94E5" wp14:paraId="09A8AF2F" wp14:textId="1C13FF62">
      <w:pPr>
        <w:jc w:val="center"/>
      </w:pPr>
      <w:r>
        <w:br w:type="page"/>
      </w:r>
    </w:p>
    <w:p xmlns:wp14="http://schemas.microsoft.com/office/word/2010/wordml" w:rsidP="565E94E5" wp14:paraId="56C240EE" wp14:textId="0EDE5F8E">
      <w:pPr>
        <w:rPr>
          <w:rFonts w:ascii="Calibri" w:hAnsi="Calibri" w:eastAsia="Calibri" w:cs="Calibri" w:asciiTheme="minorAscii" w:hAnsiTheme="minorAscii" w:eastAsiaTheme="minorAscii" w:cstheme="minorAscii"/>
          <w:b w:val="1"/>
          <w:bCs w:val="1"/>
          <w:noProof w:val="0"/>
          <w:sz w:val="22"/>
          <w:szCs w:val="22"/>
          <w:lang w:val="en-US"/>
        </w:rPr>
      </w:pPr>
      <w:r w:rsidRPr="565E94E5" w:rsidR="0D0110F2">
        <w:rPr>
          <w:rFonts w:ascii="Calibri" w:hAnsi="Calibri" w:eastAsia="Calibri" w:cs="Calibri" w:asciiTheme="minorAscii" w:hAnsiTheme="minorAscii" w:eastAsiaTheme="minorAscii" w:cstheme="minorAscii"/>
          <w:b w:val="1"/>
          <w:bCs w:val="1"/>
          <w:noProof w:val="0"/>
          <w:sz w:val="22"/>
          <w:szCs w:val="22"/>
          <w:lang w:val="en-US"/>
        </w:rPr>
        <w:t>Introduction</w:t>
      </w:r>
      <w:r w:rsidRPr="565E94E5" w:rsidR="0D0110F2">
        <w:rPr>
          <w:rFonts w:ascii="Calibri" w:hAnsi="Calibri" w:eastAsia="Calibri" w:cs="Calibri" w:asciiTheme="minorAscii" w:hAnsiTheme="minorAscii" w:eastAsiaTheme="minorAscii" w:cstheme="minorAscii"/>
          <w:b w:val="1"/>
          <w:bCs w:val="1"/>
          <w:noProof w:val="0"/>
          <w:sz w:val="22"/>
          <w:szCs w:val="22"/>
          <w:lang w:val="en-US"/>
        </w:rPr>
        <w:t xml:space="preserve"> </w:t>
      </w:r>
    </w:p>
    <w:p xmlns:wp14="http://schemas.microsoft.com/office/word/2010/wordml" w:rsidP="565E94E5" wp14:paraId="36275C8E" wp14:textId="53062A26">
      <w:pPr>
        <w:pStyle w:val="Normal"/>
        <w:spacing w:before="0" w:before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br/>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Evidence-oriented policing (EOP) and evidence-based policing (EBP) are terms that refer to the same </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concept</w:t>
      </w:r>
      <w:r w:rsidRPr="565E94E5" w:rsidR="2B9DA7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refers </w:t>
      </w:r>
      <w:r w:rsidRPr="565E94E5" w:rsidR="2B9DA7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to a procedure whereby data generated from a particular data creation process and evidence are used to help create ongoing activities, such as those using professional segments.</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They both emphasize the use of empirical evidence to guide policing practices and decision-making. Evidence-oriented policing or evidence-based policing involves integrating research findings, data analysis, evaluation, and practical knowledge to inform and improve policing strategies and interventions.</w:t>
      </w:r>
    </w:p>
    <w:p xmlns:wp14="http://schemas.microsoft.com/office/word/2010/wordml" w:rsidP="565E94E5" wp14:paraId="3FA7A1E1" wp14:textId="34488A8C">
      <w:pPr>
        <w:spacing w:before="400" w:beforeAutospacing="off" w:after="40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aim of evidence-oriented policing or evidence-based policing is to ensure that law enforcement agencies rely on the best available evidence when developing policies, implementing interventions, and making operational decisions. This evidence can come from various sources, including scientific research studies, evaluations of specific programs or practices, local data analysis, community input, and professional </w:t>
      </w:r>
      <w:r w:rsidRPr="565E94E5" w:rsidR="457945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ability</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565E94E5" w:rsidR="549153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By adopting an evidence-oriented approach, law enforcement agencies strive to enhance the effectiveness, efficiency, and legitimacy of their practices. They prioritize data-driven decision-making, </w:t>
      </w:r>
      <w:r w:rsidRPr="565E94E5" w:rsidR="104BAF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give</w:t>
      </w:r>
      <w:r w:rsidRPr="565E94E5" w:rsidR="1FD1AE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resources based on evidence of effectiveness, and continuously evaluate and adapt their strategies to align with the most robust evidence.</w:t>
      </w:r>
    </w:p>
    <w:p xmlns:wp14="http://schemas.microsoft.com/office/word/2010/wordml" w:rsidP="565E94E5" wp14:paraId="1C30DD7B" wp14:textId="4E3FD164">
      <w:pPr>
        <w:spacing w:before="400" w:beforeAutospacing="off" w:after="40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Future challenges for the police and their partners working in Criminal Justice Systems include calls for service becoming increasingly complex. </w:t>
      </w:r>
      <w:r w:rsidRPr="6EC5FEFE" w:rsidR="04135A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As a result, a more adaptable and informed approach capable of blending high technical abilities with interpersonal qualities such as empathy, creativity, and collaboration will be </w:t>
      </w:r>
      <w:r w:rsidRPr="6EC5FEFE" w:rsidR="0690F0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needed</w:t>
      </w:r>
      <w:r w:rsidRPr="6EC5FEFE" w:rsidR="04135A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Current policing structures are </w:t>
      </w:r>
      <w:r w:rsidRPr="6EC5FEFE" w:rsidR="0991F6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modelled</w:t>
      </w:r>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on the early industrial period, with vertical, hierarchical fragmented and bureaucratic methods of dealing with issues (College of Policing</w:t>
      </w:r>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hyperlink w:anchor="CR6" r:id="R1a2a773d6b034057">
        <w:r w:rsidRPr="6EC5FEFE" w:rsidR="206F8D7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2020</w:t>
        </w:r>
      </w:hyperlink>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These tend to hinder the way in which dealing with emerging threats and challenges are dealt with. In part, this has been </w:t>
      </w:r>
      <w:r w:rsidRPr="6EC5FEFE" w:rsidR="7C1F12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recognized</w:t>
      </w:r>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being problematic for the future (Association of Police and Crime Commissioners</w:t>
      </w:r>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hyperlink w:anchor="CR1" r:id="R9a0bba517c19410a">
        <w:r w:rsidRPr="6EC5FEFE" w:rsidR="206F8D7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2015</w:t>
        </w:r>
      </w:hyperlink>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College of Policing</w:t>
      </w:r>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hyperlink w:anchor="CR6" r:id="R449a1549315d436d">
        <w:r w:rsidRPr="6EC5FEFE" w:rsidR="206F8D7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2020</w:t>
        </w:r>
      </w:hyperlink>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Both </w:t>
      </w:r>
      <w:r w:rsidRPr="6EC5FEFE" w:rsidR="22AA63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organizations</w:t>
      </w:r>
      <w:r w:rsidRPr="6EC5FEFE" w:rsidR="206F8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appear to appreciate that there is a need to add critical skills to the police workforce, along with a change in culture and leadership if policing is to meet future challenges.</w:t>
      </w:r>
    </w:p>
    <w:p xmlns:wp14="http://schemas.microsoft.com/office/word/2010/wordml" w:rsidP="565E94E5" wp14:paraId="2C078E63" wp14:textId="37015EF3">
      <w:pPr>
        <w:pStyle w:val="Normal"/>
        <w:rPr>
          <w:rFonts w:ascii="Calibri" w:hAnsi="Calibri" w:eastAsia="Calibri" w:cs="Calibri" w:asciiTheme="minorAscii" w:hAnsiTheme="minorAscii" w:eastAsiaTheme="minorAscii" w:cstheme="minorAscii"/>
          <w:b w:val="1"/>
          <w:bCs w:val="1"/>
          <w:noProof w:val="0"/>
          <w:color w:val="auto"/>
          <w:sz w:val="22"/>
          <w:szCs w:val="22"/>
          <w:lang w:val="en-US"/>
        </w:rPr>
      </w:pPr>
      <w:r w:rsidRPr="565E94E5" w:rsidR="20D49796">
        <w:rPr>
          <w:rFonts w:ascii="Calibri" w:hAnsi="Calibri" w:eastAsia="Calibri" w:cs="Calibri" w:asciiTheme="minorAscii" w:hAnsiTheme="minorAscii" w:eastAsiaTheme="minorAscii" w:cstheme="minorAscii"/>
          <w:b w:val="1"/>
          <w:bCs w:val="1"/>
          <w:noProof w:val="0"/>
          <w:color w:val="auto"/>
          <w:sz w:val="22"/>
          <w:szCs w:val="22"/>
          <w:lang w:val="en-US"/>
        </w:rPr>
        <w:t xml:space="preserve">How evidence is </w:t>
      </w:r>
      <w:r w:rsidRPr="565E94E5" w:rsidR="43BD4ABB">
        <w:rPr>
          <w:rFonts w:ascii="Calibri" w:hAnsi="Calibri" w:eastAsia="Calibri" w:cs="Calibri" w:asciiTheme="minorAscii" w:hAnsiTheme="minorAscii" w:eastAsiaTheme="minorAscii" w:cstheme="minorAscii"/>
          <w:b w:val="1"/>
          <w:bCs w:val="1"/>
          <w:noProof w:val="0"/>
          <w:color w:val="auto"/>
          <w:sz w:val="22"/>
          <w:szCs w:val="22"/>
          <w:lang w:val="en-US"/>
        </w:rPr>
        <w:t>used</w:t>
      </w:r>
      <w:r w:rsidRPr="565E94E5" w:rsidR="20D49796">
        <w:rPr>
          <w:rFonts w:ascii="Calibri" w:hAnsi="Calibri" w:eastAsia="Calibri" w:cs="Calibri" w:asciiTheme="minorAscii" w:hAnsiTheme="minorAscii" w:eastAsiaTheme="minorAscii" w:cstheme="minorAscii"/>
          <w:b w:val="1"/>
          <w:bCs w:val="1"/>
          <w:noProof w:val="0"/>
          <w:color w:val="auto"/>
          <w:sz w:val="22"/>
          <w:szCs w:val="22"/>
          <w:lang w:val="en-US"/>
        </w:rPr>
        <w:t xml:space="preserve"> to underpin and develop policing practice</w:t>
      </w:r>
    </w:p>
    <w:p w:rsidR="13EADE20" w:rsidP="3BFB7F9A" w:rsidRDefault="13EADE20" w14:paraId="7E04E489" w14:textId="0C21B13D">
      <w:pPr>
        <w:pStyle w:val="Normal"/>
        <w:rPr>
          <w:rFonts w:ascii="Calibri" w:hAnsi="Calibri" w:eastAsia="Calibri" w:cs="Calibri" w:asciiTheme="minorAscii" w:hAnsiTheme="minorAscii" w:eastAsiaTheme="minorAscii" w:cstheme="minorAscii"/>
          <w:noProof w:val="0"/>
          <w:color w:val="auto"/>
          <w:sz w:val="22"/>
          <w:szCs w:val="22"/>
          <w:lang w:val="en-US"/>
        </w:rPr>
      </w:pPr>
      <w:r w:rsidRPr="565E94E5" w:rsidR="00270A2F">
        <w:rPr>
          <w:rFonts w:ascii="Calibri" w:hAnsi="Calibri" w:eastAsia="Calibri" w:cs="Calibri" w:asciiTheme="minorAscii" w:hAnsiTheme="minorAscii" w:eastAsiaTheme="minorAscii" w:cstheme="minorAscii"/>
          <w:noProof w:val="0"/>
          <w:color w:val="auto"/>
          <w:sz w:val="22"/>
          <w:szCs w:val="22"/>
          <w:lang w:val="en-US"/>
        </w:rPr>
        <w:t xml:space="preserve">As per </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Sherman's Police Foundation lecture in 1998 was when EBP was first formally articulated. </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Sherman advanced the concept of </w:t>
      </w:r>
      <w:r w:rsidRPr="565E94E5" w:rsidR="1408936B">
        <w:rPr>
          <w:rFonts w:ascii="Calibri" w:hAnsi="Calibri" w:eastAsia="Calibri" w:cs="Calibri" w:asciiTheme="minorAscii" w:hAnsiTheme="minorAscii" w:eastAsiaTheme="minorAscii" w:cstheme="minorAscii"/>
          <w:noProof w:val="0"/>
          <w:color w:val="auto"/>
          <w:sz w:val="22"/>
          <w:szCs w:val="22"/>
          <w:lang w:val="en-US"/>
        </w:rPr>
        <w:t>evidence-based</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policing as </w:t>
      </w:r>
      <w:r w:rsidRPr="565E94E5" w:rsidR="7DB79457">
        <w:rPr>
          <w:rFonts w:ascii="Calibri" w:hAnsi="Calibri" w:eastAsia="Calibri" w:cs="Calibri" w:asciiTheme="minorAscii" w:hAnsiTheme="minorAscii" w:eastAsiaTheme="minorAscii" w:cstheme="minorAscii"/>
          <w:noProof w:val="0"/>
          <w:color w:val="auto"/>
          <w:sz w:val="22"/>
          <w:szCs w:val="22"/>
          <w:lang w:val="en-US"/>
        </w:rPr>
        <w:t>forming</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the twin aspects of experimental research to </w:t>
      </w:r>
      <w:r w:rsidRPr="565E94E5" w:rsidR="6A559483">
        <w:rPr>
          <w:rFonts w:ascii="Calibri" w:hAnsi="Calibri" w:eastAsia="Calibri" w:cs="Calibri" w:asciiTheme="minorAscii" w:hAnsiTheme="minorAscii" w:eastAsiaTheme="minorAscii" w:cstheme="minorAscii"/>
          <w:noProof w:val="0"/>
          <w:color w:val="auto"/>
          <w:sz w:val="22"/>
          <w:szCs w:val="22"/>
          <w:lang w:val="en-US"/>
        </w:rPr>
        <w:t>show</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what works and ongoing outcome evaluations to </w:t>
      </w:r>
      <w:r w:rsidRPr="565E94E5" w:rsidR="6FFE0138">
        <w:rPr>
          <w:rFonts w:ascii="Calibri" w:hAnsi="Calibri" w:eastAsia="Calibri" w:cs="Calibri" w:asciiTheme="minorAscii" w:hAnsiTheme="minorAscii" w:eastAsiaTheme="minorAscii" w:cstheme="minorAscii"/>
          <w:noProof w:val="0"/>
          <w:color w:val="auto"/>
          <w:sz w:val="22"/>
          <w:szCs w:val="22"/>
          <w:lang w:val="en-US"/>
        </w:rPr>
        <w:t>decide</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what an intervention achieved.</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He argued EBP itself was not new but was developed from and built on </w:t>
      </w:r>
      <w:r w:rsidRPr="565E94E5" w:rsidR="5C0B38D4">
        <w:rPr>
          <w:rFonts w:ascii="Calibri" w:hAnsi="Calibri" w:eastAsia="Calibri" w:cs="Calibri" w:asciiTheme="minorAscii" w:hAnsiTheme="minorAscii" w:eastAsiaTheme="minorAscii" w:cstheme="minorAscii"/>
          <w:noProof w:val="0"/>
          <w:color w:val="auto"/>
          <w:sz w:val="22"/>
          <w:szCs w:val="22"/>
          <w:lang w:val="en-US"/>
        </w:rPr>
        <w:t>earlier</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attempts at </w:t>
      </w:r>
      <w:r w:rsidRPr="565E94E5" w:rsidR="482F7B27">
        <w:rPr>
          <w:rFonts w:ascii="Calibri" w:hAnsi="Calibri" w:eastAsia="Calibri" w:cs="Calibri" w:asciiTheme="minorAscii" w:hAnsiTheme="minorAscii" w:eastAsiaTheme="minorAscii" w:cstheme="minorAscii"/>
          <w:noProof w:val="0"/>
          <w:color w:val="auto"/>
          <w:sz w:val="22"/>
          <w:szCs w:val="22"/>
          <w:lang w:val="en-US"/>
        </w:rPr>
        <w:t>professionalization</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namely, the New York Police Department's </w:t>
      </w:r>
      <w:r w:rsidRPr="565E94E5" w:rsidR="06402BB3">
        <w:rPr>
          <w:rFonts w:ascii="Calibri" w:hAnsi="Calibri" w:eastAsia="Calibri" w:cs="Calibri" w:asciiTheme="minorAscii" w:hAnsiTheme="minorAscii" w:eastAsiaTheme="minorAscii" w:cstheme="minorAscii"/>
          <w:noProof w:val="0"/>
          <w:color w:val="auto"/>
          <w:sz w:val="22"/>
          <w:szCs w:val="22"/>
          <w:lang w:val="en-US"/>
        </w:rPr>
        <w:t>Compustat</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data driven performance approach, community policing models and Goldstein's </w:t>
      </w:r>
      <w:r w:rsidRPr="565E94E5" w:rsidR="7579B6D8">
        <w:rPr>
          <w:rFonts w:ascii="Calibri" w:hAnsi="Calibri" w:eastAsia="Calibri" w:cs="Calibri" w:asciiTheme="minorAscii" w:hAnsiTheme="minorAscii" w:eastAsiaTheme="minorAscii" w:cstheme="minorAscii"/>
          <w:noProof w:val="0"/>
          <w:color w:val="auto"/>
          <w:sz w:val="22"/>
          <w:szCs w:val="22"/>
          <w:lang w:val="en-US"/>
        </w:rPr>
        <w:t>problem-oriented</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policing, by </w:t>
      </w:r>
      <w:r w:rsidRPr="565E94E5" w:rsidR="6FD68D84">
        <w:rPr>
          <w:rFonts w:ascii="Calibri" w:hAnsi="Calibri" w:eastAsia="Calibri" w:cs="Calibri" w:asciiTheme="minorAscii" w:hAnsiTheme="minorAscii" w:eastAsiaTheme="minorAscii" w:cstheme="minorAscii"/>
          <w:noProof w:val="0"/>
          <w:color w:val="auto"/>
          <w:sz w:val="22"/>
          <w:szCs w:val="22"/>
          <w:lang w:val="en-US"/>
        </w:rPr>
        <w:t>emphasizing</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the role of systematically conducted research studies (Sherman, 1989). What was new was Sherman's drawing from medicine as an </w:t>
      </w:r>
      <w:r w:rsidRPr="565E94E5" w:rsidR="7FFB96D5">
        <w:rPr>
          <w:rFonts w:ascii="Calibri" w:hAnsi="Calibri" w:eastAsia="Calibri" w:cs="Calibri" w:asciiTheme="minorAscii" w:hAnsiTheme="minorAscii" w:eastAsiaTheme="minorAscii" w:cstheme="minorAscii"/>
          <w:noProof w:val="0"/>
          <w:color w:val="auto"/>
          <w:sz w:val="22"/>
          <w:szCs w:val="22"/>
          <w:lang w:val="en-US"/>
        </w:rPr>
        <w:t>exemplary</w:t>
      </w:r>
      <w:r w:rsidRPr="565E94E5" w:rsidR="20D49796">
        <w:rPr>
          <w:rFonts w:ascii="Calibri" w:hAnsi="Calibri" w:eastAsia="Calibri" w:cs="Calibri" w:asciiTheme="minorAscii" w:hAnsiTheme="minorAscii" w:eastAsiaTheme="minorAscii" w:cstheme="minorAscii"/>
          <w:noProof w:val="0"/>
          <w:color w:val="auto"/>
          <w:sz w:val="22"/>
          <w:szCs w:val="22"/>
          <w:lang w:val="en-US"/>
        </w:rPr>
        <w:t xml:space="preserve"> of a profession based on strong scientific evidence with RCTs as a rigorous method to guide both practice and systemic changes in the way policing was to be done. Sherman has since elaborated his definition of EBP as: "a decision-making process that uses reliable, unbiased, quantitative evidence on prediction and prevention as a primary criterion for setting goals, choosing priorities, making policies, making decisions, managing compliance, assessing results and improving policies" (Sherman, 2009:21). </w:t>
      </w:r>
      <w:r w:rsidRPr="565E94E5" w:rsidR="13EADE20">
        <w:rPr>
          <w:rFonts w:ascii="Calibri" w:hAnsi="Calibri" w:eastAsia="Calibri" w:cs="Calibri" w:asciiTheme="minorAscii" w:hAnsiTheme="minorAscii" w:eastAsiaTheme="minorAscii" w:cstheme="minorAscii"/>
          <w:noProof w:val="0"/>
          <w:color w:val="auto"/>
          <w:sz w:val="22"/>
          <w:szCs w:val="22"/>
          <w:lang w:val="en-US"/>
        </w:rPr>
        <w:t xml:space="preserve">Critics (e.g. Knutsson and Tompson 2017; Lumsden and Goode, 2016; Greene, 2014; Sparrow, 2011; Bullock, and Tilley, 2009; Hope, 2004; Pawson and Tilley, 1994) argue that the primacy of RCT designs excludes much research evidence of value that could inform policing and criminal justice policy when the 'gold standard' criteria are strictly imposed. Bullock and Tilley (2009) suggest that the work on repeat burglary </w:t>
      </w:r>
      <w:r w:rsidRPr="565E94E5" w:rsidR="2AA89A27">
        <w:rPr>
          <w:rFonts w:ascii="Calibri" w:hAnsi="Calibri" w:eastAsia="Calibri" w:cs="Calibri" w:asciiTheme="minorAscii" w:hAnsiTheme="minorAscii" w:eastAsiaTheme="minorAscii" w:cstheme="minorAscii"/>
          <w:noProof w:val="0"/>
          <w:color w:val="auto"/>
          <w:sz w:val="22"/>
          <w:szCs w:val="22"/>
          <w:lang w:val="en-US"/>
        </w:rPr>
        <w:t>victimization</w:t>
      </w:r>
      <w:r w:rsidRPr="565E94E5" w:rsidR="13EADE20">
        <w:rPr>
          <w:rFonts w:ascii="Calibri" w:hAnsi="Calibri" w:eastAsia="Calibri" w:cs="Calibri" w:asciiTheme="minorAscii" w:hAnsiTheme="minorAscii" w:eastAsiaTheme="minorAscii" w:cstheme="minorAscii"/>
          <w:noProof w:val="0"/>
          <w:color w:val="auto"/>
          <w:sz w:val="22"/>
          <w:szCs w:val="22"/>
          <w:lang w:val="en-US"/>
        </w:rPr>
        <w:t xml:space="preserve"> (Farrell and Pease, 1993) may have been overlooked if judged by the strict Maryland Scale reliability threshold </w:t>
      </w:r>
      <w:r w:rsidRPr="565E94E5" w:rsidR="0CAD13D4">
        <w:rPr>
          <w:rFonts w:ascii="Calibri" w:hAnsi="Calibri" w:eastAsia="Calibri" w:cs="Calibri" w:asciiTheme="minorAscii" w:hAnsiTheme="minorAscii" w:eastAsiaTheme="minorAscii" w:cstheme="minorAscii"/>
          <w:noProof w:val="0"/>
          <w:color w:val="auto"/>
          <w:sz w:val="22"/>
          <w:szCs w:val="22"/>
          <w:lang w:val="en-US"/>
        </w:rPr>
        <w:t>criteria,</w:t>
      </w:r>
      <w:r w:rsidRPr="565E94E5" w:rsidR="13EADE20">
        <w:rPr>
          <w:rFonts w:ascii="Calibri" w:hAnsi="Calibri" w:eastAsia="Calibri" w:cs="Calibri" w:asciiTheme="minorAscii" w:hAnsiTheme="minorAscii" w:eastAsiaTheme="minorAscii" w:cstheme="minorAscii"/>
          <w:noProof w:val="0"/>
          <w:color w:val="auto"/>
          <w:sz w:val="22"/>
          <w:szCs w:val="22"/>
          <w:lang w:val="en-US"/>
        </w:rPr>
        <w:t xml:space="preserve"> yet Laycock (2000) describes this as one of the Home Office's most successful projects.</w:t>
      </w:r>
    </w:p>
    <w:p w:rsidR="29354200" w:rsidP="3BFB7F9A" w:rsidRDefault="29354200" w14:paraId="053C553A" w14:textId="2563FEC5">
      <w:pPr>
        <w:pStyle w:val="Normal"/>
        <w:rPr>
          <w:rFonts w:ascii="Calibri" w:hAnsi="Calibri" w:eastAsia="Calibri" w:cs="Calibri" w:asciiTheme="minorAscii" w:hAnsiTheme="minorAscii" w:eastAsiaTheme="minorAscii" w:cstheme="minorAscii"/>
          <w:b w:val="1"/>
          <w:bCs w:val="1"/>
          <w:noProof w:val="0"/>
          <w:color w:val="auto"/>
          <w:sz w:val="22"/>
          <w:szCs w:val="22"/>
          <w:lang w:val="en-US"/>
        </w:rPr>
      </w:pPr>
      <w:r w:rsidRPr="3BFB7F9A" w:rsidR="29354200">
        <w:rPr>
          <w:rFonts w:ascii="Calibri" w:hAnsi="Calibri" w:eastAsia="Calibri" w:cs="Calibri" w:asciiTheme="minorAscii" w:hAnsiTheme="minorAscii" w:eastAsiaTheme="minorAscii" w:cstheme="minorAscii"/>
          <w:b w:val="1"/>
          <w:bCs w:val="1"/>
          <w:noProof w:val="0"/>
          <w:color w:val="auto"/>
          <w:sz w:val="22"/>
          <w:szCs w:val="22"/>
          <w:lang w:val="en-US"/>
        </w:rPr>
        <w:t>Way by which evidence is used by evidence-oriented policing for definition of effectiveness criteria of the ongoing practice</w:t>
      </w:r>
    </w:p>
    <w:p w:rsidR="3521F04D" w:rsidP="565E94E5" w:rsidRDefault="3521F04D" w14:paraId="1B94F155" w14:textId="0B230348">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5E94E5" w:rsidR="6DA646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Successful daily policing is </w:t>
      </w:r>
      <w:r w:rsidRPr="565E94E5" w:rsidR="6DA646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largely based</w:t>
      </w:r>
      <w:r w:rsidRPr="565E94E5" w:rsidR="6DA646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on building relationships and trust internally and externally in our organizations – emotional concepts that are often difficult to measure.</w:t>
      </w:r>
      <w:r w:rsidRPr="565E94E5" w:rsidR="30D889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521F0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Getting a confession from a subject, making connections with a shop owner or community member, or a patrol officer using natural, keen instincts to read cues that a subject needs further investigation, are examples of successful policing that are often considered the “art and craft” of law enforcement.</w:t>
      </w:r>
      <w:r w:rsidRPr="565E94E5" w:rsidR="3521F0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144D1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However, this does not </w:t>
      </w:r>
      <w:r w:rsidRPr="565E94E5" w:rsidR="445844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prevent</w:t>
      </w:r>
      <w:r w:rsidRPr="565E94E5" w:rsidR="3144D1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us from using contextual data, technology, and the best available empirical research to teach our officers and warn them of their actions</w:t>
      </w:r>
      <w:r w:rsidRPr="565E94E5" w:rsidR="3144D1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565E94E5" w:rsidR="293542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practice of evidence-based policing is a decision-making perspective that suggests policies and practices should be supported by assessing and analyzing data, rigorous scientific evidence about what works and what does </w:t>
      </w:r>
      <w:r w:rsidRPr="565E94E5" w:rsidR="5E0205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not and</w:t>
      </w:r>
      <w:r w:rsidRPr="565E94E5" w:rsidR="293542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acknowledging that research should be part of the conversation around police operations. </w:t>
      </w:r>
    </w:p>
    <w:p w:rsidR="3B04548F" w:rsidP="6EC5FEFE" w:rsidRDefault="3B04548F" w14:paraId="2B9A0450" w14:textId="2A334656">
      <w:pPr>
        <w:spacing w:before="0" w:beforeAutospacing="off" w:after="40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EC5FEFE" w:rsidR="49470B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There is still a lot of emphasis on the skill or art of policing, as there should be.</w:t>
      </w:r>
      <w:r w:rsidRPr="6EC5FEFE" w:rsidR="49470B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EC5FEFE" w:rsidR="49470B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Almost every</w:t>
      </w:r>
      <w:r w:rsidRPr="6EC5FEFE" w:rsidR="49470B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police station has a </w:t>
      </w:r>
      <w:r w:rsidRPr="6EC5FEFE" w:rsidR="7A0952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police officer</w:t>
      </w:r>
      <w:r w:rsidRPr="6EC5FEFE" w:rsidR="49470B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who attracts firearms, stolen automobiles, wanted individuals, and those carrying </w:t>
      </w:r>
      <w:r w:rsidRPr="6EC5FEFE" w:rsidR="489EA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substantial amounts</w:t>
      </w:r>
      <w:r w:rsidRPr="6EC5FEFE" w:rsidR="49470B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illicit substances. Still, depending on policing and random patrol can only get us so far. </w:t>
      </w:r>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Evidence shows that</w:t>
      </w:r>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hyperlink r:id="R5f6560b3f7ec458b">
        <w:r w:rsidRPr="6EC5FEFE" w:rsidR="2EB2386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proactive policing</w:t>
        </w:r>
      </w:hyperlink>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that </w:t>
      </w:r>
      <w:r w:rsidRPr="6EC5FEFE" w:rsidR="071720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targeting</w:t>
      </w:r>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hot places, </w:t>
      </w:r>
      <w:r w:rsidRPr="6EC5FEFE" w:rsidR="7B0B80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people and</w:t>
      </w:r>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times based on knowledge gleaned from</w:t>
      </w:r>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hyperlink r:id="R70cb2275978c4f1f">
        <w:r w:rsidRPr="6EC5FEFE" w:rsidR="2EB2386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crime analysts</w:t>
        </w:r>
      </w:hyperlink>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has proved to be an effective crime-reduction strategy. If we can couple instinctive proactive policing while addressing hot spots and reducing criminal opportunities through </w:t>
      </w:r>
      <w:r w:rsidRPr="6EC5FEFE" w:rsidR="770459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deterrence,</w:t>
      </w:r>
      <w:r w:rsidRPr="6EC5FEFE" w:rsidR="2EB23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then the police might be able to exert their influence in meaningful ways.</w:t>
      </w:r>
      <w:r>
        <w:br/>
      </w:r>
      <w:r w:rsidRPr="6EC5FEFE" w:rsidR="3AC2FD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Key to navigating such impediments is the design of research projects that stand to directly </w:t>
      </w:r>
      <w:r w:rsidRPr="6EC5FEFE" w:rsidR="5342F2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help</w:t>
      </w:r>
      <w:r w:rsidRPr="6EC5FEFE" w:rsidR="3AC2FD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police agencies. This process could be further </w:t>
      </w:r>
      <w:r w:rsidRPr="6EC5FEFE" w:rsidR="1B066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helped</w:t>
      </w:r>
      <w:r w:rsidRPr="6EC5FEFE" w:rsidR="3AC2FD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involving police practitioners directly in the interpretation of findings and discussion of their implications for policy and practice</w:t>
      </w:r>
      <w:r w:rsidRPr="6EC5FEFE" w:rsidR="246B17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3B04548F" w:rsidP="565E94E5" w:rsidRDefault="3B04548F" w14:paraId="76B8E2BC" w14:textId="1C8DA7DD">
      <w:pPr>
        <w:spacing w:before="0" w:beforeAutospacing="off" w:after="400" w:afterAutospacing="off"/>
        <w:rPr>
          <w:rFonts w:ascii="Calibri" w:hAnsi="Calibri" w:eastAsia="Calibri" w:cs="Calibri" w:asciiTheme="minorAscii" w:hAnsiTheme="minorAscii" w:eastAsiaTheme="minorAscii" w:cstheme="minorAscii"/>
          <w:noProof w:val="0"/>
          <w:color w:val="auto"/>
          <w:sz w:val="22"/>
          <w:szCs w:val="22"/>
          <w:lang w:val="en-US"/>
        </w:rPr>
      </w:pPr>
      <w:r w:rsidRPr="565E94E5" w:rsidR="3B0454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Ratcliffe's (2022) evidence focuses on the creation and implementation of an EBP training </w:t>
      </w:r>
      <w:r w:rsidRPr="565E94E5" w:rsidR="5D3222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programmer</w:t>
      </w:r>
      <w:r w:rsidRPr="565E94E5" w:rsidR="3B0454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for mid-level command employees.</w:t>
      </w:r>
      <w:r w:rsidRPr="565E94E5" w:rsidR="511F1A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argued by Ratcliffe, while police agencies often view tactical operations as hard skills requiring constant training, setting crime reduction strategy and policy is often considered a skill one can learn “on the job.” Ratcliffe’s police commander crime reduction course enhances the SARA (Scanning, Analysis, Response, and Assessment) model popularized by problem-oriented policing through specific practices and checklists to introduce more structured working practices into command work function. Building on SARA, the PANDA model has been developed: Problem scan, </w:t>
      </w:r>
      <w:r w:rsidRPr="565E94E5" w:rsidR="30C336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analyze</w:t>
      </w:r>
      <w:r w:rsidRPr="565E94E5" w:rsidR="511F1A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problem, </w:t>
      </w:r>
      <w:r w:rsidRPr="565E94E5" w:rsidR="446131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nominate</w:t>
      </w:r>
      <w:r w:rsidRPr="565E94E5" w:rsidR="511F1A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strategy, </w:t>
      </w:r>
      <w:r w:rsidRPr="565E94E5" w:rsidR="51FDC0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deploy</w:t>
      </w:r>
      <w:r w:rsidRPr="565E94E5" w:rsidR="511F1A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strategy, and Assess outcomes. PANDA </w:t>
      </w:r>
      <w:r w:rsidRPr="565E94E5" w:rsidR="30FAEF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keeps</w:t>
      </w:r>
      <w:r w:rsidRPr="565E94E5" w:rsidR="511F1A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aspects of SARA while adding more specificity to the articulation and deployment of a response. Each stage of the PANDA model has an accompanying checklist to foster a structured approach to decision-making to enhance the existing skillset of police </w:t>
      </w:r>
      <w:r w:rsidRPr="565E94E5" w:rsidR="0017EB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leaders. Improvements</w:t>
      </w:r>
      <w:r w:rsidRPr="565E94E5" w:rsidR="2B57B405">
        <w:rPr>
          <w:rFonts w:ascii="Calibri" w:hAnsi="Calibri" w:eastAsia="Calibri" w:cs="Calibri" w:asciiTheme="minorAscii" w:hAnsiTheme="minorAscii" w:eastAsiaTheme="minorAscii" w:cstheme="minorAscii"/>
          <w:b w:val="1"/>
          <w:bCs w:val="1"/>
          <w:noProof w:val="0"/>
          <w:color w:val="auto"/>
          <w:sz w:val="22"/>
          <w:szCs w:val="22"/>
          <w:lang w:val="en-US"/>
        </w:rPr>
        <w:t xml:space="preserve"> </w:t>
      </w:r>
      <w:r w:rsidRPr="565E94E5" w:rsidR="2B57B405">
        <w:rPr>
          <w:rFonts w:ascii="Calibri" w:hAnsi="Calibri" w:eastAsia="Calibri" w:cs="Calibri" w:asciiTheme="minorAscii" w:hAnsiTheme="minorAscii" w:eastAsiaTheme="minorAscii" w:cstheme="minorAscii"/>
          <w:b w:val="0"/>
          <w:bCs w:val="0"/>
          <w:noProof w:val="0"/>
          <w:color w:val="auto"/>
          <w:sz w:val="22"/>
          <w:szCs w:val="22"/>
          <w:lang w:val="en-US"/>
        </w:rPr>
        <w:t>in environmental sustainability</w:t>
      </w:r>
      <w:r w:rsidRPr="565E94E5" w:rsidR="2B57B405">
        <w:rPr>
          <w:rFonts w:ascii="Calibri" w:hAnsi="Calibri" w:eastAsia="Calibri" w:cs="Calibri" w:asciiTheme="minorAscii" w:hAnsiTheme="minorAscii" w:eastAsiaTheme="minorAscii" w:cstheme="minorAscii"/>
          <w:b w:val="1"/>
          <w:bCs w:val="1"/>
          <w:noProof w:val="0"/>
          <w:color w:val="auto"/>
          <w:sz w:val="22"/>
          <w:szCs w:val="22"/>
          <w:lang w:val="en-US"/>
        </w:rPr>
        <w:t xml:space="preserve"> </w:t>
      </w:r>
      <w:r w:rsidRPr="565E94E5" w:rsidR="2B57B405">
        <w:rPr>
          <w:rFonts w:ascii="Calibri" w:hAnsi="Calibri" w:eastAsia="Calibri" w:cs="Calibri" w:asciiTheme="minorAscii" w:hAnsiTheme="minorAscii" w:eastAsiaTheme="minorAscii" w:cstheme="minorAscii"/>
          <w:noProof w:val="0"/>
          <w:color w:val="auto"/>
          <w:sz w:val="22"/>
          <w:szCs w:val="22"/>
          <w:lang w:val="en-US"/>
        </w:rPr>
        <w:t>criteria can be interlinked with the prospect linking with the development of ongoing practices connected with EBP but proper use of evidence.</w:t>
      </w:r>
    </w:p>
    <w:p w:rsidR="793A2923" w:rsidP="565E94E5" w:rsidRDefault="793A2923" w14:paraId="6AD44F37" w14:textId="2449A30E">
      <w:pPr>
        <w:pStyle w:val="Normal"/>
        <w:spacing w:before="400" w:beforeAutospacing="off" w:after="400" w:afterAutospacing="off"/>
        <w:rPr>
          <w:rFonts w:ascii="Calibri" w:hAnsi="Calibri" w:eastAsia="Calibri" w:cs="Calibri" w:asciiTheme="minorAscii" w:hAnsiTheme="minorAscii" w:eastAsiaTheme="minorAscii" w:cstheme="minorAscii"/>
          <w:b w:val="1"/>
          <w:bCs w:val="1"/>
          <w:noProof w:val="0"/>
          <w:color w:val="auto"/>
          <w:sz w:val="22"/>
          <w:szCs w:val="22"/>
          <w:lang w:val="en-US"/>
        </w:rPr>
      </w:pPr>
      <w:r w:rsidRPr="565E94E5" w:rsidR="793A2923">
        <w:rPr>
          <w:rFonts w:ascii="Calibri" w:hAnsi="Calibri" w:eastAsia="Calibri" w:cs="Calibri" w:asciiTheme="minorAscii" w:hAnsiTheme="minorAscii" w:eastAsiaTheme="minorAscii" w:cstheme="minorAscii"/>
          <w:b w:val="1"/>
          <w:bCs w:val="1"/>
          <w:noProof w:val="0"/>
          <w:color w:val="auto"/>
          <w:sz w:val="22"/>
          <w:szCs w:val="22"/>
          <w:lang w:val="en-US"/>
        </w:rPr>
        <w:t>Significance of use of evidence for supporting of decision-making-based process</w:t>
      </w:r>
    </w:p>
    <w:p w:rsidR="172A9883" w:rsidP="565E94E5" w:rsidRDefault="172A9883" w14:paraId="3D5485E6" w14:textId="411571C8">
      <w:pPr>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5E94E5" w:rsidR="172A98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Research-minded law enforcement personnel </w:t>
      </w:r>
      <w:r w:rsidRPr="565E94E5" w:rsidR="610058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often</w:t>
      </w:r>
      <w:r w:rsidRPr="565E94E5" w:rsidR="172A98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do some degree of management analysis, whether through in-house reviews based on data analytics, compliance analysis, or performance monitoring iterations. Thoroughly planned and executed research, based on an agency's unique </w:t>
      </w:r>
      <w:r w:rsidRPr="565E94E5" w:rsidR="172A98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needs</w:t>
      </w:r>
      <w:r w:rsidRPr="565E94E5" w:rsidR="172A98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led by good managers, not only adds to the data </w:t>
      </w:r>
      <w:r w:rsidRPr="565E94E5" w:rsidR="7A8337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about</w:t>
      </w:r>
      <w:r w:rsidRPr="565E94E5" w:rsidR="172A98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what works for the agency but also supplements experience with facts. </w:t>
      </w:r>
      <w:r w:rsidRPr="565E94E5" w:rsidR="2028C7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When law enforcement officers take active roles in police science and scientific inquiry, they add to the evidence base of good policing practices and increase buy-in from their peers. This is important because the effectiveness of a program or policy might vary based on </w:t>
      </w:r>
      <w:r w:rsidRPr="565E94E5" w:rsidR="674412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authority</w:t>
      </w:r>
      <w:r w:rsidRPr="565E94E5" w:rsidR="2028C7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circumstance</w:t>
      </w:r>
      <w:r w:rsidRPr="565E94E5" w:rsidR="7419C14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767D0B1B" w:rsidP="3BFB7F9A" w:rsidRDefault="767D0B1B" w14:paraId="445383CF" w14:textId="1623FBC1">
      <w:pPr>
        <w:pStyle w:val="Normal"/>
        <w:spacing w:after="0" w:afterAutospacing="off"/>
      </w:pPr>
      <w:r w:rsidRPr="3BFB7F9A" w:rsidR="767D0B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767D0B1B" w:rsidP="565E94E5" w:rsidRDefault="767D0B1B" w14:paraId="5BFEC9F1" w14:textId="540D85AD">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5E94E5" w:rsidR="767D0B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Evidence-based police research is the </w:t>
      </w:r>
      <w:r w:rsidRPr="565E94E5" w:rsidR="0664FE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w:t>
      </w:r>
      <w:r w:rsidRPr="565E94E5" w:rsidR="767D0B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applying known scientific methodologies to obtain evidence </w:t>
      </w:r>
      <w:r w:rsidRPr="565E94E5" w:rsidR="73F639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about</w:t>
      </w:r>
      <w:r w:rsidRPr="565E94E5" w:rsidR="767D0B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success of a policing </w:t>
      </w:r>
      <w:r w:rsidRPr="565E94E5" w:rsidR="0E5DC9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programmer</w:t>
      </w:r>
      <w:r w:rsidRPr="565E94E5" w:rsidR="767D0B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F8503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practice</w:t>
      </w:r>
      <w:r w:rsidRPr="565E94E5" w:rsidR="767D0B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policy effort. </w:t>
      </w:r>
      <w:r w:rsidRPr="565E94E5" w:rsidR="2028C7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 involves examining whether an intervention is having the intended effect, and whether that effect is observable by others and is based on facts.</w:t>
      </w:r>
      <w:r w:rsidRPr="565E94E5" w:rsidR="2028C7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2028C7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Integrating evidence-based programs and policies into police practice is now an expectation in criminal justice operations. </w:t>
      </w:r>
      <w:r w:rsidRPr="565E94E5" w:rsidR="41329B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Law enforcement leaders have been called on to support expanding policing research that evaluates their policing strategies' effectiveness.</w:t>
      </w:r>
      <w:r w:rsidRPr="565E94E5" w:rsidR="2C5810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2028C7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Police agencies therefore need a range of approaches to assess new policies, test long-standing practices, and set the best course for change.</w:t>
      </w:r>
      <w:r w:rsidRPr="565E94E5" w:rsidR="7EBDD1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2028C7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It is not enough to merely implement an evidence-based program or policy. Evaluation of the intervention is necessary to </w:t>
      </w:r>
      <w:r w:rsidRPr="565E94E5" w:rsidR="066456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decide</w:t>
      </w:r>
      <w:r w:rsidRPr="565E94E5" w:rsidR="2028C7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whether desired outcomes are being produced and how those outcomes affect the agency, officers, and communities.</w:t>
      </w:r>
    </w:p>
    <w:p w:rsidR="565E94E5" w:rsidP="565E94E5" w:rsidRDefault="565E94E5" w14:paraId="0C5D6547" w14:textId="75A9D0FD">
      <w:pPr>
        <w:pStyle w:val="Normal"/>
        <w:spacing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3BFB7F9A" w:rsidP="565E94E5" w:rsidRDefault="3BFB7F9A" w14:paraId="6AB39180" w14:textId="10A23AD6">
      <w:pPr>
        <w:pStyle w:val="Normal"/>
        <w:spacing w:after="0" w:afterAutospacing="off"/>
        <w:rPr>
          <w:rFonts w:ascii="Calibri" w:hAnsi="Calibri" w:eastAsia="Calibri" w:cs="Calibri" w:asciiTheme="minorAscii" w:hAnsiTheme="minorAscii" w:eastAsiaTheme="minorAscii" w:cstheme="minorAscii"/>
          <w:b w:val="1"/>
          <w:bCs w:val="1"/>
          <w:noProof w:val="0"/>
          <w:color w:val="auto"/>
          <w:sz w:val="22"/>
          <w:szCs w:val="22"/>
          <w:lang w:val="en-US"/>
        </w:rPr>
      </w:pPr>
      <w:r w:rsidRPr="565E94E5" w:rsidR="504BA574">
        <w:rPr>
          <w:rFonts w:ascii="Calibri" w:hAnsi="Calibri" w:eastAsia="Calibri" w:cs="Calibri" w:asciiTheme="minorAscii" w:hAnsiTheme="minorAscii" w:eastAsiaTheme="minorAscii" w:cstheme="minorAscii"/>
          <w:b w:val="1"/>
          <w:bCs w:val="1"/>
          <w:noProof w:val="0"/>
          <w:color w:val="auto"/>
          <w:sz w:val="22"/>
          <w:szCs w:val="22"/>
          <w:lang w:val="en-US"/>
        </w:rPr>
        <w:t>Discussion of models related with evidence-oriented policing</w:t>
      </w:r>
    </w:p>
    <w:p w:rsidR="383DB3D5" w:rsidP="565E94E5" w:rsidRDefault="383DB3D5" w14:paraId="52FECF7A" w14:textId="7E06536F">
      <w:pPr>
        <w:spacing w:before="0" w:beforeAutospacing="off" w:after="36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5E94E5" w:rsidR="7937DBD4">
        <w:rPr>
          <w:rFonts w:ascii="Calibri" w:hAnsi="Calibri" w:eastAsia="Calibri" w:cs="Calibri" w:asciiTheme="minorAscii" w:hAnsiTheme="minorAscii" w:eastAsiaTheme="minorAscii" w:cstheme="minorAscii"/>
          <w:noProof w:val="0"/>
          <w:color w:val="auto"/>
          <w:sz w:val="22"/>
          <w:szCs w:val="22"/>
          <w:lang w:val="en-US"/>
        </w:rPr>
        <w:t>The major models related with evidence-based policing are as follows</w:t>
      </w:r>
      <w:r w:rsidRPr="565E94E5" w:rsidR="25561BA3">
        <w:rPr>
          <w:rFonts w:ascii="Calibri" w:hAnsi="Calibri" w:eastAsia="Calibri" w:cs="Calibri" w:asciiTheme="minorAscii" w:hAnsiTheme="minorAscii" w:eastAsiaTheme="minorAscii" w:cstheme="minorAscii"/>
          <w:noProof w:val="0"/>
          <w:color w:val="auto"/>
          <w:sz w:val="22"/>
          <w:szCs w:val="22"/>
          <w:lang w:val="en-US"/>
        </w:rPr>
        <w:t>: POP</w:t>
      </w:r>
      <w:r w:rsidRPr="565E94E5" w:rsidR="7937DBD4">
        <w:rPr>
          <w:rFonts w:ascii="Calibri" w:hAnsi="Calibri" w:eastAsia="Calibri" w:cs="Calibri" w:asciiTheme="minorAscii" w:hAnsiTheme="minorAscii" w:eastAsiaTheme="minorAscii" w:cstheme="minorAscii"/>
          <w:b w:val="1"/>
          <w:bCs w:val="1"/>
          <w:noProof w:val="0"/>
          <w:color w:val="auto"/>
          <w:sz w:val="22"/>
          <w:szCs w:val="22"/>
          <w:lang w:val="en-US"/>
        </w:rPr>
        <w:t xml:space="preserve"> - </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According to </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Cowen and Cartwright (2019, p.2), evidence-oriented policing is a vital approach in terms of influence born on criminal jurisprudence-based systems. </w:t>
      </w:r>
      <w:r w:rsidRPr="565E94E5" w:rsidR="7937DBD4">
        <w:rPr>
          <w:rFonts w:ascii="Calibri" w:hAnsi="Calibri" w:eastAsia="Calibri" w:cs="Calibri" w:asciiTheme="minorAscii" w:hAnsiTheme="minorAscii" w:eastAsiaTheme="minorAscii" w:cstheme="minorAscii"/>
          <w:b w:val="1"/>
          <w:bCs w:val="1"/>
          <w:noProof w:val="0"/>
          <w:color w:val="auto"/>
          <w:sz w:val="22"/>
          <w:szCs w:val="22"/>
          <w:lang w:val="en-US"/>
        </w:rPr>
        <w:t xml:space="preserve">POP </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is one of the most influential and vital models of EBP. Development and use of evidence as per the model links with the use of </w:t>
      </w:r>
      <w:r w:rsidRPr="565E94E5" w:rsidR="7937DBD4">
        <w:rPr>
          <w:rFonts w:ascii="Calibri" w:hAnsi="Calibri" w:eastAsia="Calibri" w:cs="Calibri" w:asciiTheme="minorAscii" w:hAnsiTheme="minorAscii" w:eastAsiaTheme="minorAscii" w:cstheme="minorAscii"/>
          <w:b w:val="1"/>
          <w:bCs w:val="1"/>
          <w:noProof w:val="0"/>
          <w:color w:val="auto"/>
          <w:sz w:val="22"/>
          <w:szCs w:val="22"/>
          <w:lang w:val="en-US"/>
        </w:rPr>
        <w:t>smarter concepts of policing</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 as related to various practices such </w:t>
      </w:r>
      <w:r w:rsidRPr="565E94E5" w:rsidR="0D064769">
        <w:rPr>
          <w:rFonts w:ascii="Calibri" w:hAnsi="Calibri" w:eastAsia="Calibri" w:cs="Calibri" w:asciiTheme="minorAscii" w:hAnsiTheme="minorAscii" w:eastAsiaTheme="minorAscii" w:cstheme="minorAscii"/>
          <w:noProof w:val="0"/>
          <w:color w:val="auto"/>
          <w:sz w:val="22"/>
          <w:szCs w:val="22"/>
          <w:lang w:val="en-US"/>
        </w:rPr>
        <w:t>as</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 criminal investigation-based practices as in the </w:t>
      </w:r>
      <w:r w:rsidRPr="565E94E5" w:rsidR="0466E3C7">
        <w:rPr>
          <w:rFonts w:ascii="Calibri" w:hAnsi="Calibri" w:eastAsia="Calibri" w:cs="Calibri" w:asciiTheme="minorAscii" w:hAnsiTheme="minorAscii" w:eastAsiaTheme="minorAscii" w:cstheme="minorAscii"/>
          <w:noProof w:val="0"/>
          <w:color w:val="auto"/>
          <w:sz w:val="22"/>
          <w:szCs w:val="22"/>
          <w:lang w:val="en-US"/>
        </w:rPr>
        <w:t>UK (United Kingdom)</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 Further, the development of proper targets is linked with the development and use of the model. The efficiency criteria of policymaking based on POP may be linked with this aspect. Development of proper values, for instance, in terms of the effectiveness of strategy making or policy making depends much on the use of aspects related to this model of EBP. Evidence frames debates of national origin </w:t>
      </w:r>
      <w:r>
        <w:br/>
      </w:r>
      <w:r w:rsidRPr="565E94E5" w:rsidR="7937DBD4">
        <w:rPr>
          <w:rFonts w:ascii="Calibri" w:hAnsi="Calibri" w:eastAsia="Calibri" w:cs="Calibri" w:asciiTheme="minorAscii" w:hAnsiTheme="minorAscii" w:eastAsiaTheme="minorAscii" w:cstheme="minorAscii"/>
          <w:noProof w:val="0"/>
          <w:color w:val="auto"/>
          <w:sz w:val="22"/>
          <w:szCs w:val="22"/>
          <w:lang w:val="en-US"/>
        </w:rPr>
        <w:t>(</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Caplan </w:t>
      </w:r>
      <w:r w:rsidRPr="565E94E5" w:rsidR="7937DBD4">
        <w:rPr>
          <w:rFonts w:ascii="Calibri" w:hAnsi="Calibri" w:eastAsia="Calibri" w:cs="Calibri" w:asciiTheme="minorAscii" w:hAnsiTheme="minorAscii" w:eastAsiaTheme="minorAscii" w:cstheme="minorAscii"/>
          <w:i w:val="1"/>
          <w:iCs w:val="1"/>
          <w:noProof w:val="0"/>
          <w:color w:val="auto"/>
          <w:sz w:val="22"/>
          <w:szCs w:val="22"/>
          <w:lang w:val="en-US"/>
        </w:rPr>
        <w:t>et al.</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 2021. p.439)</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 The POP model can be </w:t>
      </w:r>
      <w:r w:rsidRPr="565E94E5" w:rsidR="45AF32B4">
        <w:rPr>
          <w:rFonts w:ascii="Calibri" w:hAnsi="Calibri" w:eastAsia="Calibri" w:cs="Calibri" w:asciiTheme="minorAscii" w:hAnsiTheme="minorAscii" w:eastAsiaTheme="minorAscii" w:cstheme="minorAscii"/>
          <w:noProof w:val="0"/>
          <w:color w:val="auto"/>
          <w:sz w:val="22"/>
          <w:szCs w:val="22"/>
          <w:lang w:val="en-US"/>
        </w:rPr>
        <w:t>seen</w:t>
      </w:r>
      <w:r w:rsidRPr="565E94E5" w:rsidR="7937DBD4">
        <w:rPr>
          <w:rFonts w:ascii="Calibri" w:hAnsi="Calibri" w:eastAsia="Calibri" w:cs="Calibri" w:asciiTheme="minorAscii" w:hAnsiTheme="minorAscii" w:eastAsiaTheme="minorAscii" w:cstheme="minorAscii"/>
          <w:noProof w:val="0"/>
          <w:color w:val="auto"/>
          <w:sz w:val="22"/>
          <w:szCs w:val="22"/>
          <w:lang w:val="en-US"/>
        </w:rPr>
        <w:t xml:space="preserve"> to focus on the ultimate results of the outcomes related to policy making in a greater manner. This is one of the crudest principles of policymaking in terms of POP</w:t>
      </w:r>
      <w:r w:rsidRPr="565E94E5" w:rsidR="03C393D0">
        <w:rPr>
          <w:rFonts w:ascii="Calibri" w:hAnsi="Calibri" w:eastAsia="Calibri" w:cs="Calibri" w:asciiTheme="minorAscii" w:hAnsiTheme="minorAscii" w:eastAsiaTheme="minorAscii" w:cstheme="minorAscii"/>
          <w:noProof w:val="0"/>
          <w:color w:val="auto"/>
          <w:sz w:val="22"/>
          <w:szCs w:val="22"/>
          <w:lang w:val="en-US"/>
        </w:rPr>
        <w:t xml:space="preserve">. </w:t>
      </w:r>
      <w:r w:rsidRPr="565E94E5" w:rsidR="25583B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SARA Model builds on Herman Goldstein’s </w:t>
      </w:r>
      <w:r w:rsidRPr="565E94E5" w:rsidR="25583B1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Problem-Oriented Policing</w:t>
      </w:r>
      <w:r w:rsidRPr="565E94E5" w:rsidR="25583B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was developed and coined by John Eck and William Spelman (1987) in </w:t>
      </w:r>
      <w:r w:rsidRPr="565E94E5" w:rsidR="25583B1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Problem solving: Problem-oriented policing in Newport News</w:t>
      </w:r>
      <w:r w:rsidRPr="565E94E5" w:rsidR="25583B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565E94E5" w:rsidR="25583B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Washington, DC: Police Executive Research Forum.</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S.A.R.A. Model of crime prevention is a part of what was coined as “Problem-Oriented Policing” by Herman Goldstein in 1979</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Problem-Oriented Policing, or POP, was a response to reactive, incident-driven policing in which successes in addressing community problems were short-lived</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565E94E5" w:rsidR="2CCE091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23A37204" w:rsidP="565E94E5" w:rsidRDefault="23A37204" w14:paraId="4AE86CFD" w14:textId="078A94B3">
      <w:pPr>
        <w:pStyle w:val="Normal"/>
        <w:spacing w:before="0" w:beforeAutospacing="off" w:after="36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65E94E5" w:rsidR="23A372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SARA model is often used to </w:t>
      </w:r>
      <w:r w:rsidRPr="565E94E5" w:rsidR="77D420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565E94E5" w:rsidR="23A372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problems addressed in materials crime analysts produce.</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SARA is a </w:t>
      </w:r>
      <w:r w:rsidRPr="565E94E5" w:rsidR="6D5C2A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step-by-step</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process which also allows one to revisit </w:t>
      </w:r>
      <w:r w:rsidRPr="565E94E5" w:rsidR="186B8A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earlier</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steps and adjust based on </w:t>
      </w:r>
      <w:r w:rsidRPr="565E94E5" w:rsidR="5B2171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current information</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outcomes.</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83DB3D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Scanning</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089088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shows</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what, where, how often, and the priority of the problem. Then, the context of the problem is</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83DB3D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analyzed</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may include information about what is </w:t>
      </w:r>
      <w:r w:rsidRPr="565E94E5" w:rsidR="6D5826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helping</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problem, </w:t>
      </w:r>
      <w:r w:rsidRPr="565E94E5" w:rsidR="2B67CB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showing</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stakeholders, and gaining a more qualitative understanding. Next, the</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83DB3D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response</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step uses the information obtained in the analysis to develop interventions, </w:t>
      </w:r>
      <w:r w:rsidRPr="565E94E5" w:rsidR="1FCFC1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intended outcomes, and make plans for assessment. Finally,</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83DB3D5">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assessment</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565E94E5" w:rsidR="383DB3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is concerned with both outcomes and implementation. If the intervention has not received the intended outcomes, the analysis, or response steps could be revisited. If there were implementation issues, one can return to the response step (POP Center, 2018).</w:t>
      </w:r>
    </w:p>
    <w:p w:rsidR="1DF6BCD2" w:rsidP="3BFB7F9A" w:rsidRDefault="1DF6BCD2" w14:paraId="14930584" w14:textId="51C7F67F">
      <w:pPr>
        <w:pStyle w:val="Normal"/>
        <w:spacing w:before="30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Problem-Solving Policing (PSP): Problem-Solving Policing is another model that emphasizes </w:t>
      </w:r>
      <w:r w:rsidRPr="3BFB7F9A" w:rsidR="1CCB86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showing</w:t>
      </w: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addressing the root causes of crime and disorder. PSP involves a problem-solving process that incorporates data analysis, community engagement, and partnerships with other stakeholders. It emphasizes the collaboration between police and the community to jointly </w:t>
      </w:r>
      <w:r w:rsidRPr="3BFB7F9A" w:rsidR="02DC0B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solve problems. The model encourages officers to analyze specific problems, develop tailored responses, and evaluate the outcomes of their interventions.</w:t>
      </w:r>
      <w:r w:rsidRPr="3BFB7F9A" w:rsidR="22EAE1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adopting PSP principles, law enforcement agencies can work in collaboration with communities to </w:t>
      </w:r>
      <w:r w:rsidRPr="3BFB7F9A" w:rsidR="75F09B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3BFB7F9A" w:rsidR="22EAE1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address the underlying factors contributing to crime and disorder. PSP promotes evidence-based decision-making, tailoring responses to specific problems, and fostering partnerships that can lead to long-term solutions. The focus on evaluation and continuous learning ensures that responses are refined and improved based on evidence of their effectiveness.</w:t>
      </w:r>
    </w:p>
    <w:p w:rsidR="1DF6BCD2" w:rsidP="3BFB7F9A" w:rsidRDefault="1DF6BCD2" w14:paraId="79F7D023" w14:textId="0F7BE52D">
      <w:pPr>
        <w:pStyle w:val="Normal"/>
        <w:spacing w:before="30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Intelligence-Led Policing (ILP): Intelligence-Led Policing focuses on the strategic use of intelligence and information to guide policing efforts. It involves the collection, analysis, and dissemination of intelligence to </w:t>
      </w:r>
      <w:r w:rsidRPr="3BFB7F9A" w:rsidR="57D452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find</w:t>
      </w:r>
      <w:r w:rsidRPr="3BFB7F9A" w:rsidR="1DF6BC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target high-priority crime threats and offenders. ILP aims to enhance the effectiveness and efficiency of policing by focusing resources on areas of highest risk and employing intelligence to inform operational decision-making.</w:t>
      </w:r>
      <w:r w:rsidRPr="3BFB7F9A" w:rsidR="6AAC92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adopting ILP principles, law enforcement agencies aim to make more informed and evidence-based decisions, </w:t>
      </w:r>
      <w:r w:rsidRPr="3BFB7F9A" w:rsidR="727864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perfect</w:t>
      </w:r>
      <w:r w:rsidRPr="3BFB7F9A" w:rsidR="6AAC92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resource allocation, and enhance their ability to prevent, disrupt, and respond to crime effectively. The model promotes a proactive and targeted approach to policing, where intelligence analysis guides operational strategies and resource deployment to maximize the impact on crime reduction and public safety.</w:t>
      </w:r>
    </w:p>
    <w:p w:rsidR="2B2983DB" w:rsidP="565E94E5" w:rsidRDefault="2B2983DB" w14:paraId="0A740691" w14:textId="5BA478D3">
      <w:pPr>
        <w:pStyle w:val="Normal"/>
        <w:spacing w:before="0" w:beforeAutospacing="off" w:after="360" w:afterAutospacing="off"/>
        <w:jc w:val="left"/>
        <w:rPr>
          <w:rFonts w:ascii="Calibri" w:hAnsi="Calibri" w:eastAsia="Calibri" w:cs="Calibri" w:asciiTheme="minorAscii" w:hAnsiTheme="minorAscii" w:eastAsiaTheme="minorAscii" w:cstheme="minorAscii"/>
          <w:b w:val="1"/>
          <w:bCs w:val="1"/>
          <w:noProof w:val="0"/>
          <w:sz w:val="22"/>
          <w:szCs w:val="22"/>
          <w:lang w:val="en-US"/>
        </w:rPr>
      </w:pPr>
      <w:r w:rsidRPr="565E94E5" w:rsidR="2B2983DB">
        <w:rPr>
          <w:rFonts w:ascii="Calibri" w:hAnsi="Calibri" w:eastAsia="Calibri" w:cs="Calibri" w:asciiTheme="minorAscii" w:hAnsiTheme="minorAscii" w:eastAsiaTheme="minorAscii" w:cstheme="minorAscii"/>
          <w:color w:val="auto"/>
          <w:sz w:val="22"/>
          <w:szCs w:val="22"/>
        </w:rPr>
        <w:t xml:space="preserve">The benefits and drawbacks of the POP-based model of EBP- The benefits of the POP-based model of EBP may be related to crime prevention and better decision-making. As taking police in the modern world, evidence-based policing can be related with the trend of </w:t>
      </w:r>
      <w:r w:rsidRPr="565E94E5" w:rsidR="2B851C3F">
        <w:rPr>
          <w:rFonts w:ascii="Calibri" w:hAnsi="Calibri" w:eastAsia="Calibri" w:cs="Calibri" w:asciiTheme="minorAscii" w:hAnsiTheme="minorAscii" w:eastAsiaTheme="minorAscii" w:cstheme="minorAscii"/>
          <w:color w:val="auto"/>
          <w:sz w:val="22"/>
          <w:szCs w:val="22"/>
        </w:rPr>
        <w:t>globalization</w:t>
      </w:r>
      <w:r w:rsidRPr="565E94E5" w:rsidR="2B2983DB">
        <w:rPr>
          <w:rFonts w:ascii="Calibri" w:hAnsi="Calibri" w:eastAsia="Calibri" w:cs="Calibri" w:asciiTheme="minorAscii" w:hAnsiTheme="minorAscii" w:eastAsiaTheme="minorAscii" w:cstheme="minorAscii"/>
          <w:color w:val="auto"/>
          <w:sz w:val="22"/>
          <w:szCs w:val="22"/>
        </w:rPr>
        <w:t xml:space="preserve"> (</w:t>
      </w:r>
      <w:r w:rsidRPr="565E94E5" w:rsidR="2B2983DB">
        <w:rPr>
          <w:rFonts w:ascii="Calibri" w:hAnsi="Calibri" w:eastAsia="Calibri" w:cs="Calibri" w:asciiTheme="minorAscii" w:hAnsiTheme="minorAscii" w:eastAsiaTheme="minorAscii" w:cstheme="minorAscii"/>
          <w:color w:val="auto"/>
          <w:sz w:val="22"/>
          <w:szCs w:val="22"/>
        </w:rPr>
        <w:t>Neyroud</w:t>
      </w:r>
      <w:r w:rsidRPr="565E94E5" w:rsidR="2B2983DB">
        <w:rPr>
          <w:rFonts w:ascii="Calibri" w:hAnsi="Calibri" w:eastAsia="Calibri" w:cs="Calibri" w:asciiTheme="minorAscii" w:hAnsiTheme="minorAscii" w:eastAsiaTheme="minorAscii" w:cstheme="minorAscii"/>
          <w:color w:val="auto"/>
          <w:sz w:val="22"/>
          <w:szCs w:val="22"/>
        </w:rPr>
        <w:t xml:space="preserve">, 2021, p.2). In terms of the target-based method of using evidence via the model to aid in fighting crime incidences or scenarios, the smarter model can aid in improved prospects of crime prevention as in the </w:t>
      </w:r>
      <w:r w:rsidRPr="565E94E5" w:rsidR="2B2983DB">
        <w:rPr>
          <w:rFonts w:ascii="Calibri" w:hAnsi="Calibri" w:eastAsia="Calibri" w:cs="Calibri" w:asciiTheme="minorAscii" w:hAnsiTheme="minorAscii" w:eastAsiaTheme="minorAscii" w:cstheme="minorAscii"/>
          <w:color w:val="auto"/>
          <w:sz w:val="22"/>
          <w:szCs w:val="22"/>
        </w:rPr>
        <w:t>UK</w:t>
      </w:r>
      <w:r w:rsidRPr="565E94E5" w:rsidR="2B2983DB">
        <w:rPr>
          <w:rFonts w:ascii="Calibri" w:hAnsi="Calibri" w:eastAsia="Calibri" w:cs="Calibri" w:asciiTheme="minorAscii" w:hAnsiTheme="minorAscii" w:eastAsiaTheme="minorAscii" w:cstheme="minorAscii"/>
          <w:color w:val="auto"/>
          <w:sz w:val="22"/>
          <w:szCs w:val="22"/>
        </w:rPr>
        <w:t xml:space="preserve">. Evidence can be related </w:t>
      </w:r>
      <w:r w:rsidRPr="565E94E5" w:rsidR="7BB20699">
        <w:rPr>
          <w:rFonts w:ascii="Calibri" w:hAnsi="Calibri" w:eastAsia="Calibri" w:cs="Calibri" w:asciiTheme="minorAscii" w:hAnsiTheme="minorAscii" w:eastAsiaTheme="minorAscii" w:cstheme="minorAscii"/>
          <w:color w:val="auto"/>
          <w:sz w:val="22"/>
          <w:szCs w:val="22"/>
        </w:rPr>
        <w:t>to</w:t>
      </w:r>
      <w:r w:rsidRPr="565E94E5" w:rsidR="2B2983DB">
        <w:rPr>
          <w:rFonts w:ascii="Calibri" w:hAnsi="Calibri" w:eastAsia="Calibri" w:cs="Calibri" w:asciiTheme="minorAscii" w:hAnsiTheme="minorAscii" w:eastAsiaTheme="minorAscii" w:cstheme="minorAscii"/>
          <w:color w:val="auto"/>
          <w:sz w:val="22"/>
          <w:szCs w:val="22"/>
        </w:rPr>
        <w:t xml:space="preserve"> fidelity-based ideas (Elliott et al., 2020, p.1306).</w:t>
      </w:r>
      <w:r w:rsidRPr="565E94E5" w:rsidR="4D910A03">
        <w:rPr>
          <w:rFonts w:ascii="Calibri" w:hAnsi="Calibri" w:eastAsia="Calibri" w:cs="Calibri" w:asciiTheme="minorAscii" w:hAnsiTheme="minorAscii" w:eastAsiaTheme="minorAscii" w:cstheme="minorAscii"/>
          <w:color w:val="auto"/>
          <w:sz w:val="22"/>
          <w:szCs w:val="22"/>
        </w:rPr>
        <w:t xml:space="preserve"> This element is related to the benefits of the EBP-based POP model. On the other hand, the drawbacks of POP might be linked to the rise of privacy-related concerns and shortages related to the creation of accuracy standards in terms of the model's application, such as in the criminal justice-based infrastructure in the United Kingdom.</w:t>
      </w:r>
    </w:p>
    <w:p w:rsidR="61544908" w:rsidP="565E94E5" w:rsidRDefault="61544908" w14:paraId="7DA6DC41" w14:textId="384ED25C">
      <w:pPr>
        <w:pStyle w:val="Normal"/>
        <w:spacing w:before="0" w:beforeAutospacing="off" w:after="360" w:afterAutospacing="off"/>
        <w:jc w:val="left"/>
        <w:rPr>
          <w:rFonts w:ascii="Calibri" w:hAnsi="Calibri" w:eastAsia="Calibri" w:cs="Calibri" w:asciiTheme="minorAscii" w:hAnsiTheme="minorAscii" w:eastAsiaTheme="minorAscii" w:cstheme="minorAscii"/>
          <w:b w:val="1"/>
          <w:bCs w:val="1"/>
          <w:noProof w:val="0"/>
          <w:sz w:val="22"/>
          <w:szCs w:val="22"/>
          <w:lang w:val="en-US"/>
        </w:rPr>
      </w:pPr>
      <w:r w:rsidRPr="565E94E5" w:rsidR="61544908">
        <w:rPr>
          <w:rFonts w:ascii="Calibri" w:hAnsi="Calibri" w:eastAsia="Calibri" w:cs="Calibri" w:asciiTheme="minorAscii" w:hAnsiTheme="minorAscii" w:eastAsiaTheme="minorAscii" w:cstheme="minorAscii"/>
          <w:b w:val="1"/>
          <w:bCs w:val="1"/>
          <w:noProof w:val="0"/>
          <w:sz w:val="22"/>
          <w:szCs w:val="22"/>
          <w:lang w:val="en-US"/>
        </w:rPr>
        <w:t xml:space="preserve">Evaluate the strengths and limitations of your chosen policing models Evidence Based Policing (POP, SARA, PSP </w:t>
      </w:r>
    </w:p>
    <w:p w:rsidR="74282C0A" w:rsidP="3BFB7F9A" w:rsidRDefault="74282C0A" w14:paraId="74739C92" w14:textId="4E7436B4">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r w:rsidRPr="6EC5FEFE" w:rsidR="7FE2807D">
        <w:rPr>
          <w:rFonts w:ascii="Calibri" w:hAnsi="Calibri" w:eastAsia="Calibri" w:cs="Calibri" w:asciiTheme="minorAscii" w:hAnsiTheme="minorAscii" w:eastAsiaTheme="minorAscii" w:cstheme="minorAscii"/>
          <w:color w:val="auto"/>
          <w:sz w:val="22"/>
          <w:szCs w:val="22"/>
        </w:rPr>
        <w:t xml:space="preserve">The </w:t>
      </w:r>
      <w:r w:rsidRPr="6EC5FEFE" w:rsidR="2D595C50">
        <w:rPr>
          <w:rFonts w:ascii="Calibri" w:hAnsi="Calibri" w:eastAsia="Calibri" w:cs="Calibri" w:asciiTheme="minorAscii" w:hAnsiTheme="minorAscii" w:eastAsiaTheme="minorAscii" w:cstheme="minorAscii"/>
          <w:color w:val="auto"/>
          <w:sz w:val="22"/>
          <w:szCs w:val="22"/>
        </w:rPr>
        <w:t>strengths</w:t>
      </w:r>
      <w:r w:rsidRPr="6EC5FEFE" w:rsidR="6078A8BE">
        <w:rPr>
          <w:rFonts w:ascii="Calibri" w:hAnsi="Calibri" w:eastAsia="Calibri" w:cs="Calibri" w:asciiTheme="minorAscii" w:hAnsiTheme="minorAscii" w:eastAsiaTheme="minorAscii" w:cstheme="minorAscii"/>
          <w:color w:val="auto"/>
          <w:sz w:val="22"/>
          <w:szCs w:val="22"/>
        </w:rPr>
        <w:t xml:space="preserve"> </w:t>
      </w:r>
      <w:r w:rsidRPr="6EC5FEFE" w:rsidR="7FE2807D">
        <w:rPr>
          <w:rFonts w:ascii="Calibri" w:hAnsi="Calibri" w:eastAsia="Calibri" w:cs="Calibri" w:asciiTheme="minorAscii" w:hAnsiTheme="minorAscii" w:eastAsiaTheme="minorAscii" w:cstheme="minorAscii"/>
          <w:color w:val="auto"/>
          <w:sz w:val="22"/>
          <w:szCs w:val="22"/>
        </w:rPr>
        <w:t>and</w:t>
      </w:r>
      <w:r w:rsidRPr="6EC5FEFE" w:rsidR="61E1C6DC">
        <w:rPr>
          <w:rFonts w:ascii="Calibri" w:hAnsi="Calibri" w:eastAsia="Calibri" w:cs="Calibri" w:asciiTheme="minorAscii" w:hAnsiTheme="minorAscii" w:eastAsiaTheme="minorAscii" w:cstheme="minorAscii"/>
          <w:color w:val="auto"/>
          <w:sz w:val="22"/>
          <w:szCs w:val="22"/>
        </w:rPr>
        <w:t xml:space="preserve"> limitations</w:t>
      </w:r>
      <w:r w:rsidRPr="6EC5FEFE" w:rsidR="7FE2807D">
        <w:rPr>
          <w:rFonts w:ascii="Calibri" w:hAnsi="Calibri" w:eastAsia="Calibri" w:cs="Calibri" w:asciiTheme="minorAscii" w:hAnsiTheme="minorAscii" w:eastAsiaTheme="minorAscii" w:cstheme="minorAscii"/>
          <w:color w:val="auto"/>
          <w:sz w:val="22"/>
          <w:szCs w:val="22"/>
        </w:rPr>
        <w:t xml:space="preserve"> of the SARA-based model of EBP can be related to the benefits of introducing improvements in the criminal justice-based system and the creation of more informed-oriented decision-making. The element may be connected to criminal justice-based infrastructure procedures functioning in the UK region. In terms of association with proper evidence usage based on EBP, </w:t>
      </w:r>
      <w:r w:rsidRPr="6EC5FEFE" w:rsidR="2CE0C1A5">
        <w:rPr>
          <w:rFonts w:ascii="Calibri" w:hAnsi="Calibri" w:eastAsia="Calibri" w:cs="Calibri" w:asciiTheme="minorAscii" w:hAnsiTheme="minorAscii" w:eastAsiaTheme="minorAscii" w:cstheme="minorAscii"/>
          <w:color w:val="auto"/>
          <w:sz w:val="22"/>
          <w:szCs w:val="22"/>
        </w:rPr>
        <w:t>globalized</w:t>
      </w:r>
      <w:r w:rsidRPr="6EC5FEFE" w:rsidR="7FE2807D">
        <w:rPr>
          <w:rFonts w:ascii="Calibri" w:hAnsi="Calibri" w:eastAsia="Calibri" w:cs="Calibri" w:asciiTheme="minorAscii" w:hAnsiTheme="minorAscii" w:eastAsiaTheme="minorAscii" w:cstheme="minorAscii"/>
          <w:color w:val="auto"/>
          <w:sz w:val="22"/>
          <w:szCs w:val="22"/>
        </w:rPr>
        <w:t xml:space="preserve"> corpus or bodies may be associated </w:t>
      </w:r>
      <w:r w:rsidRPr="6EC5FEFE" w:rsidR="4418A15D">
        <w:rPr>
          <w:rFonts w:ascii="Calibri" w:hAnsi="Calibri" w:eastAsia="Calibri" w:cs="Calibri" w:asciiTheme="minorAscii" w:hAnsiTheme="minorAscii" w:eastAsiaTheme="minorAscii" w:cstheme="minorAscii"/>
          <w:color w:val="auto"/>
          <w:sz w:val="22"/>
          <w:szCs w:val="22"/>
        </w:rPr>
        <w:t>with</w:t>
      </w:r>
      <w:r w:rsidRPr="6EC5FEFE" w:rsidR="7FE2807D">
        <w:rPr>
          <w:rFonts w:ascii="Calibri" w:hAnsi="Calibri" w:eastAsia="Calibri" w:cs="Calibri" w:asciiTheme="minorAscii" w:hAnsiTheme="minorAscii" w:eastAsiaTheme="minorAscii" w:cstheme="minorAscii"/>
          <w:color w:val="auto"/>
          <w:sz w:val="22"/>
          <w:szCs w:val="22"/>
        </w:rPr>
        <w:t xml:space="preserve"> efficacy criteria (Jiang et al. 2021, p.287). The benefit of SARA can be linked to this </w:t>
      </w:r>
      <w:r w:rsidRPr="6EC5FEFE" w:rsidR="16C77D1B">
        <w:rPr>
          <w:rFonts w:ascii="Calibri" w:hAnsi="Calibri" w:eastAsia="Calibri" w:cs="Calibri" w:asciiTheme="minorAscii" w:hAnsiTheme="minorAscii" w:eastAsiaTheme="minorAscii" w:cstheme="minorAscii"/>
          <w:color w:val="auto"/>
          <w:sz w:val="22"/>
          <w:szCs w:val="22"/>
        </w:rPr>
        <w:t>element. On</w:t>
      </w:r>
      <w:r w:rsidRPr="6EC5FEFE" w:rsidR="7FE2807D">
        <w:rPr>
          <w:rFonts w:ascii="Calibri" w:hAnsi="Calibri" w:eastAsia="Calibri" w:cs="Calibri" w:asciiTheme="minorAscii" w:hAnsiTheme="minorAscii" w:eastAsiaTheme="minorAscii" w:cstheme="minorAscii"/>
          <w:color w:val="auto"/>
          <w:sz w:val="22"/>
          <w:szCs w:val="22"/>
        </w:rPr>
        <w:t xml:space="preserve"> the other hand, the drawbacks of the SARA-based EBP model might be linked to concerns concerning the accountability criterion and issues about discrimination-based possibilities as related to the usage of the EBP-based model. This element may be linked to the criminal justice infrastructure in the developed region of the United Kingdom.</w:t>
      </w:r>
    </w:p>
    <w:p w:rsidR="6EC5FEFE" w:rsidP="6EC5FEFE" w:rsidRDefault="6EC5FEFE" w14:paraId="21CAE55F" w14:textId="5B5BA1FD">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6EC5FEFE" w:rsidP="6EC5FEFE" w:rsidRDefault="6EC5FEFE" w14:paraId="34BE12D2" w14:textId="2F383CFC">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6EC5FEFE" w:rsidP="6EC5FEFE" w:rsidRDefault="6EC5FEFE" w14:paraId="745B28CC" w14:textId="4D1299C1">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6EC5FEFE" w:rsidP="6EC5FEFE" w:rsidRDefault="6EC5FEFE" w14:paraId="3E53E22B" w14:textId="4D55D966">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6EC5FEFE" w:rsidP="6EC5FEFE" w:rsidRDefault="6EC5FEFE" w14:paraId="0CE3B972" w14:textId="4B53E9C1">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6EC5FEFE" w:rsidP="6EC5FEFE" w:rsidRDefault="6EC5FEFE" w14:paraId="102578F5" w14:textId="58D013AD">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6EC5FEFE" w:rsidP="6EC5FEFE" w:rsidRDefault="6EC5FEFE" w14:paraId="2B01A81D" w14:textId="5EBE7D70">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2"/>
          <w:szCs w:val="22"/>
        </w:rPr>
      </w:pPr>
    </w:p>
    <w:p w:rsidR="063E1770" w:rsidP="6EC5FEFE" w:rsidRDefault="063E1770" w14:paraId="107432D2" w14:textId="50D814DF">
      <w:pPr>
        <w:pStyle w:val="Normal"/>
        <w:spacing w:before="400" w:beforeAutospacing="off" w:after="400" w:afterAutospacing="off"/>
        <w:rPr>
          <w:rFonts w:ascii="Calibri" w:hAnsi="Calibri" w:eastAsia="Calibri" w:cs="Calibri" w:asciiTheme="minorAscii" w:hAnsiTheme="minorAscii" w:eastAsiaTheme="minorAscii" w:cstheme="minorAscii"/>
          <w:color w:val="auto"/>
          <w:sz w:val="28"/>
          <w:szCs w:val="28"/>
        </w:rPr>
      </w:pPr>
      <w:r w:rsidRPr="6EC5FEFE" w:rsidR="7C040C21">
        <w:rPr>
          <w:rFonts w:ascii="Calibri" w:hAnsi="Calibri" w:eastAsia="Calibri" w:cs="Calibri" w:asciiTheme="minorAscii" w:hAnsiTheme="minorAscii" w:eastAsiaTheme="minorAscii" w:cstheme="minorAscii"/>
          <w:color w:val="auto"/>
          <w:sz w:val="28"/>
          <w:szCs w:val="28"/>
        </w:rPr>
        <w:t>References:</w:t>
      </w:r>
    </w:p>
    <w:p w:rsidR="5742EE42" w:rsidP="6EC5FEFE" w:rsidRDefault="5742EE42" w14:paraId="44CC2712" w14:textId="411FA66C">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EC5FEFE" w:rsidR="7C040C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Association of Police and Crime Commissioners</w:t>
      </w:r>
      <w:r w:rsidRPr="6EC5FEFE" w:rsidR="7C040C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EC5FEFE" w:rsidR="440989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hyperlink w:anchor="CR1" r:id="R207ae942eed34f2c">
        <w:r w:rsidRPr="6EC5FEFE" w:rsidR="7C040C2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2015</w:t>
        </w:r>
      </w:hyperlink>
      <w:r w:rsidRPr="6EC5FEFE" w:rsidR="7C040C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College of Policing </w:t>
      </w:r>
      <w:hyperlink w:anchor="CR6" r:id="R5f7306e9e68648b4">
        <w:r w:rsidRPr="6EC5FEFE" w:rsidR="7C040C2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2020</w:t>
        </w:r>
      </w:hyperlink>
      <w:r w:rsidRPr="6EC5FEFE" w:rsidR="7C040C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6EC5FEFE" w:rsidP="6EC5FEFE" w:rsidRDefault="6EC5FEFE" w14:paraId="52B9C2B9" w14:textId="28F2BA36">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753FDBC" w:rsidP="6EC5FEFE" w:rsidRDefault="1753FDBC" w14:paraId="19769966" w14:textId="5B36D2EC">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6EC5FEFE" w:rsidR="1753FDBC">
        <w:rPr>
          <w:rFonts w:ascii="Calibri" w:hAnsi="Calibri" w:eastAsia="Calibri" w:cs="Calibri" w:asciiTheme="minorAscii" w:hAnsiTheme="minorAscii" w:eastAsiaTheme="minorAscii" w:cstheme="minorAscii"/>
          <w:noProof w:val="0"/>
          <w:color w:val="222222"/>
          <w:sz w:val="22"/>
          <w:szCs w:val="22"/>
          <w:lang w:val="en-US"/>
        </w:rPr>
        <w:t xml:space="preserve">Caplan, J.M., Kennedy, L.W., Drawve, G. and Baughman, J.H., 2021. Data-informed and place-based violent crime prevention: the Kansas City, Missouri risk-based policing initiative. </w:t>
      </w:r>
      <w:r w:rsidRPr="6EC5FEFE" w:rsidR="1753FDBC">
        <w:rPr>
          <w:rFonts w:ascii="Calibri" w:hAnsi="Calibri" w:eastAsia="Calibri" w:cs="Calibri" w:asciiTheme="minorAscii" w:hAnsiTheme="minorAscii" w:eastAsiaTheme="minorAscii" w:cstheme="minorAscii"/>
          <w:i w:val="1"/>
          <w:iCs w:val="1"/>
          <w:noProof w:val="0"/>
          <w:color w:val="222222"/>
          <w:sz w:val="22"/>
          <w:szCs w:val="22"/>
          <w:lang w:val="en-US"/>
        </w:rPr>
        <w:t>Police quarterly</w:t>
      </w:r>
      <w:r w:rsidRPr="6EC5FEFE" w:rsidR="1753FDBC">
        <w:rPr>
          <w:rFonts w:ascii="Calibri" w:hAnsi="Calibri" w:eastAsia="Calibri" w:cs="Calibri" w:asciiTheme="minorAscii" w:hAnsiTheme="minorAscii" w:eastAsiaTheme="minorAscii" w:cstheme="minorAscii"/>
          <w:noProof w:val="0"/>
          <w:color w:val="222222"/>
          <w:sz w:val="22"/>
          <w:szCs w:val="22"/>
          <w:lang w:val="en-US"/>
        </w:rPr>
        <w:t xml:space="preserve">, </w:t>
      </w:r>
      <w:r w:rsidRPr="6EC5FEFE" w:rsidR="1753FDBC">
        <w:rPr>
          <w:rFonts w:ascii="Calibri" w:hAnsi="Calibri" w:eastAsia="Calibri" w:cs="Calibri" w:asciiTheme="minorAscii" w:hAnsiTheme="minorAscii" w:eastAsiaTheme="minorAscii" w:cstheme="minorAscii"/>
          <w:i w:val="1"/>
          <w:iCs w:val="1"/>
          <w:noProof w:val="0"/>
          <w:color w:val="222222"/>
          <w:sz w:val="22"/>
          <w:szCs w:val="22"/>
          <w:lang w:val="en-US"/>
        </w:rPr>
        <w:t>24</w:t>
      </w:r>
      <w:r w:rsidRPr="6EC5FEFE" w:rsidR="1753FDBC">
        <w:rPr>
          <w:rFonts w:ascii="Calibri" w:hAnsi="Calibri" w:eastAsia="Calibri" w:cs="Calibri" w:asciiTheme="minorAscii" w:hAnsiTheme="minorAscii" w:eastAsiaTheme="minorAscii" w:cstheme="minorAscii"/>
          <w:noProof w:val="0"/>
          <w:color w:val="222222"/>
          <w:sz w:val="22"/>
          <w:szCs w:val="22"/>
          <w:lang w:val="en-US"/>
        </w:rPr>
        <w:t>(4), pp.438-464.</w:t>
      </w:r>
    </w:p>
    <w:p w:rsidR="6EC5FEFE" w:rsidP="6EC5FEFE" w:rsidRDefault="6EC5FEFE" w14:paraId="69FAD900" w14:textId="2EDEEEE4">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EC5FEFE" w:rsidP="6EC5FEFE" w:rsidRDefault="6EC5FEFE" w14:paraId="7FEB6AAA" w14:textId="4E0AE26E">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753FDBC" w:rsidP="6EC5FEFE" w:rsidRDefault="1753FDBC" w14:paraId="1CC7406C" w14:textId="351C08E0">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6EC5FEFE" w:rsidR="1753FDBC">
        <w:rPr>
          <w:rFonts w:ascii="Calibri" w:hAnsi="Calibri" w:eastAsia="Calibri" w:cs="Calibri" w:asciiTheme="minorAscii" w:hAnsiTheme="minorAscii" w:eastAsiaTheme="minorAscii" w:cstheme="minorAscii"/>
          <w:noProof w:val="0"/>
          <w:color w:val="222222"/>
          <w:sz w:val="22"/>
          <w:szCs w:val="22"/>
          <w:lang w:val="en-US"/>
        </w:rPr>
        <w:t xml:space="preserve">Cowen, N. and Cartwright, N., 2019. Street-level theories of change: Adapting the Medical model of evidence-based practice for policing. </w:t>
      </w:r>
      <w:r w:rsidRPr="6EC5FEFE" w:rsidR="1753FDBC">
        <w:rPr>
          <w:rFonts w:ascii="Calibri" w:hAnsi="Calibri" w:eastAsia="Calibri" w:cs="Calibri" w:asciiTheme="minorAscii" w:hAnsiTheme="minorAscii" w:eastAsiaTheme="minorAscii" w:cstheme="minorAscii"/>
          <w:i w:val="1"/>
          <w:iCs w:val="1"/>
          <w:noProof w:val="0"/>
          <w:color w:val="222222"/>
          <w:sz w:val="22"/>
          <w:szCs w:val="22"/>
          <w:lang w:val="en-US"/>
        </w:rPr>
        <w:t>Available at SSRN 3324778</w:t>
      </w:r>
      <w:r w:rsidRPr="6EC5FEFE" w:rsidR="1753FDBC">
        <w:rPr>
          <w:rFonts w:ascii="Calibri" w:hAnsi="Calibri" w:eastAsia="Calibri" w:cs="Calibri" w:asciiTheme="minorAscii" w:hAnsiTheme="minorAscii" w:eastAsiaTheme="minorAscii" w:cstheme="minorAscii"/>
          <w:noProof w:val="0"/>
          <w:color w:val="222222"/>
          <w:sz w:val="22"/>
          <w:szCs w:val="22"/>
          <w:lang w:val="en-US"/>
        </w:rPr>
        <w:t>.</w:t>
      </w:r>
    </w:p>
    <w:p w:rsidR="6EC5FEFE" w:rsidP="6EC5FEFE" w:rsidRDefault="6EC5FEFE" w14:paraId="16BF84E3" w14:textId="748B7BA9">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p w:rsidR="1753FDBC" w:rsidP="6EC5FEFE" w:rsidRDefault="1753FDBC" w14:paraId="6493DD9C" w14:textId="7E383865">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auto"/>
          <w:sz w:val="22"/>
          <w:szCs w:val="22"/>
          <w:lang w:val="en-US"/>
        </w:rPr>
      </w:pPr>
      <w:r w:rsidRPr="6EC5FEFE" w:rsidR="1753FDBC">
        <w:rPr>
          <w:rFonts w:ascii="Calibri" w:hAnsi="Calibri" w:eastAsia="Calibri" w:cs="Calibri" w:asciiTheme="minorAscii" w:hAnsiTheme="minorAscii" w:eastAsiaTheme="minorAscii" w:cstheme="minorAscii"/>
          <w:noProof w:val="0"/>
          <w:color w:val="auto"/>
          <w:sz w:val="22"/>
          <w:szCs w:val="22"/>
          <w:lang w:val="en-US"/>
        </w:rPr>
        <w:t>Critics (e.g., Knutsson and Tompson 2017; Lumsden and Goode, 2016; Greene, 2014; Sparrow, 2011; Bullock, and Tilley, 2009; Hope, 2004; Pawson and Tilley, 1994)</w:t>
      </w:r>
    </w:p>
    <w:p w:rsidR="6EC5FEFE" w:rsidP="6EC5FEFE" w:rsidRDefault="6EC5FEFE" w14:paraId="2469BBA8" w14:textId="4697D23D">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753FDBC" w:rsidP="6EC5FEFE" w:rsidRDefault="1753FDBC" w14:paraId="4F39390D" w14:textId="73F24200">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6EC5FEFE" w:rsidR="1753FDBC">
        <w:rPr>
          <w:rFonts w:ascii="Calibri" w:hAnsi="Calibri" w:eastAsia="Calibri" w:cs="Calibri" w:asciiTheme="minorAscii" w:hAnsiTheme="minorAscii" w:eastAsiaTheme="minorAscii" w:cstheme="minorAscii"/>
          <w:noProof w:val="0"/>
          <w:color w:val="222222"/>
          <w:sz w:val="22"/>
          <w:szCs w:val="22"/>
          <w:lang w:val="en-US"/>
        </w:rPr>
        <w:t xml:space="preserve">Elliott, D.S., Buckley, P.R., Gottfredson, D.C., Hawkins, </w:t>
      </w:r>
      <w:r w:rsidRPr="6EC5FEFE" w:rsidR="1753FDBC">
        <w:rPr>
          <w:rFonts w:ascii="Calibri" w:hAnsi="Calibri" w:eastAsia="Calibri" w:cs="Calibri" w:asciiTheme="minorAscii" w:hAnsiTheme="minorAscii" w:eastAsiaTheme="minorAscii" w:cstheme="minorAscii"/>
          <w:noProof w:val="0"/>
          <w:color w:val="222222"/>
          <w:sz w:val="22"/>
          <w:szCs w:val="22"/>
          <w:lang w:val="en-US"/>
        </w:rPr>
        <w:t>J.D.</w:t>
      </w:r>
      <w:r w:rsidRPr="6EC5FEFE" w:rsidR="1753FDBC">
        <w:rPr>
          <w:rFonts w:ascii="Calibri" w:hAnsi="Calibri" w:eastAsia="Calibri" w:cs="Calibri" w:asciiTheme="minorAscii" w:hAnsiTheme="minorAscii" w:eastAsiaTheme="minorAscii" w:cstheme="minorAscii"/>
          <w:noProof w:val="0"/>
          <w:color w:val="222222"/>
          <w:sz w:val="22"/>
          <w:szCs w:val="22"/>
          <w:lang w:val="en-US"/>
        </w:rPr>
        <w:t xml:space="preserve"> and Tolan, P.H., 2020. Evidence‐based juvenile justice programs and practices: A critical review. </w:t>
      </w:r>
      <w:r w:rsidRPr="6EC5FEFE" w:rsidR="1753FDBC">
        <w:rPr>
          <w:rFonts w:ascii="Calibri" w:hAnsi="Calibri" w:eastAsia="Calibri" w:cs="Calibri" w:asciiTheme="minorAscii" w:hAnsiTheme="minorAscii" w:eastAsiaTheme="minorAscii" w:cstheme="minorAscii"/>
          <w:i w:val="1"/>
          <w:iCs w:val="1"/>
          <w:noProof w:val="0"/>
          <w:color w:val="222222"/>
          <w:sz w:val="22"/>
          <w:szCs w:val="22"/>
          <w:lang w:val="en-US"/>
        </w:rPr>
        <w:t>Criminology &amp; Public Policy</w:t>
      </w:r>
      <w:r w:rsidRPr="6EC5FEFE" w:rsidR="1753FDBC">
        <w:rPr>
          <w:rFonts w:ascii="Calibri" w:hAnsi="Calibri" w:eastAsia="Calibri" w:cs="Calibri" w:asciiTheme="minorAscii" w:hAnsiTheme="minorAscii" w:eastAsiaTheme="minorAscii" w:cstheme="minorAscii"/>
          <w:noProof w:val="0"/>
          <w:color w:val="222222"/>
          <w:sz w:val="22"/>
          <w:szCs w:val="22"/>
          <w:lang w:val="en-US"/>
        </w:rPr>
        <w:t xml:space="preserve">, </w:t>
      </w:r>
      <w:r w:rsidRPr="6EC5FEFE" w:rsidR="1753FDBC">
        <w:rPr>
          <w:rFonts w:ascii="Calibri" w:hAnsi="Calibri" w:eastAsia="Calibri" w:cs="Calibri" w:asciiTheme="minorAscii" w:hAnsiTheme="minorAscii" w:eastAsiaTheme="minorAscii" w:cstheme="minorAscii"/>
          <w:i w:val="1"/>
          <w:iCs w:val="1"/>
          <w:noProof w:val="0"/>
          <w:color w:val="222222"/>
          <w:sz w:val="22"/>
          <w:szCs w:val="22"/>
          <w:lang w:val="en-US"/>
        </w:rPr>
        <w:t>19</w:t>
      </w:r>
      <w:r w:rsidRPr="6EC5FEFE" w:rsidR="1753FDBC">
        <w:rPr>
          <w:rFonts w:ascii="Calibri" w:hAnsi="Calibri" w:eastAsia="Calibri" w:cs="Calibri" w:asciiTheme="minorAscii" w:hAnsiTheme="minorAscii" w:eastAsiaTheme="minorAscii" w:cstheme="minorAscii"/>
          <w:noProof w:val="0"/>
          <w:color w:val="222222"/>
          <w:sz w:val="22"/>
          <w:szCs w:val="22"/>
          <w:lang w:val="en-US"/>
        </w:rPr>
        <w:t>(4), pp.1305-1328.</w:t>
      </w:r>
    </w:p>
    <w:p w:rsidR="6EC5FEFE" w:rsidP="6EC5FEFE" w:rsidRDefault="6EC5FEFE" w14:paraId="7F6681B2" w14:textId="5EAF5CAC">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p w:rsidR="1753FDBC" w:rsidP="6EC5FEFE" w:rsidRDefault="1753FDBC" w14:paraId="3815BA24" w14:textId="1B0BB2FE">
      <w:pPr>
        <w:pStyle w:val="Normal"/>
        <w:spacing w:before="0" w:beforeAutospacing="off" w:after="0" w:afterAutospacing="off" w:line="240" w:lineRule="auto"/>
        <w:ind w:left="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EC5FEFE" w:rsidR="1753FDBC">
        <w:rPr>
          <w:rFonts w:ascii="Calibri" w:hAnsi="Calibri" w:eastAsia="Calibri" w:cs="Calibri" w:asciiTheme="minorAscii" w:hAnsiTheme="minorAscii" w:eastAsiaTheme="minorAscii" w:cstheme="minorAscii"/>
          <w:b w:val="0"/>
          <w:bCs w:val="0"/>
          <w:i w:val="0"/>
          <w:iCs w:val="0"/>
          <w:caps w:val="0"/>
          <w:smallCaps w:val="0"/>
          <w:noProof w:val="0"/>
          <w:color w:val="202122"/>
          <w:sz w:val="22"/>
          <w:szCs w:val="22"/>
          <w:lang w:val="en-US"/>
        </w:rPr>
        <w:t xml:space="preserve">Herman Goldstein, </w:t>
      </w:r>
      <w:hyperlink r:id="Rda494c204ffe4413">
        <w:r w:rsidRPr="6EC5FEFE" w:rsidR="1753FDB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Improving Policing: A Problem-Oriented Approach</w:t>
        </w:r>
      </w:hyperlink>
      <w:r w:rsidRPr="6EC5FEFE" w:rsidR="1753FDBC">
        <w:rPr>
          <w:rFonts w:ascii="Calibri" w:hAnsi="Calibri" w:eastAsia="Calibri" w:cs="Calibri" w:asciiTheme="minorAscii" w:hAnsiTheme="minorAscii" w:eastAsiaTheme="minorAscii" w:cstheme="minorAscii"/>
          <w:b w:val="0"/>
          <w:bCs w:val="0"/>
          <w:i w:val="0"/>
          <w:iCs w:val="0"/>
          <w:caps w:val="0"/>
          <w:smallCaps w:val="0"/>
          <w:noProof w:val="0"/>
          <w:color w:val="202122"/>
          <w:sz w:val="22"/>
          <w:szCs w:val="22"/>
          <w:lang w:val="en-US"/>
        </w:rPr>
        <w:t xml:space="preserve">, </w:t>
      </w:r>
      <w:r w:rsidRPr="6EC5FEFE" w:rsidR="1753FDBC">
        <w:rPr>
          <w:rFonts w:ascii="Calibri" w:hAnsi="Calibri" w:eastAsia="Calibri" w:cs="Calibri" w:asciiTheme="minorAscii" w:hAnsiTheme="minorAscii" w:eastAsiaTheme="minorAscii" w:cstheme="minorAscii"/>
          <w:b w:val="0"/>
          <w:bCs w:val="0"/>
          <w:i w:val="1"/>
          <w:iCs w:val="1"/>
          <w:caps w:val="0"/>
          <w:smallCaps w:val="0"/>
          <w:noProof w:val="0"/>
          <w:color w:val="202122"/>
          <w:sz w:val="22"/>
          <w:szCs w:val="22"/>
          <w:lang w:val="en-US"/>
        </w:rPr>
        <w:t>Crime &amp; Delinquency</w:t>
      </w:r>
      <w:r w:rsidRPr="6EC5FEFE" w:rsidR="1753FDBC">
        <w:rPr>
          <w:rFonts w:ascii="Calibri" w:hAnsi="Calibri" w:eastAsia="Calibri" w:cs="Calibri" w:asciiTheme="minorAscii" w:hAnsiTheme="minorAscii" w:eastAsiaTheme="minorAscii" w:cstheme="minorAscii"/>
          <w:b w:val="0"/>
          <w:bCs w:val="0"/>
          <w:i w:val="0"/>
          <w:iCs w:val="0"/>
          <w:caps w:val="0"/>
          <w:smallCaps w:val="0"/>
          <w:noProof w:val="0"/>
          <w:color w:val="202122"/>
          <w:sz w:val="22"/>
          <w:szCs w:val="22"/>
          <w:lang w:val="en-US"/>
        </w:rPr>
        <w:t xml:space="preserve"> (April 1979):236-243.</w:t>
      </w:r>
    </w:p>
    <w:p w:rsidR="6EC5FEFE" w:rsidP="6EC5FEFE" w:rsidRDefault="6EC5FEFE" w14:paraId="737ABA2D" w14:textId="00FACD74">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p w:rsidR="1753FDBC" w:rsidP="6EC5FEFE" w:rsidRDefault="1753FDBC" w14:paraId="172B368E" w14:textId="6C447712">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6EC5FEFE" w:rsidR="1753FDBC">
        <w:rPr>
          <w:rFonts w:ascii="Calibri" w:hAnsi="Calibri" w:eastAsia="Calibri" w:cs="Calibri" w:asciiTheme="minorAscii" w:hAnsiTheme="minorAscii" w:eastAsiaTheme="minorAscii" w:cstheme="minorAscii"/>
          <w:noProof w:val="0"/>
          <w:color w:val="222222"/>
          <w:sz w:val="22"/>
          <w:szCs w:val="22"/>
          <w:lang w:val="en-US"/>
        </w:rPr>
        <w:t xml:space="preserve">Jiang, F., Xie, C. and Ellis, T., 2021. Police officers’ </w:t>
      </w:r>
      <w:r w:rsidRPr="6EC5FEFE" w:rsidR="1753FDBC">
        <w:rPr>
          <w:rFonts w:ascii="Calibri" w:hAnsi="Calibri" w:eastAsia="Calibri" w:cs="Calibri" w:asciiTheme="minorAscii" w:hAnsiTheme="minorAscii" w:eastAsiaTheme="minorAscii" w:cstheme="minorAscii"/>
          <w:noProof w:val="0"/>
          <w:color w:val="222222"/>
          <w:sz w:val="22"/>
          <w:szCs w:val="22"/>
          <w:lang w:val="en-US"/>
        </w:rPr>
        <w:t>perceptions</w:t>
      </w:r>
      <w:r w:rsidRPr="6EC5FEFE" w:rsidR="1753FDBC">
        <w:rPr>
          <w:rFonts w:ascii="Calibri" w:hAnsi="Calibri" w:eastAsia="Calibri" w:cs="Calibri" w:asciiTheme="minorAscii" w:hAnsiTheme="minorAscii" w:eastAsiaTheme="minorAscii" w:cstheme="minorAscii"/>
          <w:noProof w:val="0"/>
          <w:color w:val="222222"/>
          <w:sz w:val="22"/>
          <w:szCs w:val="22"/>
          <w:lang w:val="en-US"/>
        </w:rPr>
        <w:t xml:space="preserve"> of body-worn video cameras in Beijing. </w:t>
      </w:r>
      <w:r w:rsidRPr="6EC5FEFE" w:rsidR="1753FDBC">
        <w:rPr>
          <w:rFonts w:ascii="Calibri" w:hAnsi="Calibri" w:eastAsia="Calibri" w:cs="Calibri" w:asciiTheme="minorAscii" w:hAnsiTheme="minorAscii" w:eastAsiaTheme="minorAscii" w:cstheme="minorAscii"/>
          <w:i w:val="1"/>
          <w:iCs w:val="1"/>
          <w:noProof w:val="0"/>
          <w:color w:val="222222"/>
          <w:sz w:val="22"/>
          <w:szCs w:val="22"/>
          <w:lang w:val="en-US"/>
        </w:rPr>
        <w:t>International criminal justice review</w:t>
      </w:r>
      <w:r w:rsidRPr="6EC5FEFE" w:rsidR="1753FDBC">
        <w:rPr>
          <w:rFonts w:ascii="Calibri" w:hAnsi="Calibri" w:eastAsia="Calibri" w:cs="Calibri" w:asciiTheme="minorAscii" w:hAnsiTheme="minorAscii" w:eastAsiaTheme="minorAscii" w:cstheme="minorAscii"/>
          <w:noProof w:val="0"/>
          <w:color w:val="222222"/>
          <w:sz w:val="22"/>
          <w:szCs w:val="22"/>
          <w:lang w:val="en-US"/>
        </w:rPr>
        <w:t xml:space="preserve">, </w:t>
      </w:r>
      <w:r w:rsidRPr="6EC5FEFE" w:rsidR="1753FDBC">
        <w:rPr>
          <w:rFonts w:ascii="Calibri" w:hAnsi="Calibri" w:eastAsia="Calibri" w:cs="Calibri" w:asciiTheme="minorAscii" w:hAnsiTheme="minorAscii" w:eastAsiaTheme="minorAscii" w:cstheme="minorAscii"/>
          <w:i w:val="1"/>
          <w:iCs w:val="1"/>
          <w:noProof w:val="0"/>
          <w:color w:val="222222"/>
          <w:sz w:val="22"/>
          <w:szCs w:val="22"/>
          <w:lang w:val="en-US"/>
        </w:rPr>
        <w:t>31</w:t>
      </w:r>
      <w:r w:rsidRPr="6EC5FEFE" w:rsidR="1753FDBC">
        <w:rPr>
          <w:rFonts w:ascii="Calibri" w:hAnsi="Calibri" w:eastAsia="Calibri" w:cs="Calibri" w:asciiTheme="minorAscii" w:hAnsiTheme="minorAscii" w:eastAsiaTheme="minorAscii" w:cstheme="minorAscii"/>
          <w:noProof w:val="0"/>
          <w:color w:val="222222"/>
          <w:sz w:val="22"/>
          <w:szCs w:val="22"/>
          <w:lang w:val="en-US"/>
        </w:rPr>
        <w:t>(3), pp.286-303.</w:t>
      </w:r>
    </w:p>
    <w:p w:rsidR="6EC5FEFE" w:rsidP="6EC5FEFE" w:rsidRDefault="6EC5FEFE" w14:paraId="567F66A7" w14:textId="252AA6F2">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EC5FEFE" w:rsidP="6EC5FEFE" w:rsidRDefault="6EC5FEFE" w14:paraId="66E94F2C" w14:textId="38ED6D07">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377A45A1" w:rsidP="6EC5FEFE" w:rsidRDefault="377A45A1" w14:paraId="7E83738A" w14:textId="26BA26C9">
      <w:pPr>
        <w:spacing w:before="0" w:beforeAutospacing="off" w:after="165"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pPr>
      <w:hyperlink r:id="Rd1bdaaf1d05e4c40">
        <w:r w:rsidRPr="6EC5FEFE" w:rsidR="377A45A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Karen Bullock</w:t>
        </w:r>
      </w:hyperlink>
      <w:r w:rsidRPr="6EC5FEFE" w:rsidR="377A45A1">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w:t>
      </w:r>
      <w:r w:rsidRPr="6EC5FEFE" w:rsidR="377A45A1">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xml:space="preserve"> </w:t>
      </w:r>
      <w:hyperlink r:id="R5abfd84ae594435e">
        <w:r w:rsidRPr="6EC5FEFE" w:rsidR="377A45A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Nick Tilley</w:t>
        </w:r>
      </w:hyperlink>
      <w:r w:rsidRPr="6EC5FEFE" w:rsidR="377A45A1">
        <w:rPr>
          <w:rFonts w:ascii="Calibri" w:hAnsi="Calibri" w:eastAsia="Calibri" w:cs="Calibri" w:asciiTheme="minorAscii" w:hAnsiTheme="minorAscii" w:eastAsiaTheme="minorAscii" w:cstheme="minorAscii"/>
          <w:b w:val="0"/>
          <w:bCs w:val="0"/>
          <w:i w:val="1"/>
          <w:iCs w:val="1"/>
          <w:caps w:val="0"/>
          <w:smallCaps w:val="0"/>
          <w:noProof w:val="0"/>
          <w:color w:val="2A2A2A"/>
          <w:sz w:val="22"/>
          <w:szCs w:val="22"/>
          <w:lang w:val="en-US"/>
        </w:rPr>
        <w:t xml:space="preserve"> Policing: A Journal of Policy and Practice</w:t>
      </w:r>
      <w:r w:rsidRPr="6EC5FEFE" w:rsidR="377A45A1">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Volume 3, Issue 4, 2009, Pages 381–387,</w:t>
      </w:r>
      <w:r w:rsidRPr="6EC5FEFE" w:rsidR="377A45A1">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xml:space="preserve"> </w:t>
      </w:r>
      <w:hyperlink r:id="Rd0b47f982a0043da">
        <w:r w:rsidRPr="6EC5FEFE" w:rsidR="377A45A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https://doi.org/10.1093/police/pap032</w:t>
        </w:r>
      </w:hyperlink>
      <w:r w:rsidRPr="6EC5FEFE" w:rsidR="377A45A1">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 xml:space="preserve"> </w:t>
      </w:r>
    </w:p>
    <w:p w:rsidR="6EC5FEFE" w:rsidP="6EC5FEFE" w:rsidRDefault="6EC5FEFE" w14:paraId="52984FE2" w14:textId="5DB511BD">
      <w:pPr>
        <w:pStyle w:val="Normal"/>
        <w:spacing w:before="0" w:beforeAutospacing="off" w:after="165"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pPr>
    </w:p>
    <w:p w:rsidR="1FA8458E" w:rsidP="6EC5FEFE" w:rsidRDefault="1FA8458E" w14:paraId="621F9B53" w14:textId="48A83790">
      <w:pPr>
        <w:spacing w:before="0" w:beforeAutospacing="off" w:after="165" w:afterAutospacing="off"/>
        <w:rPr>
          <w:rFonts w:ascii="Calibri" w:hAnsi="Calibri" w:eastAsia="Calibri" w:cs="Calibri" w:asciiTheme="minorAscii" w:hAnsiTheme="minorAscii" w:eastAsiaTheme="minorAscii" w:cstheme="minorAscii"/>
          <w:sz w:val="22"/>
          <w:szCs w:val="22"/>
        </w:rPr>
      </w:pPr>
      <w:hyperlink r:id="R9e8467f6da61437f">
        <w:r w:rsidRPr="6EC5FEFE" w:rsidR="1FA8458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Mitchell Pearson-Goff</w:t>
        </w:r>
      </w:hyperlink>
      <w:r w:rsidRPr="6EC5FEFE" w:rsidR="1FA8458E">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w:t>
      </w:r>
      <w:r w:rsidRPr="6EC5FEFE" w:rsidR="1FA8458E">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xml:space="preserve"> </w:t>
      </w:r>
      <w:hyperlink r:id="Re72a039a794a484c">
        <w:r w:rsidRPr="6EC5FEFE" w:rsidR="1FA8458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Victoria Herrington</w:t>
        </w:r>
      </w:hyperlink>
      <w:r w:rsidRPr="6EC5FEFE" w:rsidR="1FA8458E">
        <w:rPr>
          <w:rFonts w:ascii="Calibri" w:hAnsi="Calibri" w:eastAsia="Calibri" w:cs="Calibri" w:asciiTheme="minorAscii" w:hAnsiTheme="minorAscii" w:eastAsiaTheme="minorAscii" w:cstheme="minorAscii"/>
          <w:b w:val="0"/>
          <w:bCs w:val="0"/>
          <w:i w:val="1"/>
          <w:iCs w:val="1"/>
          <w:caps w:val="0"/>
          <w:smallCaps w:val="0"/>
          <w:noProof w:val="0"/>
          <w:color w:val="2A2A2A"/>
          <w:sz w:val="22"/>
          <w:szCs w:val="22"/>
          <w:lang w:val="en-US"/>
        </w:rPr>
        <w:t xml:space="preserve"> Policing: A Journal of Policy and Practice</w:t>
      </w:r>
      <w:r w:rsidRPr="6EC5FEFE" w:rsidR="1FA8458E">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Volume 8, Issue 1, March 2014, Pages 14–26,</w:t>
      </w:r>
      <w:r w:rsidRPr="6EC5FEFE" w:rsidR="1FA8458E">
        <w:rPr>
          <w:rFonts w:ascii="Calibri" w:hAnsi="Calibri" w:eastAsia="Calibri" w:cs="Calibri" w:asciiTheme="minorAscii" w:hAnsiTheme="minorAscii" w:eastAsiaTheme="minorAscii" w:cstheme="minorAscii"/>
          <w:b w:val="0"/>
          <w:bCs w:val="0"/>
          <w:i w:val="0"/>
          <w:iCs w:val="0"/>
          <w:caps w:val="0"/>
          <w:smallCaps w:val="0"/>
          <w:noProof w:val="0"/>
          <w:color w:val="2A2A2A"/>
          <w:sz w:val="22"/>
          <w:szCs w:val="22"/>
          <w:lang w:val="en-US"/>
        </w:rPr>
        <w:t xml:space="preserve"> </w:t>
      </w:r>
      <w:hyperlink r:id="R397a6d2d4dc54da7">
        <w:r w:rsidRPr="6EC5FEFE" w:rsidR="1FA8458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https://doi.org/10.1093/police/pat027</w:t>
        </w:r>
      </w:hyperlink>
    </w:p>
    <w:p w:rsidR="6EC5FEFE" w:rsidP="6EC5FEFE" w:rsidRDefault="6EC5FEFE" w14:paraId="1FBA6C34" w14:textId="45499B2C">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063E1770" w:rsidP="6EC5FEFE" w:rsidRDefault="063E1770" w14:paraId="24D08C4F" w14:textId="5172C0B9">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EC5FEFE" w:rsidR="05EBDA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Methods of dealing with issues (College of Policing </w:t>
      </w:r>
      <w:hyperlink w:anchor="CR6" r:id="R8570d497b39c4dc8">
        <w:r w:rsidRPr="6EC5FEFE" w:rsidR="05EBDA0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lang w:val="en-US"/>
          </w:rPr>
          <w:t>2020</w:t>
        </w:r>
      </w:hyperlink>
      <w:r w:rsidRPr="6EC5FEFE" w:rsidR="05EBDA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19A55DE8" w:rsidP="6EC5FEFE" w:rsidRDefault="19A55DE8" w14:paraId="3EC76280" w14:textId="770B6AFF">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9A55DE8" w:rsidP="6EC5FEFE" w:rsidRDefault="19A55DE8" w14:paraId="71E0BBBB" w14:textId="4FE820FB">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r w:rsidRPr="6EC5FEFE" w:rsidR="5B9A4B0B">
        <w:rPr>
          <w:rFonts w:ascii="Calibri" w:hAnsi="Calibri" w:eastAsia="Calibri" w:cs="Calibri" w:asciiTheme="minorAscii" w:hAnsiTheme="minorAscii" w:eastAsiaTheme="minorAscii" w:cstheme="minorAscii"/>
          <w:noProof w:val="0"/>
          <w:color w:val="222222"/>
          <w:sz w:val="22"/>
          <w:szCs w:val="22"/>
          <w:lang w:val="en-US"/>
        </w:rPr>
        <w:t xml:space="preserve">Neyroud, P., 2021. Globalizing evidence-based policing: Case studies of community policing, reform, and diversion. In </w:t>
      </w:r>
      <w:r w:rsidRPr="6EC5FEFE" w:rsidR="5B9A4B0B">
        <w:rPr>
          <w:rFonts w:ascii="Calibri" w:hAnsi="Calibri" w:eastAsia="Calibri" w:cs="Calibri" w:asciiTheme="minorAscii" w:hAnsiTheme="minorAscii" w:eastAsiaTheme="minorAscii" w:cstheme="minorAscii"/>
          <w:i w:val="1"/>
          <w:iCs w:val="1"/>
          <w:noProof w:val="0"/>
          <w:color w:val="222222"/>
          <w:sz w:val="22"/>
          <w:szCs w:val="22"/>
          <w:lang w:val="en-US"/>
        </w:rPr>
        <w:t>The Globalization of Evidence-Based Policing</w:t>
      </w:r>
      <w:r w:rsidRPr="6EC5FEFE" w:rsidR="5B9A4B0B">
        <w:rPr>
          <w:rFonts w:ascii="Calibri" w:hAnsi="Calibri" w:eastAsia="Calibri" w:cs="Calibri" w:asciiTheme="minorAscii" w:hAnsiTheme="minorAscii" w:eastAsiaTheme="minorAscii" w:cstheme="minorAscii"/>
          <w:noProof w:val="0"/>
          <w:color w:val="222222"/>
          <w:sz w:val="22"/>
          <w:szCs w:val="22"/>
          <w:lang w:val="en-US"/>
        </w:rPr>
        <w:t xml:space="preserve"> (pp. 23-38). Routledge.</w:t>
      </w:r>
    </w:p>
    <w:p w:rsidR="19A55DE8" w:rsidP="6EC5FEFE" w:rsidRDefault="19A55DE8" w14:paraId="1DF5EB17" w14:textId="09D5744F">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19A55DE8" w:rsidP="6EC5FEFE" w:rsidRDefault="19A55DE8" w14:paraId="7063D303" w14:textId="79076602">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auto"/>
          <w:sz w:val="22"/>
          <w:szCs w:val="22"/>
          <w:lang w:val="en-US"/>
        </w:rPr>
      </w:pPr>
    </w:p>
    <w:p w:rsidR="19A55DE8" w:rsidP="6EC5FEFE" w:rsidRDefault="19A55DE8" w14:paraId="7987F70C" w14:textId="21C724BD">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auto"/>
          <w:sz w:val="22"/>
          <w:szCs w:val="22"/>
          <w:lang w:val="en-US"/>
        </w:rPr>
      </w:pPr>
      <w:r w:rsidRPr="6EC5FEFE" w:rsidR="54280E75">
        <w:rPr>
          <w:rFonts w:ascii="Calibri" w:hAnsi="Calibri" w:eastAsia="Calibri" w:cs="Calibri" w:asciiTheme="minorAscii" w:hAnsiTheme="minorAscii" w:eastAsiaTheme="minorAscii" w:cstheme="minorAscii"/>
          <w:noProof w:val="0"/>
          <w:color w:val="222222"/>
          <w:sz w:val="22"/>
          <w:szCs w:val="22"/>
          <w:lang w:val="en-US"/>
        </w:rPr>
        <w:t xml:space="preserve">Sherman, L.W., 1998. Evidence-based policing and fatal police shootings: Promise, problems, and prospects. </w:t>
      </w:r>
      <w:r w:rsidRPr="6EC5FEFE" w:rsidR="54280E75">
        <w:rPr>
          <w:rFonts w:ascii="Calibri" w:hAnsi="Calibri" w:eastAsia="Calibri" w:cs="Calibri" w:asciiTheme="minorAscii" w:hAnsiTheme="minorAscii" w:eastAsiaTheme="minorAscii" w:cstheme="minorAscii"/>
          <w:i w:val="1"/>
          <w:iCs w:val="1"/>
          <w:noProof w:val="0"/>
          <w:color w:val="222222"/>
          <w:sz w:val="22"/>
          <w:szCs w:val="22"/>
          <w:lang w:val="en-US"/>
        </w:rPr>
        <w:t>The ANNALS of the American Academy of Political and Social Science</w:t>
      </w:r>
      <w:r w:rsidRPr="6EC5FEFE" w:rsidR="54280E75">
        <w:rPr>
          <w:rFonts w:ascii="Calibri" w:hAnsi="Calibri" w:eastAsia="Calibri" w:cs="Calibri" w:asciiTheme="minorAscii" w:hAnsiTheme="minorAscii" w:eastAsiaTheme="minorAscii" w:cstheme="minorAscii"/>
          <w:noProof w:val="0"/>
          <w:color w:val="222222"/>
          <w:sz w:val="22"/>
          <w:szCs w:val="22"/>
          <w:lang w:val="en-US"/>
        </w:rPr>
        <w:t xml:space="preserve">, </w:t>
      </w:r>
      <w:r w:rsidRPr="6EC5FEFE" w:rsidR="54280E75">
        <w:rPr>
          <w:rFonts w:ascii="Calibri" w:hAnsi="Calibri" w:eastAsia="Calibri" w:cs="Calibri" w:asciiTheme="minorAscii" w:hAnsiTheme="minorAscii" w:eastAsiaTheme="minorAscii" w:cstheme="minorAscii"/>
          <w:i w:val="1"/>
          <w:iCs w:val="1"/>
          <w:noProof w:val="0"/>
          <w:color w:val="222222"/>
          <w:sz w:val="22"/>
          <w:szCs w:val="22"/>
          <w:lang w:val="en-US"/>
        </w:rPr>
        <w:t>687</w:t>
      </w:r>
      <w:r w:rsidRPr="6EC5FEFE" w:rsidR="54280E75">
        <w:rPr>
          <w:rFonts w:ascii="Calibri" w:hAnsi="Calibri" w:eastAsia="Calibri" w:cs="Calibri" w:asciiTheme="minorAscii" w:hAnsiTheme="minorAscii" w:eastAsiaTheme="minorAscii" w:cstheme="minorAscii"/>
          <w:noProof w:val="0"/>
          <w:color w:val="222222"/>
          <w:sz w:val="22"/>
          <w:szCs w:val="22"/>
          <w:lang w:val="en-US"/>
        </w:rPr>
        <w:t>(1), pp.8-26</w:t>
      </w:r>
      <w:r w:rsidRPr="6EC5FEFE" w:rsidR="54280E75">
        <w:rPr>
          <w:rFonts w:ascii="Calibri" w:hAnsi="Calibri" w:eastAsia="Calibri" w:cs="Calibri" w:asciiTheme="minorAscii" w:hAnsiTheme="minorAscii" w:eastAsiaTheme="minorAscii" w:cstheme="minorAscii"/>
          <w:noProof w:val="0"/>
          <w:color w:val="auto"/>
          <w:sz w:val="22"/>
          <w:szCs w:val="22"/>
          <w:lang w:val="en-US"/>
        </w:rPr>
        <w:t xml:space="preserve"> </w:t>
      </w:r>
    </w:p>
    <w:p w:rsidR="6EC5FEFE" w:rsidP="6EC5FEFE" w:rsidRDefault="6EC5FEFE" w14:paraId="434D0633" w14:textId="3DB4569D">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auto"/>
          <w:sz w:val="22"/>
          <w:szCs w:val="22"/>
          <w:lang w:val="en-US"/>
        </w:rPr>
      </w:pPr>
    </w:p>
    <w:p w:rsidR="6EC5FEFE" w:rsidP="6EC5FEFE" w:rsidRDefault="6EC5FEFE" w14:paraId="12738DC7" w14:textId="4F719709">
      <w:pPr>
        <w:pStyle w:val="Normal"/>
        <w:spacing w:before="0" w:beforeAutospacing="off" w:after="0" w:afterAutospacing="off" w:line="240" w:lineRule="auto"/>
        <w:ind w:left="0"/>
        <w:contextualSpacing/>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EC5FEFE" w:rsidP="6EC5FEFE" w:rsidRDefault="6EC5FEFE" w14:paraId="4C1B9949" w14:textId="563DD06B">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p w:rsidR="6EC5FEFE" w:rsidP="6EC5FEFE" w:rsidRDefault="6EC5FEFE" w14:paraId="7AFF3E19" w14:textId="67BA9A36">
      <w:pPr>
        <w:pStyle w:val="Normal"/>
        <w:spacing w:before="400" w:beforeAutospacing="off" w:after="400" w:afterAutospacing="off" w:line="240" w:lineRule="auto"/>
        <w:contextualSpacing/>
        <w:rPr>
          <w:rFonts w:ascii="Calibri" w:hAnsi="Calibri" w:eastAsia="Calibri" w:cs="Calibri" w:asciiTheme="minorAscii" w:hAnsiTheme="minorAscii" w:eastAsiaTheme="minorAscii" w:cstheme="minorAscii"/>
          <w:noProof w:val="0"/>
          <w:color w:val="222222"/>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nUHfZJIo9i9LML" int2:id="FuOBkbdm">
      <int2:state int2:type="AugLoop_Text_Critique" int2:value="Rejected"/>
    </int2:textHash>
    <int2:textHash int2:hashCode="hNr/IbysrLHhjc" int2:id="L6CoeNaG">
      <int2:state int2:type="AugLoop_Text_Critique" int2:value="Rejected"/>
    </int2:textHash>
    <int2:bookmark int2:bookmarkName="_Int_woB2hyW9" int2:invalidationBookmarkName="" int2:hashCode="Zz10vaPI9OBXT0" int2:id="xgRvvAqT">
      <int2:state int2:type="AugLoop_Text_Critique" int2:value="Rejected"/>
    </int2:bookmark>
    <int2:entireDocument int2:id="VIFEtoNw">
      <int2:extLst>
        <oel:ext uri="E302BA01-7950-474C-9AD3-286E660C40A8">
          <int2:similaritySummary int2:version="1" int2:runId="1689591863538" int2:tilesCheckedInThisRun="42" int2:totalNumOfTiles="42" int2:similarityAnnotationCount="27" int2:numWords="3681" int2:numFlaggedWords="84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
  </int2:onDemandWorkflows>
</int2:intelligence>
</file>

<file path=word/numbering.xml><?xml version="1.0" encoding="utf-8"?>
<w:numbering xmlns:w="http://schemas.openxmlformats.org/wordprocessingml/2006/main">
  <w:abstractNum xmlns:w="http://schemas.openxmlformats.org/wordprocessingml/2006/main" w:abstractNumId="4">
    <w:nsid w:val="52371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d90c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f1576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2553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40BD3E"/>
    <w:rsid w:val="0017EBA7"/>
    <w:rsid w:val="00270A2F"/>
    <w:rsid w:val="006DC9F5"/>
    <w:rsid w:val="00C618D2"/>
    <w:rsid w:val="0172D46C"/>
    <w:rsid w:val="01FC1FB4"/>
    <w:rsid w:val="02DC0BCE"/>
    <w:rsid w:val="0365B169"/>
    <w:rsid w:val="037A0F30"/>
    <w:rsid w:val="0387FFD9"/>
    <w:rsid w:val="03C393D0"/>
    <w:rsid w:val="03F4F184"/>
    <w:rsid w:val="04135A3F"/>
    <w:rsid w:val="0466E3C7"/>
    <w:rsid w:val="04C0386E"/>
    <w:rsid w:val="050181CA"/>
    <w:rsid w:val="0590C1E5"/>
    <w:rsid w:val="05DD7E21"/>
    <w:rsid w:val="05EBDA01"/>
    <w:rsid w:val="061B3507"/>
    <w:rsid w:val="063E1770"/>
    <w:rsid w:val="06402BB3"/>
    <w:rsid w:val="06645684"/>
    <w:rsid w:val="0664FE5B"/>
    <w:rsid w:val="066A5702"/>
    <w:rsid w:val="0690F024"/>
    <w:rsid w:val="0717206D"/>
    <w:rsid w:val="075F1979"/>
    <w:rsid w:val="085DF065"/>
    <w:rsid w:val="0869D752"/>
    <w:rsid w:val="089088E7"/>
    <w:rsid w:val="08F48C28"/>
    <w:rsid w:val="0914602D"/>
    <w:rsid w:val="0991F6FF"/>
    <w:rsid w:val="09F05C84"/>
    <w:rsid w:val="09F05C84"/>
    <w:rsid w:val="0A96BA3B"/>
    <w:rsid w:val="0AD8C2C2"/>
    <w:rsid w:val="0BC67F5A"/>
    <w:rsid w:val="0BFFCEF2"/>
    <w:rsid w:val="0C1BF2F0"/>
    <w:rsid w:val="0CAD13D4"/>
    <w:rsid w:val="0D0110F2"/>
    <w:rsid w:val="0D064769"/>
    <w:rsid w:val="0DB7C351"/>
    <w:rsid w:val="0DBB4EA0"/>
    <w:rsid w:val="0DCE5AFD"/>
    <w:rsid w:val="0E5DC9EC"/>
    <w:rsid w:val="0EF34D5D"/>
    <w:rsid w:val="0F6CFA38"/>
    <w:rsid w:val="0FD50287"/>
    <w:rsid w:val="104BAF91"/>
    <w:rsid w:val="10F2EF62"/>
    <w:rsid w:val="11BF4671"/>
    <w:rsid w:val="12C3988E"/>
    <w:rsid w:val="13EADE20"/>
    <w:rsid w:val="1408936B"/>
    <w:rsid w:val="16818045"/>
    <w:rsid w:val="16C77D1B"/>
    <w:rsid w:val="16E8C972"/>
    <w:rsid w:val="17118333"/>
    <w:rsid w:val="172A9883"/>
    <w:rsid w:val="1753FDBC"/>
    <w:rsid w:val="1809976E"/>
    <w:rsid w:val="186B8A00"/>
    <w:rsid w:val="19110DA4"/>
    <w:rsid w:val="19A25F7C"/>
    <w:rsid w:val="19A55DE8"/>
    <w:rsid w:val="19DC371F"/>
    <w:rsid w:val="1A101721"/>
    <w:rsid w:val="1A3A5F62"/>
    <w:rsid w:val="1B0663D5"/>
    <w:rsid w:val="1BC6701F"/>
    <w:rsid w:val="1BDC1429"/>
    <w:rsid w:val="1C48AE66"/>
    <w:rsid w:val="1C906DD1"/>
    <w:rsid w:val="1CCB866A"/>
    <w:rsid w:val="1CCE4626"/>
    <w:rsid w:val="1CE5DE40"/>
    <w:rsid w:val="1DF6BCD2"/>
    <w:rsid w:val="1DF8C815"/>
    <w:rsid w:val="1FA8458E"/>
    <w:rsid w:val="1FBDFEF0"/>
    <w:rsid w:val="1FC80E93"/>
    <w:rsid w:val="1FCFC176"/>
    <w:rsid w:val="1FD1AEE8"/>
    <w:rsid w:val="201D7F02"/>
    <w:rsid w:val="2028C720"/>
    <w:rsid w:val="206F8D7B"/>
    <w:rsid w:val="20D49796"/>
    <w:rsid w:val="2159CF51"/>
    <w:rsid w:val="21A1B749"/>
    <w:rsid w:val="22AA6336"/>
    <w:rsid w:val="22AC2E08"/>
    <w:rsid w:val="22D8B0B8"/>
    <w:rsid w:val="22EAE1B5"/>
    <w:rsid w:val="23A37204"/>
    <w:rsid w:val="23E98C31"/>
    <w:rsid w:val="246B1777"/>
    <w:rsid w:val="2487FD2A"/>
    <w:rsid w:val="24DAA8D2"/>
    <w:rsid w:val="24F3D3B2"/>
    <w:rsid w:val="24FB14F8"/>
    <w:rsid w:val="24FB14F8"/>
    <w:rsid w:val="252E5AE1"/>
    <w:rsid w:val="25561BA3"/>
    <w:rsid w:val="25583B16"/>
    <w:rsid w:val="2721C2E2"/>
    <w:rsid w:val="272655A4"/>
    <w:rsid w:val="27AC21DB"/>
    <w:rsid w:val="28200257"/>
    <w:rsid w:val="29354200"/>
    <w:rsid w:val="29C85908"/>
    <w:rsid w:val="2A01CC04"/>
    <w:rsid w:val="2AA89A27"/>
    <w:rsid w:val="2AE3C29D"/>
    <w:rsid w:val="2B2983DB"/>
    <w:rsid w:val="2B57B405"/>
    <w:rsid w:val="2B67CB11"/>
    <w:rsid w:val="2B851C3F"/>
    <w:rsid w:val="2B9DA7CA"/>
    <w:rsid w:val="2BD4247E"/>
    <w:rsid w:val="2C05244C"/>
    <w:rsid w:val="2C310054"/>
    <w:rsid w:val="2C581011"/>
    <w:rsid w:val="2C768A24"/>
    <w:rsid w:val="2CCE0919"/>
    <w:rsid w:val="2CE0C1A5"/>
    <w:rsid w:val="2D1108C0"/>
    <w:rsid w:val="2D595C50"/>
    <w:rsid w:val="2E1B635F"/>
    <w:rsid w:val="2E4DA20B"/>
    <w:rsid w:val="2E798AD8"/>
    <w:rsid w:val="2E895920"/>
    <w:rsid w:val="2EAAA37A"/>
    <w:rsid w:val="2EB23869"/>
    <w:rsid w:val="2EBA8582"/>
    <w:rsid w:val="30710D88"/>
    <w:rsid w:val="30C3367A"/>
    <w:rsid w:val="30D8893B"/>
    <w:rsid w:val="30FAEF60"/>
    <w:rsid w:val="3144D18B"/>
    <w:rsid w:val="3187AA4A"/>
    <w:rsid w:val="326A32EC"/>
    <w:rsid w:val="32BDE589"/>
    <w:rsid w:val="338396FD"/>
    <w:rsid w:val="3459B5EA"/>
    <w:rsid w:val="3521F04D"/>
    <w:rsid w:val="3561B1E5"/>
    <w:rsid w:val="35D5D083"/>
    <w:rsid w:val="3693927D"/>
    <w:rsid w:val="370F60EC"/>
    <w:rsid w:val="377A45A1"/>
    <w:rsid w:val="377D7EE6"/>
    <w:rsid w:val="383DB3D5"/>
    <w:rsid w:val="38620D05"/>
    <w:rsid w:val="38D767C6"/>
    <w:rsid w:val="3A38B09C"/>
    <w:rsid w:val="3AC2FDC2"/>
    <w:rsid w:val="3B04548F"/>
    <w:rsid w:val="3B380DAD"/>
    <w:rsid w:val="3BEAB951"/>
    <w:rsid w:val="3BFB7F9A"/>
    <w:rsid w:val="3CD188F7"/>
    <w:rsid w:val="3CD3DE0E"/>
    <w:rsid w:val="3F12AF26"/>
    <w:rsid w:val="3F850380"/>
    <w:rsid w:val="3FD14211"/>
    <w:rsid w:val="40561758"/>
    <w:rsid w:val="407849D9"/>
    <w:rsid w:val="40AFC128"/>
    <w:rsid w:val="41329BDA"/>
    <w:rsid w:val="4137323B"/>
    <w:rsid w:val="422AEF39"/>
    <w:rsid w:val="4243C281"/>
    <w:rsid w:val="42C30FED"/>
    <w:rsid w:val="43418BFB"/>
    <w:rsid w:val="43BD4ABB"/>
    <w:rsid w:val="440989A5"/>
    <w:rsid w:val="4418A15D"/>
    <w:rsid w:val="4458444D"/>
    <w:rsid w:val="44613159"/>
    <w:rsid w:val="44F044CF"/>
    <w:rsid w:val="4579458A"/>
    <w:rsid w:val="459F11AD"/>
    <w:rsid w:val="45AF32B4"/>
    <w:rsid w:val="460AA35E"/>
    <w:rsid w:val="47D576D1"/>
    <w:rsid w:val="482F7B27"/>
    <w:rsid w:val="4840BD3E"/>
    <w:rsid w:val="4863BAFE"/>
    <w:rsid w:val="489A30BD"/>
    <w:rsid w:val="489EA987"/>
    <w:rsid w:val="491FC87D"/>
    <w:rsid w:val="49470B38"/>
    <w:rsid w:val="4AB2BA42"/>
    <w:rsid w:val="4AEDF689"/>
    <w:rsid w:val="4B4AF0C6"/>
    <w:rsid w:val="4B8AF480"/>
    <w:rsid w:val="4D910A03"/>
    <w:rsid w:val="4DEC972A"/>
    <w:rsid w:val="4E6E1A0F"/>
    <w:rsid w:val="4EE2A9C9"/>
    <w:rsid w:val="4F352517"/>
    <w:rsid w:val="4FAF21CF"/>
    <w:rsid w:val="4FDD6CA6"/>
    <w:rsid w:val="504BA574"/>
    <w:rsid w:val="50CE6C23"/>
    <w:rsid w:val="50E2F26A"/>
    <w:rsid w:val="511F1A93"/>
    <w:rsid w:val="51B0C72B"/>
    <w:rsid w:val="51FDC003"/>
    <w:rsid w:val="5342F238"/>
    <w:rsid w:val="535B7F7E"/>
    <w:rsid w:val="5391B861"/>
    <w:rsid w:val="54280E75"/>
    <w:rsid w:val="542B72B1"/>
    <w:rsid w:val="54915343"/>
    <w:rsid w:val="55074AB3"/>
    <w:rsid w:val="55168A64"/>
    <w:rsid w:val="56534E5B"/>
    <w:rsid w:val="565E94E5"/>
    <w:rsid w:val="56B24B22"/>
    <w:rsid w:val="5742EE42"/>
    <w:rsid w:val="576B7EB4"/>
    <w:rsid w:val="579DB253"/>
    <w:rsid w:val="57D45277"/>
    <w:rsid w:val="59608BE9"/>
    <w:rsid w:val="5AA18BDF"/>
    <w:rsid w:val="5B0D9721"/>
    <w:rsid w:val="5B2171C4"/>
    <w:rsid w:val="5B368523"/>
    <w:rsid w:val="5B4F9FA8"/>
    <w:rsid w:val="5B4F9FA8"/>
    <w:rsid w:val="5B9A4B0B"/>
    <w:rsid w:val="5BF44507"/>
    <w:rsid w:val="5C0B38D4"/>
    <w:rsid w:val="5C6A9AD6"/>
    <w:rsid w:val="5C92CFD6"/>
    <w:rsid w:val="5CC28FDF"/>
    <w:rsid w:val="5CC2DDD5"/>
    <w:rsid w:val="5CC2DDD5"/>
    <w:rsid w:val="5D32227F"/>
    <w:rsid w:val="5E0205E8"/>
    <w:rsid w:val="5E43A89B"/>
    <w:rsid w:val="5E5EAE36"/>
    <w:rsid w:val="5EBBB543"/>
    <w:rsid w:val="5F0E75EB"/>
    <w:rsid w:val="5F3AAA8D"/>
    <w:rsid w:val="5FAE4C9A"/>
    <w:rsid w:val="5FFA7E97"/>
    <w:rsid w:val="604A10A5"/>
    <w:rsid w:val="6078A8BE"/>
    <w:rsid w:val="607F39BE"/>
    <w:rsid w:val="61005800"/>
    <w:rsid w:val="61544908"/>
    <w:rsid w:val="617B495D"/>
    <w:rsid w:val="61E1C6DC"/>
    <w:rsid w:val="622752DA"/>
    <w:rsid w:val="623E1465"/>
    <w:rsid w:val="626F7572"/>
    <w:rsid w:val="6276722A"/>
    <w:rsid w:val="629203E0"/>
    <w:rsid w:val="63292B1C"/>
    <w:rsid w:val="646F4F21"/>
    <w:rsid w:val="64B47967"/>
    <w:rsid w:val="654FD294"/>
    <w:rsid w:val="65533984"/>
    <w:rsid w:val="6659CB44"/>
    <w:rsid w:val="66988405"/>
    <w:rsid w:val="66988405"/>
    <w:rsid w:val="6744128B"/>
    <w:rsid w:val="67A9A171"/>
    <w:rsid w:val="68275E25"/>
    <w:rsid w:val="68B743A4"/>
    <w:rsid w:val="68DD088E"/>
    <w:rsid w:val="697A4A6F"/>
    <w:rsid w:val="6998E772"/>
    <w:rsid w:val="69C32E86"/>
    <w:rsid w:val="69F24164"/>
    <w:rsid w:val="6A531405"/>
    <w:rsid w:val="6A559483"/>
    <w:rsid w:val="6A68A120"/>
    <w:rsid w:val="6A858550"/>
    <w:rsid w:val="6AAC92E7"/>
    <w:rsid w:val="6AD225A1"/>
    <w:rsid w:val="6AF36465"/>
    <w:rsid w:val="6AFCF542"/>
    <w:rsid w:val="6B8A35FA"/>
    <w:rsid w:val="6BBCAAE9"/>
    <w:rsid w:val="6C093733"/>
    <w:rsid w:val="6C54A70C"/>
    <w:rsid w:val="6D58265D"/>
    <w:rsid w:val="6D5C2A84"/>
    <w:rsid w:val="6DA646B4"/>
    <w:rsid w:val="6E11923D"/>
    <w:rsid w:val="6E295907"/>
    <w:rsid w:val="6EC5FEFE"/>
    <w:rsid w:val="6F26067C"/>
    <w:rsid w:val="6FD68D84"/>
    <w:rsid w:val="6FF2F85F"/>
    <w:rsid w:val="6FFE0138"/>
    <w:rsid w:val="703EEB79"/>
    <w:rsid w:val="70691AD2"/>
    <w:rsid w:val="71109FE1"/>
    <w:rsid w:val="71C3D7F7"/>
    <w:rsid w:val="71E1747B"/>
    <w:rsid w:val="7218942F"/>
    <w:rsid w:val="72786438"/>
    <w:rsid w:val="73F639F3"/>
    <w:rsid w:val="74130EBF"/>
    <w:rsid w:val="7419C143"/>
    <w:rsid w:val="74282C0A"/>
    <w:rsid w:val="747F722E"/>
    <w:rsid w:val="74C0C3A1"/>
    <w:rsid w:val="7510645E"/>
    <w:rsid w:val="7579B6D8"/>
    <w:rsid w:val="75F09B2D"/>
    <w:rsid w:val="767D0B1B"/>
    <w:rsid w:val="76872E60"/>
    <w:rsid w:val="77045987"/>
    <w:rsid w:val="77166E7B"/>
    <w:rsid w:val="772DFBCB"/>
    <w:rsid w:val="773FEB8F"/>
    <w:rsid w:val="779D328A"/>
    <w:rsid w:val="77D420A8"/>
    <w:rsid w:val="7822FEC1"/>
    <w:rsid w:val="78628953"/>
    <w:rsid w:val="78B23EDC"/>
    <w:rsid w:val="7937DBD4"/>
    <w:rsid w:val="793A2923"/>
    <w:rsid w:val="794CD90B"/>
    <w:rsid w:val="7A0952D5"/>
    <w:rsid w:val="7A659C8D"/>
    <w:rsid w:val="7A83377A"/>
    <w:rsid w:val="7AD4D34C"/>
    <w:rsid w:val="7AE8A96C"/>
    <w:rsid w:val="7B0B80F6"/>
    <w:rsid w:val="7B98A3EE"/>
    <w:rsid w:val="7BB20699"/>
    <w:rsid w:val="7BE9DF9E"/>
    <w:rsid w:val="7C040C21"/>
    <w:rsid w:val="7C1F1278"/>
    <w:rsid w:val="7D9D3D4F"/>
    <w:rsid w:val="7DA88FF2"/>
    <w:rsid w:val="7DB79457"/>
    <w:rsid w:val="7E0288D1"/>
    <w:rsid w:val="7E924045"/>
    <w:rsid w:val="7EA054E9"/>
    <w:rsid w:val="7EBDD1E0"/>
    <w:rsid w:val="7FA853A2"/>
    <w:rsid w:val="7FE2807D"/>
    <w:rsid w:val="7FFB9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0BD3E"/>
  <w15:chartTrackingRefBased/>
  <w15:docId w15:val="{A20FC524-51BA-450A-AD83-1E07B0A26E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b2ef6873f044f7f" /><Relationship Type="http://schemas.openxmlformats.org/officeDocument/2006/relationships/numbering" Target="numbering.xml" Id="R660bf7d797f144a9" /><Relationship Type="http://schemas.openxmlformats.org/officeDocument/2006/relationships/hyperlink" Target="https://www.ncbi.nlm.nih.gov/pmc/articles/PMC9438867/" TargetMode="External" Id="R1a2a773d6b034057" /><Relationship Type="http://schemas.openxmlformats.org/officeDocument/2006/relationships/hyperlink" Target="https://www.ncbi.nlm.nih.gov/pmc/articles/PMC9438867/" TargetMode="External" Id="R9a0bba517c19410a" /><Relationship Type="http://schemas.openxmlformats.org/officeDocument/2006/relationships/hyperlink" Target="https://www.ncbi.nlm.nih.gov/pmc/articles/PMC9438867/" TargetMode="External" Id="R449a1549315d436d" /><Relationship Type="http://schemas.openxmlformats.org/officeDocument/2006/relationships/hyperlink" Target="https://www.police1.com/patrol-issues/articles/476922006-Why-we-need-cops-to-protect-and-serve-not-stand-and-wait/" TargetMode="External" Id="R5f6560b3f7ec458b" /><Relationship Type="http://schemas.openxmlformats.org/officeDocument/2006/relationships/hyperlink" Target="https://www.police1.com/investigations/articles/478243006-How-a-Calif-agencys-theft-deterrent-strategies-led-to-a-40-percent-decline-in-auto-burglaries/" TargetMode="External" Id="R70cb2275978c4f1f" /><Relationship Type="http://schemas.openxmlformats.org/officeDocument/2006/relationships/hyperlink" Target="https://www.ncbi.nlm.nih.gov/pmc/articles/PMC9438867/" TargetMode="External" Id="R207ae942eed34f2c" /><Relationship Type="http://schemas.openxmlformats.org/officeDocument/2006/relationships/hyperlink" Target="https://www.ncbi.nlm.nih.gov/pmc/articles/PMC9438867/" TargetMode="External" Id="R5f7306e9e68648b4" /><Relationship Type="http://schemas.openxmlformats.org/officeDocument/2006/relationships/hyperlink" Target="https://web.archive.org/web/20080414105128/http://ddl.uwinnipeg.ca/ple/files/readings/reading3a.pdf" TargetMode="External" Id="Rda494c204ffe4413" /><Relationship Type="http://schemas.openxmlformats.org/officeDocument/2006/relationships/hyperlink" Target="javascript:;" TargetMode="External" Id="Rd1bdaaf1d05e4c40" /><Relationship Type="http://schemas.openxmlformats.org/officeDocument/2006/relationships/hyperlink" Target="javascript:;" TargetMode="External" Id="R5abfd84ae594435e" /><Relationship Type="http://schemas.openxmlformats.org/officeDocument/2006/relationships/hyperlink" Target="https://doi.org/10.1093/police/pap032" TargetMode="External" Id="Rd0b47f982a0043da" /><Relationship Type="http://schemas.openxmlformats.org/officeDocument/2006/relationships/hyperlink" Target="javascript:;" TargetMode="External" Id="R9e8467f6da61437f" /><Relationship Type="http://schemas.openxmlformats.org/officeDocument/2006/relationships/hyperlink" Target="javascript:;" TargetMode="External" Id="Re72a039a794a484c" /><Relationship Type="http://schemas.openxmlformats.org/officeDocument/2006/relationships/hyperlink" Target="https://doi.org/10.1093/police/pat027" TargetMode="External" Id="R397a6d2d4dc54da7" /><Relationship Type="http://schemas.openxmlformats.org/officeDocument/2006/relationships/hyperlink" Target="https://www.ncbi.nlm.nih.gov/pmc/articles/PMC9438867/" TargetMode="External" Id="R8570d497b39c4dc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2023-07-17T00:18:51.9941609Z</dcterms:created>
  <dcterms:modified xsi:type="dcterms:W3CDTF">2023-07-18T09:57:23.1843387Z</dcterms:modified>
  <dc:creator>Ramona Maria Avram (2234752)</dc:creator>
  <lastModifiedBy>Ramona Maria Avram (2234752)</lastModifiedBy>
</coreProperties>
</file>