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C1AF0" w:rsidRPr="005F01C8" w:rsidRDefault="00F4153B">
      <w:pPr>
        <w:jc w:val="center"/>
        <w:rPr>
          <w:rFonts w:eastAsia="Arial" w:cs="Arial"/>
          <w:color w:val="000000" w:themeColor="text1"/>
        </w:rPr>
      </w:pPr>
      <w:bookmarkStart w:id="0" w:name="_heading=h.9mm9zhqpm7rk" w:colFirst="0" w:colLast="0"/>
      <w:bookmarkEnd w:id="0"/>
      <w:r w:rsidRPr="005F01C8">
        <w:rPr>
          <w:rFonts w:eastAsia="Arial" w:cs="Arial"/>
          <w:noProof/>
          <w:color w:val="000000" w:themeColor="text1"/>
        </w:rPr>
        <w:drawing>
          <wp:inline distT="114300" distB="114300" distL="114300" distR="114300" wp14:anchorId="093B3F42" wp14:editId="40F669F8">
            <wp:extent cx="3787775" cy="1693572"/>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787775" cy="1693572"/>
                    </a:xfrm>
                    <a:prstGeom prst="rect">
                      <a:avLst/>
                    </a:prstGeom>
                    <a:ln/>
                  </pic:spPr>
                </pic:pic>
              </a:graphicData>
            </a:graphic>
          </wp:inline>
        </w:drawing>
      </w:r>
    </w:p>
    <w:p w14:paraId="00000002" w14:textId="77777777" w:rsidR="004C1AF0" w:rsidRPr="005F01C8" w:rsidRDefault="00F4153B">
      <w:pPr>
        <w:jc w:val="center"/>
        <w:rPr>
          <w:rFonts w:eastAsia="Arial" w:cs="Arial"/>
          <w:b/>
          <w:bCs/>
          <w:color w:val="000000" w:themeColor="text1"/>
          <w:sz w:val="34"/>
          <w:szCs w:val="34"/>
        </w:rPr>
      </w:pPr>
      <w:r w:rsidRPr="005F01C8">
        <w:rPr>
          <w:rFonts w:eastAsia="Arial" w:cs="Arial"/>
          <w:b/>
          <w:bCs/>
          <w:color w:val="000000" w:themeColor="text1"/>
          <w:sz w:val="34"/>
          <w:szCs w:val="34"/>
        </w:rPr>
        <w:t>Programme Name: Master of Business Administration</w:t>
      </w:r>
    </w:p>
    <w:p w14:paraId="00000003" w14:textId="77777777" w:rsidR="004C1AF0" w:rsidRPr="005F01C8" w:rsidRDefault="004C1AF0">
      <w:pPr>
        <w:jc w:val="center"/>
        <w:rPr>
          <w:rFonts w:eastAsia="Arial" w:cs="Arial"/>
          <w:b/>
          <w:bCs/>
          <w:color w:val="000000" w:themeColor="text1"/>
          <w:sz w:val="34"/>
          <w:szCs w:val="34"/>
        </w:rPr>
      </w:pPr>
    </w:p>
    <w:p w14:paraId="00000004" w14:textId="77777777" w:rsidR="004C1AF0" w:rsidRPr="005F01C8" w:rsidRDefault="00F4153B">
      <w:pPr>
        <w:jc w:val="center"/>
        <w:rPr>
          <w:rFonts w:eastAsia="Arial" w:cs="Arial"/>
          <w:b/>
          <w:bCs/>
          <w:color w:val="000000" w:themeColor="text1"/>
          <w:sz w:val="34"/>
          <w:szCs w:val="34"/>
        </w:rPr>
      </w:pPr>
      <w:r w:rsidRPr="005F01C8">
        <w:rPr>
          <w:rFonts w:eastAsia="Arial" w:cs="Arial"/>
          <w:b/>
          <w:bCs/>
          <w:color w:val="000000" w:themeColor="text1"/>
          <w:sz w:val="34"/>
          <w:szCs w:val="34"/>
        </w:rPr>
        <w:t>Module Name: Marketing Management</w:t>
      </w:r>
    </w:p>
    <w:p w14:paraId="00000005" w14:textId="77777777" w:rsidR="004C1AF0" w:rsidRPr="005F01C8" w:rsidRDefault="004C1AF0">
      <w:pPr>
        <w:jc w:val="center"/>
        <w:rPr>
          <w:rFonts w:eastAsia="Arial" w:cs="Arial"/>
          <w:b/>
          <w:bCs/>
          <w:color w:val="000000" w:themeColor="text1"/>
          <w:sz w:val="34"/>
          <w:szCs w:val="34"/>
        </w:rPr>
      </w:pPr>
    </w:p>
    <w:p w14:paraId="00000006" w14:textId="77777777" w:rsidR="004C1AF0" w:rsidRPr="005F01C8" w:rsidRDefault="00F4153B">
      <w:pPr>
        <w:jc w:val="center"/>
        <w:rPr>
          <w:rFonts w:eastAsia="Arial" w:cs="Arial"/>
          <w:b/>
          <w:bCs/>
          <w:color w:val="000000" w:themeColor="text1"/>
          <w:sz w:val="34"/>
          <w:szCs w:val="34"/>
        </w:rPr>
      </w:pPr>
      <w:r w:rsidRPr="005F01C8">
        <w:rPr>
          <w:rFonts w:eastAsia="Arial" w:cs="Arial"/>
          <w:b/>
          <w:bCs/>
          <w:color w:val="000000" w:themeColor="text1"/>
          <w:sz w:val="34"/>
          <w:szCs w:val="34"/>
        </w:rPr>
        <w:t xml:space="preserve">Module Code: LCMB7024 </w:t>
      </w:r>
    </w:p>
    <w:p w14:paraId="00000007" w14:textId="77777777" w:rsidR="004C1AF0" w:rsidRPr="005F01C8" w:rsidRDefault="004C1AF0">
      <w:pPr>
        <w:jc w:val="center"/>
        <w:rPr>
          <w:rFonts w:eastAsia="Arial" w:cs="Arial"/>
          <w:b/>
          <w:bCs/>
          <w:color w:val="000000" w:themeColor="text1"/>
          <w:sz w:val="34"/>
          <w:szCs w:val="34"/>
        </w:rPr>
      </w:pPr>
    </w:p>
    <w:p w14:paraId="00000008" w14:textId="77777777" w:rsidR="004C1AF0" w:rsidRPr="005F01C8" w:rsidRDefault="00F4153B">
      <w:pPr>
        <w:jc w:val="center"/>
        <w:rPr>
          <w:rFonts w:eastAsia="Arial" w:cs="Arial"/>
          <w:b/>
          <w:bCs/>
          <w:color w:val="000000" w:themeColor="text1"/>
          <w:sz w:val="34"/>
          <w:szCs w:val="34"/>
        </w:rPr>
      </w:pPr>
      <w:r w:rsidRPr="005F01C8">
        <w:rPr>
          <w:rFonts w:eastAsia="Arial" w:cs="Arial"/>
          <w:b/>
          <w:bCs/>
          <w:color w:val="000000" w:themeColor="text1"/>
          <w:sz w:val="34"/>
          <w:szCs w:val="34"/>
        </w:rPr>
        <w:t>Assignment Title: Assessment component 1: Marketing Environment Analysis</w:t>
      </w:r>
    </w:p>
    <w:p w14:paraId="00000009" w14:textId="77777777" w:rsidR="004C1AF0" w:rsidRPr="005F01C8" w:rsidRDefault="004C1AF0">
      <w:pPr>
        <w:jc w:val="center"/>
        <w:rPr>
          <w:rFonts w:eastAsia="Arial" w:cs="Arial"/>
          <w:b/>
          <w:bCs/>
          <w:color w:val="000000" w:themeColor="text1"/>
          <w:sz w:val="34"/>
          <w:szCs w:val="34"/>
        </w:rPr>
      </w:pPr>
    </w:p>
    <w:p w14:paraId="0000000A" w14:textId="77777777" w:rsidR="004C1AF0" w:rsidRPr="005F01C8" w:rsidRDefault="00F4153B">
      <w:pPr>
        <w:jc w:val="center"/>
        <w:rPr>
          <w:rFonts w:eastAsia="Arial" w:cs="Arial"/>
          <w:b/>
          <w:bCs/>
          <w:color w:val="000000" w:themeColor="text1"/>
          <w:sz w:val="34"/>
          <w:szCs w:val="34"/>
        </w:rPr>
      </w:pPr>
      <w:r w:rsidRPr="005F01C8">
        <w:rPr>
          <w:rFonts w:eastAsia="Arial" w:cs="Arial"/>
          <w:b/>
          <w:bCs/>
          <w:color w:val="000000" w:themeColor="text1"/>
          <w:sz w:val="34"/>
          <w:szCs w:val="34"/>
        </w:rPr>
        <w:t>Lecturer: Taonga Kaonga Sobere-Snithers (Birmingham)</w:t>
      </w:r>
    </w:p>
    <w:p w14:paraId="0000000B" w14:textId="77777777" w:rsidR="004C1AF0" w:rsidRPr="005F01C8" w:rsidRDefault="004C1AF0">
      <w:pPr>
        <w:jc w:val="center"/>
        <w:rPr>
          <w:rFonts w:eastAsia="Arial" w:cs="Arial"/>
          <w:b/>
          <w:bCs/>
          <w:color w:val="000000" w:themeColor="text1"/>
          <w:sz w:val="34"/>
          <w:szCs w:val="34"/>
        </w:rPr>
      </w:pPr>
    </w:p>
    <w:p w14:paraId="0000000C" w14:textId="77777777" w:rsidR="004C1AF0" w:rsidRDefault="004C1AF0">
      <w:pPr>
        <w:jc w:val="center"/>
        <w:rPr>
          <w:rFonts w:eastAsia="Arial" w:cs="Arial"/>
          <w:b/>
          <w:bCs/>
          <w:color w:val="000000" w:themeColor="text1"/>
          <w:sz w:val="34"/>
          <w:szCs w:val="34"/>
        </w:rPr>
      </w:pPr>
    </w:p>
    <w:p w14:paraId="3196F319" w14:textId="77777777" w:rsidR="00430A2F" w:rsidRPr="005F01C8" w:rsidRDefault="00430A2F">
      <w:pPr>
        <w:jc w:val="center"/>
        <w:rPr>
          <w:rFonts w:eastAsia="Arial" w:cs="Arial"/>
          <w:b/>
          <w:bCs/>
          <w:color w:val="000000" w:themeColor="text1"/>
          <w:sz w:val="34"/>
          <w:szCs w:val="34"/>
        </w:rPr>
      </w:pPr>
    </w:p>
    <w:p w14:paraId="0000000D" w14:textId="7A9A36F5" w:rsidR="004C1AF0" w:rsidRPr="005F01C8" w:rsidRDefault="00F4153B">
      <w:pPr>
        <w:jc w:val="center"/>
        <w:rPr>
          <w:rFonts w:eastAsia="Arial" w:cs="Arial"/>
          <w:color w:val="000000" w:themeColor="text1"/>
        </w:rPr>
      </w:pPr>
      <w:r w:rsidRPr="005F01C8">
        <w:rPr>
          <w:rFonts w:eastAsia="Arial" w:cs="Arial"/>
          <w:b/>
          <w:bCs/>
          <w:color w:val="000000" w:themeColor="text1"/>
        </w:rPr>
        <w:t xml:space="preserve">Student Name: </w:t>
      </w:r>
      <w:r w:rsidRPr="005F01C8">
        <w:rPr>
          <w:rFonts w:eastAsia="Arial" w:cs="Arial"/>
          <w:color w:val="000000" w:themeColor="text1"/>
        </w:rPr>
        <w:t>Shivam</w:t>
      </w:r>
      <w:r w:rsidR="000A6064">
        <w:rPr>
          <w:rFonts w:eastAsia="Arial" w:cs="Arial"/>
          <w:color w:val="000000" w:themeColor="text1"/>
        </w:rPr>
        <w:t xml:space="preserve"> Yadav</w:t>
      </w:r>
    </w:p>
    <w:p w14:paraId="0000000E" w14:textId="77777777" w:rsidR="004C1AF0" w:rsidRPr="005F01C8" w:rsidRDefault="00F4153B">
      <w:pPr>
        <w:jc w:val="center"/>
        <w:rPr>
          <w:rFonts w:eastAsia="Arial" w:cs="Arial"/>
          <w:b/>
          <w:bCs/>
          <w:color w:val="000000" w:themeColor="text1"/>
        </w:rPr>
      </w:pPr>
      <w:r w:rsidRPr="005F01C8">
        <w:rPr>
          <w:rFonts w:eastAsia="Arial" w:cs="Arial"/>
          <w:b/>
          <w:bCs/>
          <w:color w:val="000000" w:themeColor="text1"/>
        </w:rPr>
        <w:t xml:space="preserve">Student ID Number: </w:t>
      </w:r>
      <w:sdt>
        <w:sdtPr>
          <w:rPr>
            <w:color w:val="000000" w:themeColor="text1"/>
          </w:rPr>
          <w:tag w:val="goog_rdk_0"/>
          <w:id w:val="1895315348"/>
        </w:sdtPr>
        <w:sdtEndPr/>
        <w:sdtContent/>
      </w:sdt>
      <w:r w:rsidRPr="005F01C8">
        <w:rPr>
          <w:rFonts w:eastAsia="Arial" w:cs="Arial"/>
          <w:color w:val="000000" w:themeColor="text1"/>
        </w:rPr>
        <w:t>2532956</w:t>
      </w:r>
    </w:p>
    <w:p w14:paraId="0000000F" w14:textId="77777777" w:rsidR="004C1AF0" w:rsidRPr="005F01C8" w:rsidRDefault="00F4153B">
      <w:pPr>
        <w:jc w:val="center"/>
        <w:rPr>
          <w:rFonts w:eastAsia="Arial" w:cs="Arial"/>
          <w:b/>
          <w:bCs/>
          <w:color w:val="000000" w:themeColor="text1"/>
        </w:rPr>
      </w:pPr>
      <w:r w:rsidRPr="005F01C8">
        <w:rPr>
          <w:rFonts w:eastAsia="Arial" w:cs="Arial"/>
          <w:b/>
          <w:bCs/>
          <w:color w:val="000000" w:themeColor="text1"/>
        </w:rPr>
        <w:t>Word Count:</w:t>
      </w:r>
      <w:r w:rsidRPr="005F01C8">
        <w:rPr>
          <w:rFonts w:eastAsia="Arial" w:cs="Arial"/>
          <w:color w:val="000000" w:themeColor="text1"/>
        </w:rPr>
        <w:t xml:space="preserve"> 2508</w:t>
      </w:r>
    </w:p>
    <w:p w14:paraId="00000010" w14:textId="53E7D4CF" w:rsidR="004C1AF0" w:rsidRPr="005F01C8" w:rsidRDefault="00F4153B">
      <w:pPr>
        <w:jc w:val="center"/>
        <w:rPr>
          <w:rFonts w:eastAsia="Arial" w:cs="Arial"/>
          <w:color w:val="000000" w:themeColor="text1"/>
        </w:rPr>
      </w:pPr>
      <w:r w:rsidRPr="005F01C8">
        <w:rPr>
          <w:rFonts w:eastAsia="Arial" w:cs="Arial"/>
          <w:b/>
          <w:bCs/>
          <w:color w:val="000000" w:themeColor="text1"/>
        </w:rPr>
        <w:t xml:space="preserve">Submission Date: </w:t>
      </w:r>
      <w:r w:rsidR="005F01C8" w:rsidRPr="005F01C8">
        <w:rPr>
          <w:rFonts w:eastAsia="Arial" w:cs="Arial"/>
          <w:color w:val="000000" w:themeColor="text1"/>
        </w:rPr>
        <w:t>22</w:t>
      </w:r>
      <w:r w:rsidRPr="005F01C8">
        <w:rPr>
          <w:rFonts w:eastAsia="Arial" w:cs="Arial"/>
          <w:color w:val="000000" w:themeColor="text1"/>
        </w:rPr>
        <w:t>-10-2026</w:t>
      </w:r>
    </w:p>
    <w:p w14:paraId="00000011" w14:textId="77777777" w:rsidR="004C1AF0" w:rsidRPr="005F01C8" w:rsidRDefault="00F4153B">
      <w:pPr>
        <w:rPr>
          <w:rFonts w:eastAsia="Arial" w:cs="Arial"/>
          <w:color w:val="000000" w:themeColor="text1"/>
        </w:rPr>
      </w:pPr>
      <w:r w:rsidRPr="005F01C8">
        <w:rPr>
          <w:color w:val="000000" w:themeColor="text1"/>
        </w:rPr>
        <w:br w:type="page"/>
      </w:r>
    </w:p>
    <w:p w14:paraId="00000012" w14:textId="77777777" w:rsidR="004C1AF0" w:rsidRPr="005F01C8" w:rsidRDefault="00F4153B">
      <w:pPr>
        <w:jc w:val="center"/>
        <w:rPr>
          <w:rFonts w:eastAsia="Arial" w:cs="Arial"/>
          <w:b/>
          <w:bCs/>
          <w:color w:val="000000" w:themeColor="text1"/>
          <w:sz w:val="28"/>
          <w:szCs w:val="28"/>
        </w:rPr>
      </w:pPr>
      <w:r w:rsidRPr="005F01C8">
        <w:rPr>
          <w:rFonts w:eastAsia="Arial" w:cs="Arial"/>
          <w:b/>
          <w:bCs/>
          <w:color w:val="000000" w:themeColor="text1"/>
          <w:sz w:val="28"/>
          <w:szCs w:val="28"/>
        </w:rPr>
        <w:lastRenderedPageBreak/>
        <w:t>Table of Contents</w:t>
      </w:r>
    </w:p>
    <w:sdt>
      <w:sdtPr>
        <w:rPr>
          <w:color w:val="000000" w:themeColor="text1"/>
        </w:rPr>
        <w:id w:val="178550225"/>
        <w:docPartObj>
          <w:docPartGallery w:val="Table of Contents"/>
          <w:docPartUnique/>
        </w:docPartObj>
      </w:sdtPr>
      <w:sdtEndPr/>
      <w:sdtContent>
        <w:p w14:paraId="1624062B" w14:textId="59FD19F2" w:rsidR="005F01C8" w:rsidRDefault="00F4153B">
          <w:pPr>
            <w:pStyle w:val="TOC1"/>
            <w:tabs>
              <w:tab w:val="right" w:pos="9350"/>
            </w:tabs>
            <w:rPr>
              <w:rFonts w:asciiTheme="minorHAnsi" w:eastAsiaTheme="minorEastAsia" w:hAnsiTheme="minorHAnsi" w:cstheme="minorBidi"/>
              <w:noProof/>
              <w:kern w:val="2"/>
              <w:lang w:eastAsia="zh-CN"/>
              <w14:ligatures w14:val="standardContextual"/>
            </w:rPr>
          </w:pPr>
          <w:r w:rsidRPr="005F01C8">
            <w:rPr>
              <w:color w:val="000000" w:themeColor="text1"/>
            </w:rPr>
            <w:fldChar w:fldCharType="begin"/>
          </w:r>
          <w:r w:rsidRPr="005F01C8">
            <w:rPr>
              <w:color w:val="000000" w:themeColor="text1"/>
            </w:rPr>
            <w:instrText xml:space="preserve"> TOC \h \u \z \t "Heading 1,1,Heading 2,2,Heading 3,3,Heading 4,4,Heading 5,5,Heading 6,6,"</w:instrText>
          </w:r>
          <w:r w:rsidRPr="005F01C8">
            <w:rPr>
              <w:color w:val="000000" w:themeColor="text1"/>
            </w:rPr>
            <w:fldChar w:fldCharType="separate"/>
          </w:r>
          <w:hyperlink w:anchor="_Toc243575924" w:history="1">
            <w:r w:rsidR="005F01C8" w:rsidRPr="00C77F69">
              <w:rPr>
                <w:rStyle w:val="Hyperlink"/>
                <w:rFonts w:eastAsia="Arial" w:cs="Arial"/>
                <w:noProof/>
              </w:rPr>
              <w:t>Introduction &amp; Company Background</w:t>
            </w:r>
            <w:r w:rsidR="005F01C8">
              <w:rPr>
                <w:noProof/>
                <w:webHidden/>
              </w:rPr>
              <w:tab/>
            </w:r>
            <w:r w:rsidR="005F01C8">
              <w:rPr>
                <w:noProof/>
                <w:webHidden/>
              </w:rPr>
              <w:fldChar w:fldCharType="begin"/>
            </w:r>
            <w:r w:rsidR="005F01C8">
              <w:rPr>
                <w:noProof/>
                <w:webHidden/>
              </w:rPr>
              <w:instrText xml:space="preserve"> PAGEREF _Toc243575924 \h </w:instrText>
            </w:r>
            <w:r w:rsidR="005F01C8">
              <w:rPr>
                <w:noProof/>
                <w:webHidden/>
              </w:rPr>
            </w:r>
            <w:r w:rsidR="005F01C8">
              <w:rPr>
                <w:noProof/>
                <w:webHidden/>
              </w:rPr>
              <w:fldChar w:fldCharType="separate"/>
            </w:r>
            <w:r w:rsidR="005F01C8">
              <w:rPr>
                <w:noProof/>
                <w:webHidden/>
              </w:rPr>
              <w:t>3</w:t>
            </w:r>
            <w:r w:rsidR="005F01C8">
              <w:rPr>
                <w:noProof/>
                <w:webHidden/>
              </w:rPr>
              <w:fldChar w:fldCharType="end"/>
            </w:r>
          </w:hyperlink>
        </w:p>
        <w:p w14:paraId="7F0D53C5" w14:textId="73CB71A9" w:rsidR="005F01C8" w:rsidRDefault="005F01C8">
          <w:pPr>
            <w:pStyle w:val="TOC1"/>
            <w:tabs>
              <w:tab w:val="right" w:pos="9350"/>
            </w:tabs>
            <w:rPr>
              <w:rFonts w:asciiTheme="minorHAnsi" w:eastAsiaTheme="minorEastAsia" w:hAnsiTheme="minorHAnsi" w:cstheme="minorBidi"/>
              <w:noProof/>
              <w:kern w:val="2"/>
              <w:lang w:eastAsia="zh-CN"/>
              <w14:ligatures w14:val="standardContextual"/>
            </w:rPr>
          </w:pPr>
          <w:hyperlink w:anchor="_Toc243575925" w:history="1">
            <w:r w:rsidRPr="00C77F69">
              <w:rPr>
                <w:rStyle w:val="Hyperlink"/>
                <w:rFonts w:eastAsia="Arial" w:cs="Arial"/>
                <w:noProof/>
              </w:rPr>
              <w:t>Task 1: Marketing Environment Analysis</w:t>
            </w:r>
            <w:r>
              <w:rPr>
                <w:noProof/>
                <w:webHidden/>
              </w:rPr>
              <w:tab/>
            </w:r>
            <w:r>
              <w:rPr>
                <w:noProof/>
                <w:webHidden/>
              </w:rPr>
              <w:fldChar w:fldCharType="begin"/>
            </w:r>
            <w:r>
              <w:rPr>
                <w:noProof/>
                <w:webHidden/>
              </w:rPr>
              <w:instrText xml:space="preserve"> PAGEREF _Toc243575925 \h </w:instrText>
            </w:r>
            <w:r>
              <w:rPr>
                <w:noProof/>
                <w:webHidden/>
              </w:rPr>
            </w:r>
            <w:r>
              <w:rPr>
                <w:noProof/>
                <w:webHidden/>
              </w:rPr>
              <w:fldChar w:fldCharType="separate"/>
            </w:r>
            <w:r>
              <w:rPr>
                <w:noProof/>
                <w:webHidden/>
              </w:rPr>
              <w:t>3</w:t>
            </w:r>
            <w:r>
              <w:rPr>
                <w:noProof/>
                <w:webHidden/>
              </w:rPr>
              <w:fldChar w:fldCharType="end"/>
            </w:r>
          </w:hyperlink>
        </w:p>
        <w:p w14:paraId="3D539697" w14:textId="104C1038" w:rsidR="005F01C8" w:rsidRDefault="005F01C8">
          <w:pPr>
            <w:pStyle w:val="TOC1"/>
            <w:tabs>
              <w:tab w:val="right" w:pos="9350"/>
            </w:tabs>
            <w:rPr>
              <w:rFonts w:asciiTheme="minorHAnsi" w:eastAsiaTheme="minorEastAsia" w:hAnsiTheme="minorHAnsi" w:cstheme="minorBidi"/>
              <w:noProof/>
              <w:kern w:val="2"/>
              <w:lang w:eastAsia="zh-CN"/>
              <w14:ligatures w14:val="standardContextual"/>
            </w:rPr>
          </w:pPr>
          <w:hyperlink w:anchor="_Toc243575926" w:history="1">
            <w:r w:rsidRPr="00C77F69">
              <w:rPr>
                <w:rStyle w:val="Hyperlink"/>
                <w:rFonts w:eastAsia="Arial" w:cs="Arial"/>
                <w:noProof/>
              </w:rPr>
              <w:t>Task 2: Strategic Growth &amp; Competitive Positioning</w:t>
            </w:r>
            <w:r>
              <w:rPr>
                <w:noProof/>
                <w:webHidden/>
              </w:rPr>
              <w:tab/>
            </w:r>
            <w:r>
              <w:rPr>
                <w:noProof/>
                <w:webHidden/>
              </w:rPr>
              <w:fldChar w:fldCharType="begin"/>
            </w:r>
            <w:r>
              <w:rPr>
                <w:noProof/>
                <w:webHidden/>
              </w:rPr>
              <w:instrText xml:space="preserve"> PAGEREF _Toc243575926 \h </w:instrText>
            </w:r>
            <w:r>
              <w:rPr>
                <w:noProof/>
                <w:webHidden/>
              </w:rPr>
            </w:r>
            <w:r>
              <w:rPr>
                <w:noProof/>
                <w:webHidden/>
              </w:rPr>
              <w:fldChar w:fldCharType="separate"/>
            </w:r>
            <w:r>
              <w:rPr>
                <w:noProof/>
                <w:webHidden/>
              </w:rPr>
              <w:t>8</w:t>
            </w:r>
            <w:r>
              <w:rPr>
                <w:noProof/>
                <w:webHidden/>
              </w:rPr>
              <w:fldChar w:fldCharType="end"/>
            </w:r>
          </w:hyperlink>
        </w:p>
        <w:p w14:paraId="4AC4F998" w14:textId="757DA3D5" w:rsidR="005F01C8" w:rsidRDefault="005F01C8">
          <w:pPr>
            <w:pStyle w:val="TOC1"/>
            <w:tabs>
              <w:tab w:val="right" w:pos="9350"/>
            </w:tabs>
            <w:rPr>
              <w:rFonts w:asciiTheme="minorHAnsi" w:eastAsiaTheme="minorEastAsia" w:hAnsiTheme="minorHAnsi" w:cstheme="minorBidi"/>
              <w:noProof/>
              <w:kern w:val="2"/>
              <w:lang w:eastAsia="zh-CN"/>
              <w14:ligatures w14:val="standardContextual"/>
            </w:rPr>
          </w:pPr>
          <w:hyperlink w:anchor="_Toc243575927" w:history="1">
            <w:r w:rsidRPr="00C77F69">
              <w:rPr>
                <w:rStyle w:val="Hyperlink"/>
                <w:rFonts w:eastAsia="Arial" w:cs="Arial"/>
                <w:noProof/>
              </w:rPr>
              <w:t>Task 3: Managerial &amp; Professional Reflection</w:t>
            </w:r>
            <w:r>
              <w:rPr>
                <w:noProof/>
                <w:webHidden/>
              </w:rPr>
              <w:tab/>
            </w:r>
            <w:r>
              <w:rPr>
                <w:noProof/>
                <w:webHidden/>
              </w:rPr>
              <w:fldChar w:fldCharType="begin"/>
            </w:r>
            <w:r>
              <w:rPr>
                <w:noProof/>
                <w:webHidden/>
              </w:rPr>
              <w:instrText xml:space="preserve"> PAGEREF _Toc243575927 \h </w:instrText>
            </w:r>
            <w:r>
              <w:rPr>
                <w:noProof/>
                <w:webHidden/>
              </w:rPr>
            </w:r>
            <w:r>
              <w:rPr>
                <w:noProof/>
                <w:webHidden/>
              </w:rPr>
              <w:fldChar w:fldCharType="separate"/>
            </w:r>
            <w:r>
              <w:rPr>
                <w:noProof/>
                <w:webHidden/>
              </w:rPr>
              <w:t>11</w:t>
            </w:r>
            <w:r>
              <w:rPr>
                <w:noProof/>
                <w:webHidden/>
              </w:rPr>
              <w:fldChar w:fldCharType="end"/>
            </w:r>
          </w:hyperlink>
        </w:p>
        <w:p w14:paraId="01A814CA" w14:textId="3F89CB89" w:rsidR="005F01C8" w:rsidRDefault="005F01C8">
          <w:pPr>
            <w:pStyle w:val="TOC1"/>
            <w:tabs>
              <w:tab w:val="right" w:pos="9350"/>
            </w:tabs>
            <w:rPr>
              <w:rFonts w:asciiTheme="minorHAnsi" w:eastAsiaTheme="minorEastAsia" w:hAnsiTheme="minorHAnsi" w:cstheme="minorBidi"/>
              <w:noProof/>
              <w:kern w:val="2"/>
              <w:lang w:eastAsia="zh-CN"/>
              <w14:ligatures w14:val="standardContextual"/>
            </w:rPr>
          </w:pPr>
          <w:hyperlink w:anchor="_Toc243575928" w:history="1">
            <w:r w:rsidRPr="00C77F69">
              <w:rPr>
                <w:rStyle w:val="Hyperlink"/>
                <w:rFonts w:eastAsia="Arial" w:cs="Arial"/>
                <w:noProof/>
              </w:rPr>
              <w:t>Reference list</w:t>
            </w:r>
            <w:r>
              <w:rPr>
                <w:noProof/>
                <w:webHidden/>
              </w:rPr>
              <w:tab/>
            </w:r>
            <w:r>
              <w:rPr>
                <w:noProof/>
                <w:webHidden/>
              </w:rPr>
              <w:fldChar w:fldCharType="begin"/>
            </w:r>
            <w:r>
              <w:rPr>
                <w:noProof/>
                <w:webHidden/>
              </w:rPr>
              <w:instrText xml:space="preserve"> PAGEREF _Toc243575928 \h </w:instrText>
            </w:r>
            <w:r>
              <w:rPr>
                <w:noProof/>
                <w:webHidden/>
              </w:rPr>
            </w:r>
            <w:r>
              <w:rPr>
                <w:noProof/>
                <w:webHidden/>
              </w:rPr>
              <w:fldChar w:fldCharType="separate"/>
            </w:r>
            <w:r>
              <w:rPr>
                <w:noProof/>
                <w:webHidden/>
              </w:rPr>
              <w:t>13</w:t>
            </w:r>
            <w:r>
              <w:rPr>
                <w:noProof/>
                <w:webHidden/>
              </w:rPr>
              <w:fldChar w:fldCharType="end"/>
            </w:r>
          </w:hyperlink>
        </w:p>
        <w:p w14:paraId="00000018" w14:textId="28323152" w:rsidR="004C1AF0" w:rsidRPr="005F01C8" w:rsidRDefault="00F4153B">
          <w:pPr>
            <w:widowControl w:val="0"/>
            <w:tabs>
              <w:tab w:val="right" w:pos="9360"/>
            </w:tabs>
            <w:spacing w:before="60" w:line="480" w:lineRule="auto"/>
            <w:jc w:val="left"/>
            <w:rPr>
              <w:rFonts w:eastAsia="Arial" w:cs="Arial"/>
              <w:b/>
              <w:bCs/>
              <w:color w:val="000000" w:themeColor="text1"/>
            </w:rPr>
          </w:pPr>
          <w:r w:rsidRPr="005F01C8">
            <w:rPr>
              <w:color w:val="000000" w:themeColor="text1"/>
            </w:rPr>
            <w:fldChar w:fldCharType="end"/>
          </w:r>
        </w:p>
      </w:sdtContent>
    </w:sdt>
    <w:p w14:paraId="00000019" w14:textId="77777777" w:rsidR="004C1AF0" w:rsidRPr="005F01C8" w:rsidRDefault="004C1AF0">
      <w:pPr>
        <w:spacing w:line="480" w:lineRule="auto"/>
        <w:jc w:val="left"/>
        <w:rPr>
          <w:rFonts w:eastAsia="Arial" w:cs="Arial"/>
          <w:b/>
          <w:bCs/>
          <w:color w:val="000000" w:themeColor="text1"/>
          <w:sz w:val="34"/>
          <w:szCs w:val="34"/>
        </w:rPr>
      </w:pPr>
    </w:p>
    <w:p w14:paraId="0000001A" w14:textId="77777777" w:rsidR="004C1AF0" w:rsidRPr="005F01C8" w:rsidRDefault="004C1AF0">
      <w:pPr>
        <w:jc w:val="center"/>
        <w:rPr>
          <w:rFonts w:eastAsia="Arial" w:cs="Arial"/>
          <w:b/>
          <w:bCs/>
          <w:color w:val="000000" w:themeColor="text1"/>
          <w:sz w:val="34"/>
          <w:szCs w:val="34"/>
        </w:rPr>
      </w:pPr>
    </w:p>
    <w:p w14:paraId="0000001B" w14:textId="77777777" w:rsidR="004C1AF0" w:rsidRPr="005F01C8" w:rsidRDefault="004C1AF0">
      <w:pPr>
        <w:jc w:val="left"/>
        <w:rPr>
          <w:rFonts w:eastAsia="Arial" w:cs="Arial"/>
          <w:b/>
          <w:bCs/>
          <w:color w:val="000000" w:themeColor="text1"/>
          <w:sz w:val="34"/>
          <w:szCs w:val="34"/>
        </w:rPr>
      </w:pPr>
    </w:p>
    <w:p w14:paraId="0000001C" w14:textId="77777777" w:rsidR="004C1AF0" w:rsidRPr="005F01C8" w:rsidRDefault="00F4153B">
      <w:pPr>
        <w:pStyle w:val="Heading1"/>
        <w:rPr>
          <w:rFonts w:eastAsia="Arial" w:cs="Arial"/>
          <w:color w:val="000000" w:themeColor="text1"/>
        </w:rPr>
      </w:pPr>
      <w:bookmarkStart w:id="1" w:name="_heading=h.2bjpmjb0nwr3" w:colFirst="0" w:colLast="0"/>
      <w:bookmarkEnd w:id="1"/>
      <w:r w:rsidRPr="005F01C8">
        <w:rPr>
          <w:color w:val="000000" w:themeColor="text1"/>
        </w:rPr>
        <w:br w:type="page"/>
      </w:r>
    </w:p>
    <w:p w14:paraId="0000001D" w14:textId="77777777" w:rsidR="004C1AF0" w:rsidRPr="005F01C8" w:rsidRDefault="00F4153B">
      <w:pPr>
        <w:pStyle w:val="Heading1"/>
        <w:rPr>
          <w:rFonts w:eastAsia="Arial" w:cs="Arial"/>
          <w:color w:val="000000" w:themeColor="text1"/>
        </w:rPr>
      </w:pPr>
      <w:bookmarkStart w:id="2" w:name="_Toc243575924"/>
      <w:r w:rsidRPr="005F01C8">
        <w:rPr>
          <w:rFonts w:eastAsia="Arial" w:cs="Arial"/>
          <w:color w:val="000000" w:themeColor="text1"/>
        </w:rPr>
        <w:lastRenderedPageBreak/>
        <w:t>Introduction &amp; Company Background</w:t>
      </w:r>
      <w:bookmarkEnd w:id="2"/>
    </w:p>
    <w:p w14:paraId="0000001E" w14:textId="77777777" w:rsidR="004C1AF0" w:rsidRPr="005F01C8" w:rsidRDefault="00F4153B">
      <w:pPr>
        <w:rPr>
          <w:rFonts w:eastAsia="Arial" w:cs="Arial"/>
          <w:color w:val="000000" w:themeColor="text1"/>
        </w:rPr>
      </w:pPr>
      <w:r w:rsidRPr="005F01C8">
        <w:rPr>
          <w:rFonts w:eastAsia="Arial" w:cs="Arial"/>
          <w:color w:val="000000" w:themeColor="text1"/>
        </w:rPr>
        <w:t>Tata Steel Limited is Asia’s first integrated private steel company, founded by Jamsetji Nusserwanji in 1907 and headquartered in Mumbai, India. The company has substantial steel production capacity, including the Jamshedpur plant (12 million metric tonnes per annum [MnTPA]), Kalinganagar plant (3 MnTPA), and Tata Steel BSL/Bhushan Steel (5.6 MnTPA). Its engineering and R&amp;D teams have developed 155 new types or grades of steel products to meet specific customer needs (TATA STEEL, 2026b). The company has incorporated an internal carbon pricing (ICP) mechanism into its capital investment decisions, pricing its emissions at US$15 per tonne of CO₂ (TATA STEEL, 2026b). This assessment evaluates the external factors influencing Tata Steel’s transition towards lower-carbon products and recommends a strategic growth approach using the Ansoff Matrix.</w:t>
      </w:r>
    </w:p>
    <w:p w14:paraId="0000001F" w14:textId="77777777" w:rsidR="004C1AF0" w:rsidRPr="005F01C8" w:rsidRDefault="00F4153B">
      <w:pPr>
        <w:pStyle w:val="Heading1"/>
        <w:rPr>
          <w:rFonts w:eastAsia="Arial" w:cs="Arial"/>
          <w:color w:val="000000" w:themeColor="text1"/>
        </w:rPr>
      </w:pPr>
      <w:bookmarkStart w:id="3" w:name="_Toc243575925"/>
      <w:r w:rsidRPr="005F01C8">
        <w:rPr>
          <w:rFonts w:eastAsia="Arial" w:cs="Arial"/>
          <w:color w:val="000000" w:themeColor="text1"/>
        </w:rPr>
        <w:t>Task 1: Marketing Environment Analysis</w:t>
      </w:r>
      <w:bookmarkEnd w:id="3"/>
    </w:p>
    <w:p w14:paraId="00000020" w14:textId="77777777" w:rsidR="004C1AF0" w:rsidRPr="005F01C8" w:rsidRDefault="00F4153B">
      <w:pPr>
        <w:rPr>
          <w:rFonts w:eastAsia="Arial" w:cs="Arial"/>
          <w:b/>
          <w:bCs/>
          <w:color w:val="000000" w:themeColor="text1"/>
        </w:rPr>
      </w:pPr>
      <w:r w:rsidRPr="005F01C8">
        <w:rPr>
          <w:rFonts w:eastAsia="Arial" w:cs="Arial"/>
          <w:b/>
          <w:bCs/>
          <w:color w:val="000000" w:themeColor="text1"/>
        </w:rPr>
        <w:t>Company’s Current Carbon Footprint &amp; Industry Context</w:t>
      </w:r>
    </w:p>
    <w:p w14:paraId="00000021" w14:textId="77777777" w:rsidR="004C1AF0" w:rsidRPr="005F01C8" w:rsidRDefault="00F4153B">
      <w:pPr>
        <w:rPr>
          <w:rFonts w:eastAsia="Arial" w:cs="Arial"/>
          <w:color w:val="000000" w:themeColor="text1"/>
        </w:rPr>
      </w:pPr>
      <w:r w:rsidRPr="005F01C8">
        <w:rPr>
          <w:rFonts w:eastAsia="Arial" w:cs="Arial"/>
          <w:color w:val="000000" w:themeColor="text1"/>
        </w:rPr>
        <w:t>Steel has been central to human progress for three thousand years and remains the cost-effective material for engineering and construction. According to the independent intergovernmental organisation International Energy Agency (IEA), the steel sector releases 2.6 gigatonnes of CO2 per annum, accounting for 7-9% of global anthropogenic CO</w:t>
      </w:r>
      <w:r w:rsidRPr="005F01C8">
        <w:rPr>
          <w:rFonts w:eastAsia="Arial" w:cs="Arial"/>
          <w:color w:val="000000" w:themeColor="text1"/>
          <w:vertAlign w:val="subscript"/>
        </w:rPr>
        <w:t>2</w:t>
      </w:r>
      <w:r w:rsidRPr="005F01C8">
        <w:rPr>
          <w:rFonts w:eastAsia="Arial" w:cs="Arial"/>
          <w:color w:val="000000" w:themeColor="text1"/>
        </w:rPr>
        <w:t xml:space="preserve"> emissions (TATA STEEL, 2026d). In this regard, Tata Steel is deploying many initiatives, including using ferrous scrap in steelmaking, managing water scarcity, and using energy-intensive processes, as part of its sustainability commitment to reach net-zero emissions by 2045 (TATA STEEL, 2026a).   </w:t>
      </w:r>
      <w:r w:rsidRPr="005F01C8">
        <w:rPr>
          <w:rFonts w:eastAsia="Arial" w:cs="Arial"/>
          <w:color w:val="000000" w:themeColor="text1"/>
          <w:vertAlign w:val="subscript"/>
        </w:rPr>
        <w:t xml:space="preserve"> </w:t>
      </w:r>
      <w:r w:rsidRPr="005F01C8">
        <w:rPr>
          <w:rFonts w:eastAsia="Arial" w:cs="Arial"/>
          <w:color w:val="000000" w:themeColor="text1"/>
        </w:rPr>
        <w:t xml:space="preserve">  </w:t>
      </w:r>
    </w:p>
    <w:p w14:paraId="00000022" w14:textId="77777777" w:rsidR="004C1AF0" w:rsidRPr="005F01C8" w:rsidRDefault="00F4153B">
      <w:pPr>
        <w:rPr>
          <w:rFonts w:eastAsia="Arial" w:cs="Arial"/>
          <w:b/>
          <w:bCs/>
          <w:color w:val="000000" w:themeColor="text1"/>
        </w:rPr>
      </w:pPr>
      <w:r w:rsidRPr="005F01C8">
        <w:rPr>
          <w:rFonts w:eastAsia="Arial" w:cs="Arial"/>
          <w:b/>
          <w:bCs/>
          <w:color w:val="000000" w:themeColor="text1"/>
        </w:rPr>
        <w:t xml:space="preserve">External Actor 1:  Environment </w:t>
      </w:r>
    </w:p>
    <w:p w14:paraId="00000023" w14:textId="77777777" w:rsidR="004C1AF0" w:rsidRPr="005F01C8" w:rsidRDefault="00F4153B">
      <w:pPr>
        <w:rPr>
          <w:rFonts w:eastAsia="Arial" w:cs="Arial"/>
          <w:color w:val="000000" w:themeColor="text1"/>
        </w:rPr>
      </w:pPr>
      <w:r w:rsidRPr="005F01C8">
        <w:rPr>
          <w:rFonts w:eastAsia="Arial" w:cs="Arial"/>
          <w:color w:val="000000" w:themeColor="text1"/>
        </w:rPr>
        <w:t>India ranks as the world’s second-largest steel producer, accounting for 5% of global output (Mallett and Pal, 2022). The Indian steel industry is central to national development, supporting infrastructure and urbanisation, generating employment, and underpinning sectors such as automotive manufacturing, defence, and renewable energy infrastructure. Despite its growth, India’s steel sector is among the world’s most carbon-intensive. A 2022 European Commission study reported that India's domestic steel manufacturing generates nearly 2.6 tonnes of CO₂ per tonne of crude steel (Kolisnichenko, 2024).</w:t>
      </w:r>
    </w:p>
    <w:p w14:paraId="00000024" w14:textId="77777777" w:rsidR="004C1AF0" w:rsidRPr="005F01C8" w:rsidRDefault="00F4153B">
      <w:pPr>
        <w:rPr>
          <w:rFonts w:eastAsia="Arial" w:cs="Arial"/>
          <w:color w:val="000000" w:themeColor="text1"/>
        </w:rPr>
      </w:pPr>
      <w:r w:rsidRPr="005F01C8">
        <w:rPr>
          <w:rFonts w:eastAsia="Arial" w:cs="Arial"/>
          <w:color w:val="000000" w:themeColor="text1"/>
        </w:rPr>
        <w:lastRenderedPageBreak/>
        <w:t>Similarly, Arora (2026) reported that Indian steel manufacturing produces roughly 2.65 million tonnes of CO</w:t>
      </w:r>
      <w:r w:rsidRPr="005F01C8">
        <w:rPr>
          <w:rFonts w:eastAsia="Arial" w:cs="Arial"/>
          <w:color w:val="000000" w:themeColor="text1"/>
          <w:vertAlign w:val="subscript"/>
        </w:rPr>
        <w:t>2</w:t>
      </w:r>
      <w:r w:rsidRPr="005F01C8">
        <w:rPr>
          <w:rFonts w:eastAsia="Arial" w:cs="Arial"/>
          <w:color w:val="000000" w:themeColor="text1"/>
        </w:rPr>
        <w:t xml:space="preserve"> per tonne of finished steel, which exceeds the international average of 2 tonnes by about 32%. Consequently, the Indian steel industry is responsible for 10% to 12% of the country’s total greenhouse gas (GHG) emissions. In addition, Climate Science (2024) stated that steel production produces harmful and hazardous pollutants, including carbon monoxide (CO), sulfur dioxide (SO</w:t>
      </w:r>
      <w:r w:rsidRPr="005F01C8">
        <w:rPr>
          <w:rFonts w:eastAsia="Arial" w:cs="Arial"/>
          <w:color w:val="000000" w:themeColor="text1"/>
          <w:vertAlign w:val="subscript"/>
        </w:rPr>
        <w:t>2</w:t>
      </w:r>
      <w:r w:rsidRPr="005F01C8">
        <w:rPr>
          <w:rFonts w:eastAsia="Arial" w:cs="Arial"/>
          <w:color w:val="000000" w:themeColor="text1"/>
        </w:rPr>
        <w:t>) and nitrous oxide (N</w:t>
      </w:r>
      <w:r w:rsidRPr="005F01C8">
        <w:rPr>
          <w:rFonts w:eastAsia="Arial" w:cs="Arial"/>
          <w:color w:val="000000" w:themeColor="text1"/>
          <w:vertAlign w:val="subscript"/>
        </w:rPr>
        <w:t>2</w:t>
      </w:r>
      <w:r w:rsidRPr="005F01C8">
        <w:rPr>
          <w:rFonts w:eastAsia="Arial" w:cs="Arial"/>
          <w:color w:val="000000" w:themeColor="text1"/>
        </w:rPr>
        <w:t xml:space="preserve">O), which lead to acid rain that damages both soil and plants. </w:t>
      </w:r>
    </w:p>
    <w:p w14:paraId="00000025" w14:textId="77777777" w:rsidR="004C1AF0" w:rsidRPr="005F01C8" w:rsidRDefault="00F4153B">
      <w:pPr>
        <w:jc w:val="center"/>
        <w:rPr>
          <w:rFonts w:eastAsia="Arial" w:cs="Arial"/>
          <w:color w:val="000000" w:themeColor="text1"/>
        </w:rPr>
      </w:pPr>
      <w:r w:rsidRPr="005F01C8">
        <w:rPr>
          <w:rFonts w:eastAsia="Arial" w:cs="Arial"/>
          <w:noProof/>
          <w:color w:val="000000" w:themeColor="text1"/>
        </w:rPr>
        <w:drawing>
          <wp:inline distT="114300" distB="114300" distL="114300" distR="114300" wp14:anchorId="484C2244" wp14:editId="2BCB5602">
            <wp:extent cx="4591050" cy="2395330"/>
            <wp:effectExtent l="25400" t="25400" r="25400" b="2540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b="9099"/>
                    <a:stretch>
                      <a:fillRect/>
                    </a:stretch>
                  </pic:blipFill>
                  <pic:spPr>
                    <a:xfrm>
                      <a:off x="0" y="0"/>
                      <a:ext cx="4591050" cy="2395330"/>
                    </a:xfrm>
                    <a:prstGeom prst="rect">
                      <a:avLst/>
                    </a:prstGeom>
                    <a:ln w="25400">
                      <a:solidFill>
                        <a:srgbClr val="000000"/>
                      </a:solidFill>
                      <a:prstDash val="solid"/>
                    </a:ln>
                  </pic:spPr>
                </pic:pic>
              </a:graphicData>
            </a:graphic>
          </wp:inline>
        </w:drawing>
      </w:r>
    </w:p>
    <w:p w14:paraId="00000026" w14:textId="77777777" w:rsidR="004C1AF0" w:rsidRPr="005F01C8" w:rsidRDefault="00F4153B">
      <w:pPr>
        <w:jc w:val="center"/>
        <w:rPr>
          <w:rFonts w:eastAsia="Arial" w:cs="Arial"/>
          <w:b/>
          <w:bCs/>
          <w:i/>
          <w:iCs/>
          <w:color w:val="000000" w:themeColor="text1"/>
        </w:rPr>
      </w:pPr>
      <w:r w:rsidRPr="005F01C8">
        <w:rPr>
          <w:rFonts w:eastAsia="Arial" w:cs="Arial"/>
          <w:b/>
          <w:bCs/>
          <w:i/>
          <w:iCs/>
          <w:color w:val="000000" w:themeColor="text1"/>
        </w:rPr>
        <w:t xml:space="preserve">Figure 1: High-Energy Intensive Steel Manufacturing Process </w:t>
      </w:r>
    </w:p>
    <w:p w14:paraId="00000027" w14:textId="77777777" w:rsidR="004C1AF0" w:rsidRPr="005F01C8" w:rsidRDefault="00F4153B">
      <w:pPr>
        <w:jc w:val="center"/>
        <w:rPr>
          <w:rFonts w:eastAsia="Arial" w:cs="Arial"/>
          <w:color w:val="000000" w:themeColor="text1"/>
        </w:rPr>
      </w:pPr>
      <w:r w:rsidRPr="005F01C8">
        <w:rPr>
          <w:rFonts w:eastAsia="Arial" w:cs="Arial"/>
          <w:color w:val="000000" w:themeColor="text1"/>
        </w:rPr>
        <w:t>(Source: Climate Science, 2024)</w:t>
      </w:r>
    </w:p>
    <w:p w14:paraId="00000028" w14:textId="77777777" w:rsidR="004C1AF0" w:rsidRPr="005F01C8" w:rsidRDefault="00F4153B">
      <w:pPr>
        <w:rPr>
          <w:rFonts w:eastAsia="Arial" w:cs="Arial"/>
          <w:color w:val="000000" w:themeColor="text1"/>
        </w:rPr>
      </w:pPr>
      <w:r w:rsidRPr="005F01C8">
        <w:rPr>
          <w:rFonts w:eastAsia="Arial" w:cs="Arial"/>
          <w:color w:val="000000" w:themeColor="text1"/>
        </w:rPr>
        <w:t>The steel sector significantly contributes to climate change because its manufacturing processes are highly energy-intensive, rely heavily on coke (produced by heating coal) and fossil fuels.  For every tonne of steel produced, approximately 1.9 tonnes of CO</w:t>
      </w:r>
      <w:r w:rsidRPr="005F01C8">
        <w:rPr>
          <w:rFonts w:eastAsia="Arial" w:cs="Arial"/>
          <w:color w:val="000000" w:themeColor="text1"/>
          <w:vertAlign w:val="subscript"/>
        </w:rPr>
        <w:t>2</w:t>
      </w:r>
      <w:r w:rsidRPr="005F01C8">
        <w:rPr>
          <w:rFonts w:eastAsia="Arial" w:cs="Arial"/>
          <w:color w:val="000000" w:themeColor="text1"/>
        </w:rPr>
        <w:t xml:space="preserve"> are emitted (Climate Science, 2024). Inhalation of nickel oxide poses significant carcinogenic risks. Workers in the steel industry who are exposed to inhalation of nickel dust face a higher risk of lung and nasal cancer (Briffa, Sinagra and Blundell, 2020).    </w:t>
      </w:r>
    </w:p>
    <w:p w14:paraId="00000029" w14:textId="77777777" w:rsidR="004C1AF0" w:rsidRPr="005F01C8" w:rsidRDefault="00F4153B">
      <w:pPr>
        <w:rPr>
          <w:rFonts w:eastAsia="Arial" w:cs="Arial"/>
          <w:color w:val="000000" w:themeColor="text1"/>
        </w:rPr>
      </w:pPr>
      <w:r w:rsidRPr="005F01C8">
        <w:rPr>
          <w:rFonts w:eastAsia="Arial" w:cs="Arial"/>
          <w:color w:val="000000" w:themeColor="text1"/>
        </w:rPr>
        <w:t>Environmental sustainability pressures are increasing to reduce carbon emissions from steel manufacturing. Zhang, Liu and Liu (2024) argue that reducing greenhouse gas (GHG) emissions from the steel industry requires both reducing total manufacturing capacity and lowering energy consumption per tonne of steel. Studies also suggest that using steel scrap instead of iron ore is a more energy-efficient production method. Recycling one kilogram of steel scrap at the end of its life can save 1.5 kilograms of CO₂ emissions (Zhang, Liu and Liu, 2024).</w:t>
      </w:r>
    </w:p>
    <w:p w14:paraId="0000002A" w14:textId="77777777" w:rsidR="004C1AF0" w:rsidRPr="005F01C8" w:rsidRDefault="004C1AF0">
      <w:pPr>
        <w:rPr>
          <w:rFonts w:eastAsia="Arial" w:cs="Arial"/>
          <w:b/>
          <w:bCs/>
          <w:color w:val="000000" w:themeColor="text1"/>
        </w:rPr>
      </w:pPr>
    </w:p>
    <w:p w14:paraId="0000002B" w14:textId="77777777" w:rsidR="004C1AF0" w:rsidRPr="005F01C8" w:rsidRDefault="00F4153B">
      <w:pPr>
        <w:rPr>
          <w:rFonts w:eastAsia="Arial" w:cs="Arial"/>
          <w:b/>
          <w:bCs/>
          <w:color w:val="000000" w:themeColor="text1"/>
        </w:rPr>
      </w:pPr>
      <w:r w:rsidRPr="005F01C8">
        <w:rPr>
          <w:rFonts w:eastAsia="Arial" w:cs="Arial"/>
          <w:b/>
          <w:bCs/>
          <w:color w:val="000000" w:themeColor="text1"/>
        </w:rPr>
        <w:t xml:space="preserve">External Actor 2: Political </w:t>
      </w:r>
    </w:p>
    <w:p w14:paraId="0000002C" w14:textId="77777777" w:rsidR="004C1AF0" w:rsidRPr="005F01C8" w:rsidRDefault="00F4153B">
      <w:pPr>
        <w:rPr>
          <w:rFonts w:eastAsia="Arial" w:cs="Arial"/>
          <w:color w:val="000000" w:themeColor="text1"/>
        </w:rPr>
      </w:pPr>
      <w:r w:rsidRPr="005F01C8">
        <w:rPr>
          <w:rFonts w:eastAsia="Arial" w:cs="Arial"/>
          <w:color w:val="000000" w:themeColor="text1"/>
        </w:rPr>
        <w:t>The Indian government set an ambitious target to nearly triple its steelmaking capacity to 604 million metric tons by 2047 (Reuters, 2026). Under this proposed policy, India aims to reduce average carbon emission intensity by 39% to nearly 1.54 tons of CO</w:t>
      </w:r>
      <w:r w:rsidRPr="005F01C8">
        <w:rPr>
          <w:rFonts w:eastAsia="Arial" w:cs="Arial"/>
          <w:color w:val="000000" w:themeColor="text1"/>
          <w:vertAlign w:val="subscript"/>
        </w:rPr>
        <w:t xml:space="preserve">2 </w:t>
      </w:r>
      <w:r w:rsidRPr="005F01C8">
        <w:rPr>
          <w:rFonts w:eastAsia="Arial" w:cs="Arial"/>
          <w:color w:val="000000" w:themeColor="text1"/>
        </w:rPr>
        <w:t>per ton of crude steel by 2047 (Singh, 2026).  This supports the nation’s 2070 net-zero climate goals (Singh, 2026). In addition, India’s Ministry of Steel plans to invest $529 million to introduce technologies to reduce carbon emissions in the steel sector (Grigorenko, 2026).</w:t>
      </w:r>
    </w:p>
    <w:p w14:paraId="266CFA10" w14:textId="77777777" w:rsidR="005F01C8" w:rsidRPr="005F01C8" w:rsidRDefault="00327622">
      <w:pPr>
        <w:rPr>
          <w:rFonts w:eastAsia="Arial" w:cs="Arial"/>
          <w:color w:val="000000" w:themeColor="text1"/>
        </w:rPr>
      </w:pPr>
      <w:sdt>
        <w:sdtPr>
          <w:rPr>
            <w:color w:val="000000" w:themeColor="text1"/>
          </w:rPr>
          <w:tag w:val="goog_rdk_1"/>
          <w:id w:val="-104554953"/>
        </w:sdtPr>
        <w:sdtEndPr/>
        <w:sdtContent/>
      </w:sdt>
      <w:r w:rsidR="00F4153B" w:rsidRPr="005F01C8">
        <w:rPr>
          <w:rFonts w:eastAsia="Arial" w:cs="Arial"/>
          <w:color w:val="000000" w:themeColor="text1"/>
        </w:rPr>
        <w:t xml:space="preserve">The Indian government has deployed a multifaceted strategy to cut carbon emissions from steelmaking. It includes formulating the “Greening the Steel sector in India” roadmap based on recommendations from 14 multi-stakeholder task forces (PIB, 2024). Besides that, in 2023 India established a formal framework, the Carbon Credit Trading Scheme (CCTS), which defines stakeholder responsibilities to operationalise the Indian carbon market. </w:t>
      </w:r>
    </w:p>
    <w:p w14:paraId="0000002D" w14:textId="70E1EDCE" w:rsidR="004C1AF0" w:rsidRPr="005F01C8" w:rsidRDefault="00F4153B">
      <w:pPr>
        <w:rPr>
          <w:rFonts w:eastAsia="Arial" w:cs="Arial"/>
          <w:color w:val="000000" w:themeColor="text1"/>
        </w:rPr>
      </w:pPr>
      <w:r w:rsidRPr="005F01C8">
        <w:rPr>
          <w:rFonts w:eastAsia="Arial" w:cs="Arial"/>
          <w:color w:val="000000" w:themeColor="text1"/>
        </w:rPr>
        <w:t>This market-based mechanism puts a price on GHG emissions and allows organisations to buy and sell carbon credit certificates that help in managing the costs of reducing emissions (PIB, 2024). This policy builds steady environmental improvements in the steel sector, where carbon intensity declined almost 20% over 17 years (PIB, 2024).</w:t>
      </w:r>
    </w:p>
    <w:p w14:paraId="0000002E" w14:textId="77777777" w:rsidR="004C1AF0" w:rsidRPr="005F01C8" w:rsidRDefault="00F4153B">
      <w:pPr>
        <w:rPr>
          <w:rFonts w:eastAsia="Arial" w:cs="Arial"/>
          <w:color w:val="000000" w:themeColor="text1"/>
        </w:rPr>
      </w:pPr>
      <w:r w:rsidRPr="005F01C8">
        <w:rPr>
          <w:rFonts w:eastAsia="Arial" w:cs="Arial"/>
          <w:color w:val="000000" w:themeColor="text1"/>
        </w:rPr>
        <w:t>The Energy Conservation (Amendment) Act 2022 was modified to support India’s carbon emission reduction targets. Under Section 14, Clause (w), the Indian government is empowered to establish a Carbon Trading Scheme. The amendment permits an authorised government agency to issue carbon credit certificates, with each certificate representing one ton of CO</w:t>
      </w:r>
      <w:r w:rsidRPr="005F01C8">
        <w:rPr>
          <w:rFonts w:eastAsia="Arial" w:cs="Arial"/>
          <w:color w:val="000000" w:themeColor="text1"/>
          <w:vertAlign w:val="subscript"/>
        </w:rPr>
        <w:t>2</w:t>
      </w:r>
      <w:r w:rsidRPr="005F01C8">
        <w:rPr>
          <w:rFonts w:eastAsia="Arial" w:cs="Arial"/>
          <w:color w:val="000000" w:themeColor="text1"/>
        </w:rPr>
        <w:t xml:space="preserve"> equivalent emissions removed from the atmosphere (Bureau of Energy Efficiency, 2026).</w:t>
      </w:r>
    </w:p>
    <w:p w14:paraId="0000002F" w14:textId="77777777" w:rsidR="004C1AF0" w:rsidRPr="005F01C8" w:rsidRDefault="00F4153B">
      <w:pPr>
        <w:rPr>
          <w:rFonts w:eastAsia="Arial" w:cs="Arial"/>
          <w:color w:val="000000" w:themeColor="text1"/>
        </w:rPr>
      </w:pPr>
      <w:r w:rsidRPr="005F01C8">
        <w:rPr>
          <w:rFonts w:eastAsia="Arial" w:cs="Arial"/>
          <w:color w:val="000000" w:themeColor="text1"/>
        </w:rPr>
        <w:t xml:space="preserve">In this regard, the Indian steel industry needs to prioritise resource efficiency and transition to clean fuel alternatives. India is adopting a multifaceted approach to decarbonise the steel sector, including promoting scrap recycling, renewable energy electricity integration, energy optimisation, green hydrogen adaptation and implementing carbon capture, utilisation, and storage (CCUS) technologies (Nayak, Niranjan and Kumar, 2026). This green transition in the Indian steel industry is supported by key policy frameworks including the “Steel Research and Technology Mission India” (2017), </w:t>
      </w:r>
      <w:r w:rsidRPr="005F01C8">
        <w:rPr>
          <w:rFonts w:eastAsia="Arial" w:cs="Arial"/>
          <w:color w:val="000000" w:themeColor="text1"/>
        </w:rPr>
        <w:lastRenderedPageBreak/>
        <w:t xml:space="preserve">“Performance Achieve and Trade” (PAT) scheme (2008), the “National Hydrogen Mission” (2021) and the “Steel Scrap Recycling Policy” (2019) (Nayak, Niranjan and Kumar, 2026).                                  </w:t>
      </w:r>
    </w:p>
    <w:p w14:paraId="00000030" w14:textId="77777777" w:rsidR="004C1AF0" w:rsidRPr="005F01C8" w:rsidRDefault="00F4153B">
      <w:pPr>
        <w:rPr>
          <w:rFonts w:eastAsia="Arial" w:cs="Arial"/>
          <w:b/>
          <w:bCs/>
          <w:color w:val="000000" w:themeColor="text1"/>
        </w:rPr>
      </w:pPr>
      <w:r w:rsidRPr="005F01C8">
        <w:rPr>
          <w:color w:val="000000" w:themeColor="text1"/>
        </w:rPr>
        <w:br w:type="page"/>
      </w:r>
    </w:p>
    <w:p w14:paraId="00000031" w14:textId="77777777" w:rsidR="004C1AF0" w:rsidRPr="005F01C8" w:rsidRDefault="00F4153B">
      <w:pPr>
        <w:rPr>
          <w:rFonts w:eastAsia="Arial" w:cs="Arial"/>
          <w:b/>
          <w:bCs/>
          <w:color w:val="000000" w:themeColor="text1"/>
        </w:rPr>
      </w:pPr>
      <w:r w:rsidRPr="005F01C8">
        <w:rPr>
          <w:rFonts w:eastAsia="Arial" w:cs="Arial"/>
          <w:b/>
          <w:bCs/>
          <w:color w:val="000000" w:themeColor="text1"/>
        </w:rPr>
        <w:lastRenderedPageBreak/>
        <w:t xml:space="preserve">External Actor 3: Technological </w:t>
      </w:r>
    </w:p>
    <w:p w14:paraId="00000032" w14:textId="77777777" w:rsidR="004C1AF0" w:rsidRPr="005F01C8" w:rsidRDefault="00F4153B">
      <w:pPr>
        <w:rPr>
          <w:rFonts w:eastAsia="Arial" w:cs="Arial"/>
          <w:color w:val="000000" w:themeColor="text1"/>
        </w:rPr>
      </w:pPr>
      <w:r w:rsidRPr="005F01C8">
        <w:rPr>
          <w:rFonts w:eastAsia="Arial" w:cs="Arial"/>
          <w:color w:val="000000" w:themeColor="text1"/>
        </w:rPr>
        <w:t xml:space="preserve">Indian consumers prioritise spending on sustainable products and contribute to local businesses. A 2022 survey among Indian consumers reported that 87% of them always or often purchase sustainable products and 97% of them are interested in spending money on items that have a positive impact on local communities and businesses (Business Today, 2022). The high sustainable demand among Indian consumers is an opportunity for Tata Steel to focus on sustainable practices and develop a sustainable product line in future. However, TOI (2022) contended that Indian consumers face many barriers within a sustainable purchasing journey. For instance, Indian consumers face challenges in identifying sustainable products due to uncertainty about the credibility of the claims and gaps in the product ranges to meet their needs (TOI, 2022). </w:t>
      </w:r>
    </w:p>
    <w:p w14:paraId="00000033" w14:textId="77777777" w:rsidR="004C1AF0" w:rsidRPr="005F01C8" w:rsidRDefault="00F4153B">
      <w:pPr>
        <w:rPr>
          <w:rFonts w:eastAsia="Arial" w:cs="Arial"/>
          <w:color w:val="000000" w:themeColor="text1"/>
        </w:rPr>
      </w:pPr>
      <w:r w:rsidRPr="005F01C8">
        <w:rPr>
          <w:rFonts w:eastAsia="Arial" w:cs="Arial"/>
          <w:color w:val="000000" w:themeColor="text1"/>
        </w:rPr>
        <w:t xml:space="preserve">The Indian steel industry faces major competitive pressures to deploy sustainability due to high carbon footprints, consumer preferences towards sustainable products and a strong commitment towards net-zero emissions (Bansal, 2024). In this regard, Indian steel manufacturing firms are encouraged to use green steel technologies such as scrap-based electric arc furnaces (EAF) and green hydrogen direct reduced iron (DRI), which result in over 97% emissions reductions compared to traditional methods (Bansal, 2024).  According to Research and Markets ltd (2026), India is emerging as a region-specific electric arc furnace dust recycling hub in regions such as Odisha and Gujarat. These clusters work closely with small and medium steel producers to enable shared infrastructure. It aligns with the Make in India initiative in localised recycling cluster formation.  </w:t>
      </w:r>
    </w:p>
    <w:p w14:paraId="00000034" w14:textId="77777777" w:rsidR="004C1AF0" w:rsidRPr="005F01C8" w:rsidRDefault="00F4153B">
      <w:pPr>
        <w:rPr>
          <w:rFonts w:eastAsia="Arial" w:cs="Arial"/>
          <w:b/>
          <w:bCs/>
          <w:i/>
          <w:iCs/>
          <w:color w:val="000000" w:themeColor="text1"/>
        </w:rPr>
      </w:pPr>
      <w:r w:rsidRPr="005F01C8">
        <w:rPr>
          <w:rFonts w:eastAsia="Arial" w:cs="Arial"/>
          <w:color w:val="000000" w:themeColor="text1"/>
        </w:rPr>
        <w:t xml:space="preserve">Overall, based on the three actors, Tata Steel in India needs to transform from positioning steel merely on cost-effectiveness and structural strength toward “Green Steel” by using scrap-based electric arc furnaces and green hydrogen direct reduced iron. The electric arc furnace (EAF) process uses scrap, and the composition of the steel is adjusted by including various alloys and fluxes (Siddiqui, 2023). The EAF process is efficient, flexible, and environmentally friendly, which makes it suitable for smaller-scale steel production. In addition, as Indian consumers struggle with the credibility of claims, marketing communication needs to be data-driven and transparent.     </w:t>
      </w:r>
    </w:p>
    <w:p w14:paraId="00000035" w14:textId="77777777" w:rsidR="004C1AF0" w:rsidRPr="005F01C8" w:rsidRDefault="00F4153B">
      <w:pPr>
        <w:rPr>
          <w:rFonts w:eastAsia="Arial" w:cs="Arial"/>
          <w:b/>
          <w:bCs/>
          <w:color w:val="000000" w:themeColor="text1"/>
          <w:sz w:val="28"/>
          <w:szCs w:val="28"/>
        </w:rPr>
      </w:pPr>
      <w:r w:rsidRPr="005F01C8">
        <w:rPr>
          <w:color w:val="000000" w:themeColor="text1"/>
        </w:rPr>
        <w:br w:type="page"/>
      </w:r>
    </w:p>
    <w:p w14:paraId="00000036" w14:textId="77777777" w:rsidR="004C1AF0" w:rsidRPr="005F01C8" w:rsidRDefault="00F4153B">
      <w:pPr>
        <w:pStyle w:val="Heading1"/>
        <w:rPr>
          <w:rFonts w:eastAsia="Arial" w:cs="Arial"/>
          <w:color w:val="000000" w:themeColor="text1"/>
        </w:rPr>
      </w:pPr>
      <w:bookmarkStart w:id="4" w:name="_Toc243575926"/>
      <w:r w:rsidRPr="005F01C8">
        <w:rPr>
          <w:rFonts w:eastAsia="Arial" w:cs="Arial"/>
          <w:color w:val="000000" w:themeColor="text1"/>
        </w:rPr>
        <w:lastRenderedPageBreak/>
        <w:t>Task 2: Strategic Growth &amp; Competitive Positioning</w:t>
      </w:r>
      <w:bookmarkEnd w:id="4"/>
    </w:p>
    <w:p w14:paraId="00000037" w14:textId="77777777" w:rsidR="004C1AF0" w:rsidRPr="005F01C8" w:rsidRDefault="00F4153B">
      <w:pPr>
        <w:rPr>
          <w:rFonts w:eastAsia="Arial" w:cs="Arial"/>
          <w:b/>
          <w:bCs/>
          <w:color w:val="000000" w:themeColor="text1"/>
        </w:rPr>
      </w:pPr>
      <w:r w:rsidRPr="005F01C8">
        <w:rPr>
          <w:rFonts w:eastAsia="Arial" w:cs="Arial"/>
          <w:b/>
          <w:bCs/>
          <w:color w:val="000000" w:themeColor="text1"/>
        </w:rPr>
        <w:t>Application of Ansoff Matrix</w:t>
      </w:r>
    </w:p>
    <w:p w14:paraId="00000038" w14:textId="77777777" w:rsidR="004C1AF0" w:rsidRPr="005F01C8" w:rsidRDefault="00F4153B">
      <w:pPr>
        <w:rPr>
          <w:rFonts w:eastAsia="Arial" w:cs="Arial"/>
          <w:color w:val="000000" w:themeColor="text1"/>
        </w:rPr>
      </w:pPr>
      <w:r w:rsidRPr="005F01C8">
        <w:rPr>
          <w:rFonts w:eastAsia="Arial" w:cs="Arial"/>
          <w:color w:val="000000" w:themeColor="text1"/>
        </w:rPr>
        <w:t xml:space="preserve">The author H.Igor Ansoff built a 2x2 strategic planning tool called the Ansoff Matrix, or Product/Market Expansion Grid, to allow businesses to assess and choose growth strategies. From the standpoint of the Ansoff Matrix, this assessment intends to recommend a strategic growth approach for Tata Steel Ltd.  </w:t>
      </w:r>
    </w:p>
    <w:p w14:paraId="00000039" w14:textId="77777777" w:rsidR="004C1AF0" w:rsidRPr="005F01C8" w:rsidRDefault="00F4153B">
      <w:pPr>
        <w:jc w:val="center"/>
        <w:rPr>
          <w:rFonts w:eastAsia="Arial" w:cs="Arial"/>
          <w:color w:val="000000" w:themeColor="text1"/>
        </w:rPr>
      </w:pPr>
      <w:r w:rsidRPr="005F01C8">
        <w:rPr>
          <w:rFonts w:eastAsia="Arial" w:cs="Arial"/>
          <w:noProof/>
          <w:color w:val="000000" w:themeColor="text1"/>
        </w:rPr>
        <w:drawing>
          <wp:inline distT="114300" distB="114300" distL="114300" distR="114300" wp14:anchorId="32AF5342" wp14:editId="0B19DE3A">
            <wp:extent cx="5019675" cy="3378627"/>
            <wp:effectExtent l="25400" t="25400" r="25400" b="254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019675" cy="3378627"/>
                    </a:xfrm>
                    <a:prstGeom prst="rect">
                      <a:avLst/>
                    </a:prstGeom>
                    <a:ln w="25400">
                      <a:solidFill>
                        <a:srgbClr val="000000"/>
                      </a:solidFill>
                      <a:prstDash val="solid"/>
                    </a:ln>
                  </pic:spPr>
                </pic:pic>
              </a:graphicData>
            </a:graphic>
          </wp:inline>
        </w:drawing>
      </w:r>
    </w:p>
    <w:p w14:paraId="0000003A" w14:textId="77777777" w:rsidR="004C1AF0" w:rsidRPr="005F01C8" w:rsidRDefault="00F4153B">
      <w:pPr>
        <w:jc w:val="center"/>
        <w:rPr>
          <w:rFonts w:eastAsia="Arial" w:cs="Arial"/>
          <w:b/>
          <w:bCs/>
          <w:i/>
          <w:iCs/>
          <w:color w:val="000000" w:themeColor="text1"/>
        </w:rPr>
      </w:pPr>
      <w:r w:rsidRPr="005F01C8">
        <w:rPr>
          <w:rFonts w:eastAsia="Arial" w:cs="Arial"/>
          <w:b/>
          <w:bCs/>
          <w:i/>
          <w:iCs/>
          <w:color w:val="000000" w:themeColor="text1"/>
        </w:rPr>
        <w:t>Figure 2: Ansoff Matrix</w:t>
      </w:r>
    </w:p>
    <w:p w14:paraId="0000003B" w14:textId="77777777" w:rsidR="004C1AF0" w:rsidRPr="005F01C8" w:rsidRDefault="00F4153B">
      <w:pPr>
        <w:jc w:val="center"/>
        <w:rPr>
          <w:rFonts w:eastAsia="Arial" w:cs="Arial"/>
          <w:b/>
          <w:bCs/>
          <w:i/>
          <w:iCs/>
          <w:color w:val="000000" w:themeColor="text1"/>
        </w:rPr>
      </w:pPr>
      <w:r w:rsidRPr="005F01C8">
        <w:rPr>
          <w:rFonts w:eastAsia="Arial" w:cs="Arial"/>
          <w:color w:val="000000" w:themeColor="text1"/>
        </w:rPr>
        <w:t>(Source: Helmold, 2022)</w:t>
      </w:r>
      <w:r w:rsidRPr="005F01C8">
        <w:rPr>
          <w:rFonts w:eastAsia="Arial" w:cs="Arial"/>
          <w:b/>
          <w:bCs/>
          <w:i/>
          <w:iCs/>
          <w:color w:val="000000" w:themeColor="text1"/>
        </w:rPr>
        <w:t xml:space="preserve"> </w:t>
      </w:r>
    </w:p>
    <w:p w14:paraId="0000003C" w14:textId="77777777" w:rsidR="004C1AF0" w:rsidRPr="005F01C8" w:rsidRDefault="00F4153B">
      <w:pPr>
        <w:rPr>
          <w:rFonts w:eastAsia="Arial" w:cs="Arial"/>
          <w:color w:val="000000" w:themeColor="text1"/>
        </w:rPr>
      </w:pPr>
      <w:r w:rsidRPr="005F01C8">
        <w:rPr>
          <w:rFonts w:eastAsia="Arial" w:cs="Arial"/>
          <w:b/>
          <w:bCs/>
          <w:color w:val="000000" w:themeColor="text1"/>
        </w:rPr>
        <w:t xml:space="preserve">Market Penetration (Lowest Risk): </w:t>
      </w:r>
      <w:r w:rsidRPr="005F01C8">
        <w:rPr>
          <w:rFonts w:eastAsia="Arial" w:cs="Arial"/>
          <w:color w:val="000000" w:themeColor="text1"/>
        </w:rPr>
        <w:t xml:space="preserve">It includes selling more existing products in the existing markets. It helps to increase market share, get current customers to purchase more often and attract customers from competitors.  </w:t>
      </w:r>
    </w:p>
    <w:p w14:paraId="0000003D" w14:textId="77777777" w:rsidR="004C1AF0" w:rsidRPr="005F01C8" w:rsidRDefault="00F4153B">
      <w:pPr>
        <w:rPr>
          <w:rFonts w:eastAsia="Arial" w:cs="Arial"/>
          <w:color w:val="000000" w:themeColor="text1"/>
        </w:rPr>
      </w:pPr>
      <w:r w:rsidRPr="005F01C8">
        <w:rPr>
          <w:rFonts w:eastAsia="Arial" w:cs="Arial"/>
          <w:b/>
          <w:bCs/>
          <w:color w:val="000000" w:themeColor="text1"/>
        </w:rPr>
        <w:t xml:space="preserve">Market Development (Moderate Risk): </w:t>
      </w:r>
      <w:r w:rsidRPr="005F01C8">
        <w:rPr>
          <w:rFonts w:eastAsia="Arial" w:cs="Arial"/>
          <w:color w:val="000000" w:themeColor="text1"/>
        </w:rPr>
        <w:t xml:space="preserve"> It includes taking existing products into new markets. It helps to reach new demographics and new geographic regions. As Tata Steel already uses electric arc furnaces (EAF) to recycle steel scrap and produces green steel, it needs to expand this sustainable product line to those regions across India that have high steel demand. According to a published report by TATA STEEL (2026c), Tata Steel launched its new scrap-based EAF plant in Ludhiana’s Hi-Tech Valley. It is capable of producing 0.75 million tonnes of steel annually, with a remarkably low carbon footprint of </w:t>
      </w:r>
      <w:r w:rsidRPr="005F01C8">
        <w:rPr>
          <w:rFonts w:eastAsia="Arial" w:cs="Arial"/>
          <w:color w:val="000000" w:themeColor="text1"/>
        </w:rPr>
        <w:lastRenderedPageBreak/>
        <w:t>less than 0.3 tonnes of CO</w:t>
      </w:r>
      <w:r w:rsidRPr="005F01C8">
        <w:rPr>
          <w:rFonts w:eastAsia="Arial" w:cs="Arial"/>
          <w:color w:val="000000" w:themeColor="text1"/>
          <w:vertAlign w:val="subscript"/>
        </w:rPr>
        <w:t>2</w:t>
      </w:r>
      <w:r w:rsidRPr="005F01C8">
        <w:rPr>
          <w:rFonts w:eastAsia="Arial" w:cs="Arial"/>
          <w:color w:val="000000" w:themeColor="text1"/>
        </w:rPr>
        <w:t xml:space="preserve"> per tonne of finished steel. This strategic launch is a crucial breakthrough in the company’s overarching mission to reach net-zero emissions by 2045 (TATA STEEL, 2026c).</w:t>
      </w:r>
    </w:p>
    <w:p w14:paraId="0000003E" w14:textId="77777777" w:rsidR="004C1AF0" w:rsidRPr="005F01C8" w:rsidRDefault="00F4153B">
      <w:pPr>
        <w:rPr>
          <w:rFonts w:eastAsia="Arial" w:cs="Arial"/>
          <w:b/>
          <w:bCs/>
          <w:color w:val="000000" w:themeColor="text1"/>
        </w:rPr>
      </w:pPr>
      <w:r w:rsidRPr="005F01C8">
        <w:rPr>
          <w:rFonts w:eastAsia="Arial" w:cs="Arial"/>
          <w:color w:val="000000" w:themeColor="text1"/>
        </w:rPr>
        <w:t xml:space="preserve">In future, Tata Steel can expand its green steel product line in West Bengal as a major steel manufacturing hub. Consumers and end-use sectors in West Bengal need green steel for large-scale infrastructure, construction and export-oriented manufacturing to reduce carbon emissions and meet strict trade rules.  </w:t>
      </w:r>
    </w:p>
    <w:p w14:paraId="0000003F" w14:textId="77777777" w:rsidR="004C1AF0" w:rsidRPr="005F01C8" w:rsidRDefault="00F4153B">
      <w:pPr>
        <w:rPr>
          <w:rFonts w:eastAsia="Arial" w:cs="Arial"/>
          <w:color w:val="000000" w:themeColor="text1"/>
        </w:rPr>
      </w:pPr>
      <w:r w:rsidRPr="005F01C8">
        <w:rPr>
          <w:rFonts w:eastAsia="Arial" w:cs="Arial"/>
          <w:b/>
          <w:bCs/>
          <w:color w:val="000000" w:themeColor="text1"/>
        </w:rPr>
        <w:t xml:space="preserve">Product Development (Moderate-to-High Risk): </w:t>
      </w:r>
      <w:r w:rsidRPr="005F01C8">
        <w:rPr>
          <w:rFonts w:eastAsia="Arial" w:cs="Arial"/>
          <w:color w:val="000000" w:themeColor="text1"/>
        </w:rPr>
        <w:t xml:space="preserve">It includes developing new products for the existing market. It helps in leveraging existing brand loyalty and building trust by offering improved versions of existing products. As Tata Steel started using green steel initiatives, including coke oven gas (COG) injection (Meramandali, Odisha), Biochar Injection in Blast Furnace (Jamshedpur), Electric Arc Furnace &amp; Scrap recycling (Ludhiana, Punjab) to produce the advanced green steel product line (TATA STEEL, 2026c). Therefore, a product development growth approach is not necessary for the company.   </w:t>
      </w:r>
    </w:p>
    <w:p w14:paraId="00000040" w14:textId="77777777" w:rsidR="004C1AF0" w:rsidRPr="005F01C8" w:rsidRDefault="00F4153B">
      <w:pPr>
        <w:rPr>
          <w:rFonts w:eastAsia="Arial" w:cs="Arial"/>
          <w:color w:val="000000" w:themeColor="text1"/>
        </w:rPr>
      </w:pPr>
      <w:r w:rsidRPr="005F01C8">
        <w:rPr>
          <w:rFonts w:eastAsia="Arial" w:cs="Arial"/>
          <w:b/>
          <w:bCs/>
          <w:color w:val="000000" w:themeColor="text1"/>
        </w:rPr>
        <w:t xml:space="preserve">Diversification (Highest Risk): </w:t>
      </w:r>
      <w:r w:rsidRPr="005F01C8">
        <w:rPr>
          <w:rFonts w:eastAsia="Arial" w:cs="Arial"/>
          <w:color w:val="000000" w:themeColor="text1"/>
        </w:rPr>
        <w:t xml:space="preserve">It includes launching new products in new markets, which helps a company to step entirely outside its core competency. As Tata Steel has a green steel product line and has a brand presence in many regions across India, the diversification growth approach is not required. </w:t>
      </w:r>
    </w:p>
    <w:p w14:paraId="00000041" w14:textId="77777777" w:rsidR="004C1AF0" w:rsidRPr="005F01C8" w:rsidRDefault="00F4153B">
      <w:pPr>
        <w:rPr>
          <w:rFonts w:eastAsia="Arial" w:cs="Arial"/>
          <w:color w:val="000000" w:themeColor="text1"/>
        </w:rPr>
      </w:pPr>
      <w:r w:rsidRPr="005F01C8">
        <w:rPr>
          <w:rFonts w:eastAsia="Arial" w:cs="Arial"/>
          <w:b/>
          <w:bCs/>
          <w:color w:val="000000" w:themeColor="text1"/>
        </w:rPr>
        <w:t>Recommendation for Strategic Growth</w:t>
      </w:r>
    </w:p>
    <w:p w14:paraId="00000042" w14:textId="77777777" w:rsidR="004C1AF0" w:rsidRPr="005F01C8" w:rsidRDefault="00F4153B">
      <w:pPr>
        <w:rPr>
          <w:rFonts w:eastAsia="Arial" w:cs="Arial"/>
          <w:color w:val="000000" w:themeColor="text1"/>
        </w:rPr>
      </w:pPr>
      <w:r w:rsidRPr="005F01C8">
        <w:rPr>
          <w:rFonts w:eastAsia="Arial" w:cs="Arial"/>
          <w:b/>
          <w:bCs/>
          <w:color w:val="000000" w:themeColor="text1"/>
        </w:rPr>
        <w:t xml:space="preserve">Enhance the Steel Recycling Network: </w:t>
      </w:r>
      <w:r w:rsidRPr="005F01C8">
        <w:rPr>
          <w:rFonts w:eastAsia="Arial" w:cs="Arial"/>
          <w:color w:val="000000" w:themeColor="text1"/>
        </w:rPr>
        <w:t>According to Broadbent (2016), the recycling methodology is aligned with the ISO standards, which directly reduces the heavy need for carbon during steel production. The steel recycling method assumes that secondary steel directly replaces primary manufacturing by treating steel scrap recycling as a closed material loop. The study by Broadbent (2016) emphasised that recycling 1 kg of end-of-life steel scrap yields significant environmental savings, such as a 73% reduction in CO</w:t>
      </w:r>
      <w:r w:rsidRPr="005F01C8">
        <w:rPr>
          <w:rFonts w:eastAsia="Arial" w:cs="Arial"/>
          <w:color w:val="000000" w:themeColor="text1"/>
          <w:vertAlign w:val="subscript"/>
        </w:rPr>
        <w:t>2</w:t>
      </w:r>
      <w:r w:rsidRPr="005F01C8">
        <w:rPr>
          <w:rFonts w:eastAsia="Arial" w:cs="Arial"/>
          <w:color w:val="000000" w:themeColor="text1"/>
        </w:rPr>
        <w:t xml:space="preserve">, a 64% reduction in primary energy, and a 90% reduction in iron ore (Broadbent, 2016). </w:t>
      </w:r>
    </w:p>
    <w:p w14:paraId="576B9983" w14:textId="77777777" w:rsidR="005F01C8" w:rsidRPr="005F01C8" w:rsidRDefault="005F01C8">
      <w:pPr>
        <w:rPr>
          <w:rFonts w:eastAsia="Arial" w:cs="Arial"/>
          <w:color w:val="000000" w:themeColor="text1"/>
        </w:rPr>
      </w:pPr>
    </w:p>
    <w:p w14:paraId="00000043" w14:textId="3DC205F7" w:rsidR="004C1AF0" w:rsidRPr="005F01C8" w:rsidRDefault="00F4153B">
      <w:pPr>
        <w:rPr>
          <w:rFonts w:eastAsia="Arial" w:cs="Arial"/>
          <w:b/>
          <w:bCs/>
          <w:color w:val="000000" w:themeColor="text1"/>
        </w:rPr>
      </w:pPr>
      <w:r w:rsidRPr="005F01C8">
        <w:rPr>
          <w:rFonts w:eastAsia="Arial" w:cs="Arial"/>
          <w:color w:val="000000" w:themeColor="text1"/>
        </w:rPr>
        <w:t xml:space="preserve">However, the market environment analysis identified that steel manufacturing requires high energy and releases high carbon emissions. The consistency in the steel recycling network of Tata Steel through green hydrogen direct reduced iron (DRI) and scrap-based </w:t>
      </w:r>
      <w:r w:rsidRPr="005F01C8">
        <w:rPr>
          <w:rFonts w:eastAsia="Arial" w:cs="Arial"/>
          <w:color w:val="000000" w:themeColor="text1"/>
        </w:rPr>
        <w:lastRenderedPageBreak/>
        <w:t xml:space="preserve">electric arc furnaces (EAF) in different manufacturing plants across India is crucial for a low-carbon future.  </w:t>
      </w:r>
      <w:r w:rsidRPr="005F01C8">
        <w:rPr>
          <w:rFonts w:eastAsia="Arial" w:cs="Arial"/>
          <w:b/>
          <w:bCs/>
          <w:color w:val="000000" w:themeColor="text1"/>
        </w:rPr>
        <w:t xml:space="preserve"> </w:t>
      </w:r>
    </w:p>
    <w:p w14:paraId="00000045" w14:textId="6337EFDF" w:rsidR="004C1AF0" w:rsidRPr="005F01C8" w:rsidRDefault="00F4153B" w:rsidP="005F01C8">
      <w:pPr>
        <w:rPr>
          <w:rFonts w:eastAsia="Arial"/>
          <w:b/>
          <w:bCs/>
        </w:rPr>
      </w:pPr>
      <w:r w:rsidRPr="005F01C8">
        <w:rPr>
          <w:rFonts w:eastAsia="Arial"/>
          <w:b/>
          <w:bCs/>
        </w:rPr>
        <w:t>Porter’s Generic Strategies and Competitive Positioning</w:t>
      </w:r>
    </w:p>
    <w:p w14:paraId="00000046" w14:textId="56B284D1" w:rsidR="004C1AF0" w:rsidRPr="005F01C8" w:rsidRDefault="00F4153B">
      <w:pPr>
        <w:rPr>
          <w:rFonts w:eastAsia="Arial" w:cs="Arial"/>
          <w:color w:val="000000" w:themeColor="text1"/>
        </w:rPr>
      </w:pPr>
      <w:r w:rsidRPr="005F01C8">
        <w:rPr>
          <w:rFonts w:eastAsia="Arial" w:cs="Arial"/>
          <w:color w:val="000000" w:themeColor="text1"/>
        </w:rPr>
        <w:t xml:space="preserve">Porter’s generic strategies clarify how Tata Steel can compete </w:t>
      </w:r>
      <w:r w:rsidR="008E0B8B" w:rsidRPr="005F01C8">
        <w:rPr>
          <w:rFonts w:eastAsia="Arial" w:cs="Arial"/>
          <w:color w:val="000000" w:themeColor="text1"/>
        </w:rPr>
        <w:t xml:space="preserve">during its decarbonisation transition </w:t>
      </w:r>
      <w:r w:rsidRPr="005F01C8">
        <w:rPr>
          <w:rFonts w:eastAsia="Arial" w:cs="Arial"/>
          <w:color w:val="000000" w:themeColor="text1"/>
        </w:rPr>
        <w:t xml:space="preserve">(Miller and Friesen, 1986). Beyond cost leadership, the company can differentiate scrap-based steel through verified carbon data, environmental product declarations and transparent customer communication. This can help construction, automotive and infrastructure buyers evidence progress against their sustainability commitments. Cost competitiveness remains important; Tata Steel should scale scrap collection, improve energy efficiency and use carbon accounting to identify avoidable costs. Focusing on buyers with explicit low-carbon procurement requirements can </w:t>
      </w:r>
      <w:r w:rsidR="008E0B8B" w:rsidRPr="005F01C8">
        <w:rPr>
          <w:rFonts w:eastAsia="Arial" w:cs="Arial"/>
          <w:color w:val="000000" w:themeColor="text1"/>
        </w:rPr>
        <w:t xml:space="preserve">stimulate </w:t>
      </w:r>
      <w:r w:rsidRPr="005F01C8">
        <w:rPr>
          <w:rFonts w:eastAsia="Arial" w:cs="Arial"/>
          <w:color w:val="000000" w:themeColor="text1"/>
        </w:rPr>
        <w:t xml:space="preserve">demand without </w:t>
      </w:r>
      <w:r w:rsidR="008E0B8B" w:rsidRPr="005F01C8">
        <w:rPr>
          <w:rFonts w:eastAsia="Arial" w:cs="Arial"/>
          <w:color w:val="000000" w:themeColor="text1"/>
        </w:rPr>
        <w:t>expect</w:t>
      </w:r>
      <w:r w:rsidRPr="005F01C8">
        <w:rPr>
          <w:rFonts w:eastAsia="Arial" w:cs="Arial"/>
          <w:color w:val="000000" w:themeColor="text1"/>
        </w:rPr>
        <w:t>ing eve</w:t>
      </w:r>
      <w:r w:rsidR="008E0B8B" w:rsidRPr="005F01C8">
        <w:rPr>
          <w:rFonts w:eastAsia="Arial" w:cs="Arial"/>
          <w:color w:val="000000" w:themeColor="text1"/>
        </w:rPr>
        <w:t>ry customer will pay a premium, effectively balancing strategic</w:t>
      </w:r>
      <w:r w:rsidRPr="005F01C8">
        <w:rPr>
          <w:rFonts w:eastAsia="Arial" w:cs="Arial"/>
          <w:color w:val="000000" w:themeColor="text1"/>
        </w:rPr>
        <w:t xml:space="preserve"> differentiation with operational cost discipline.</w:t>
      </w:r>
    </w:p>
    <w:p w14:paraId="00000047" w14:textId="77777777" w:rsidR="004C1AF0" w:rsidRPr="005F01C8" w:rsidRDefault="00327622">
      <w:pPr>
        <w:rPr>
          <w:rFonts w:eastAsia="Arial" w:cs="Arial"/>
          <w:color w:val="000000" w:themeColor="text1"/>
        </w:rPr>
      </w:pPr>
      <w:sdt>
        <w:sdtPr>
          <w:rPr>
            <w:color w:val="000000" w:themeColor="text1"/>
          </w:rPr>
          <w:tag w:val="goog_rdk_2"/>
          <w:id w:val="156356393"/>
        </w:sdtPr>
        <w:sdtEndPr/>
        <w:sdtContent/>
      </w:sdt>
      <w:sdt>
        <w:sdtPr>
          <w:rPr>
            <w:color w:val="000000" w:themeColor="text1"/>
          </w:rPr>
          <w:tag w:val="goog_rdk_3"/>
          <w:id w:val="263984304"/>
        </w:sdtPr>
        <w:sdtEndPr/>
        <w:sdtContent/>
      </w:sdt>
      <w:r w:rsidR="00F4153B" w:rsidRPr="005F01C8">
        <w:rPr>
          <w:rFonts w:eastAsia="Arial" w:cs="Arial"/>
          <w:b/>
          <w:bCs/>
          <w:color w:val="000000" w:themeColor="text1"/>
        </w:rPr>
        <w:t>Competitive Advantages</w:t>
      </w:r>
    </w:p>
    <w:p w14:paraId="00000048" w14:textId="77777777" w:rsidR="004C1AF0" w:rsidRPr="005F01C8" w:rsidRDefault="00F4153B">
      <w:pPr>
        <w:rPr>
          <w:rFonts w:eastAsia="Arial" w:cs="Arial"/>
          <w:b/>
          <w:bCs/>
          <w:color w:val="000000" w:themeColor="text1"/>
        </w:rPr>
      </w:pPr>
      <w:r w:rsidRPr="005F01C8">
        <w:rPr>
          <w:rFonts w:eastAsia="Arial" w:cs="Arial"/>
          <w:b/>
          <w:bCs/>
          <w:color w:val="000000" w:themeColor="text1"/>
        </w:rPr>
        <w:t xml:space="preserve">Ultra-low carbon footprint: </w:t>
      </w:r>
      <w:r w:rsidRPr="005F01C8">
        <w:rPr>
          <w:rFonts w:eastAsia="Arial" w:cs="Arial"/>
          <w:color w:val="000000" w:themeColor="text1"/>
        </w:rPr>
        <w:t xml:space="preserve">As stated by Guo </w:t>
      </w:r>
      <w:r w:rsidRPr="005F01C8">
        <w:rPr>
          <w:rFonts w:eastAsia="Arial" w:cs="Arial"/>
          <w:i/>
          <w:iCs/>
          <w:color w:val="000000" w:themeColor="text1"/>
        </w:rPr>
        <w:t>et al.</w:t>
      </w:r>
      <w:r w:rsidRPr="005F01C8">
        <w:rPr>
          <w:rFonts w:eastAsia="Arial" w:cs="Arial"/>
          <w:color w:val="000000" w:themeColor="text1"/>
        </w:rPr>
        <w:t xml:space="preserve"> (2025), historic technological shifts, including transitioning from open-hearth furnaces to converters, successfully lowered energy intensity. Integrating existing technologies with ultra-low-carbon systems such as carbon capture and hydrogen-based DRI eliminate CO</w:t>
      </w:r>
      <w:r w:rsidRPr="005F01C8">
        <w:rPr>
          <w:rFonts w:eastAsia="Arial" w:cs="Arial"/>
          <w:color w:val="000000" w:themeColor="text1"/>
          <w:vertAlign w:val="subscript"/>
        </w:rPr>
        <w:t>2</w:t>
      </w:r>
      <w:r w:rsidRPr="005F01C8">
        <w:rPr>
          <w:rFonts w:eastAsia="Arial" w:cs="Arial"/>
          <w:color w:val="000000" w:themeColor="text1"/>
        </w:rPr>
        <w:t xml:space="preserve"> emissions by 80% to 95% (Guo </w:t>
      </w:r>
      <w:r w:rsidRPr="005F01C8">
        <w:rPr>
          <w:rFonts w:eastAsia="Arial" w:cs="Arial"/>
          <w:i/>
          <w:iCs/>
          <w:color w:val="000000" w:themeColor="text1"/>
        </w:rPr>
        <w:t>et al.</w:t>
      </w:r>
      <w:r w:rsidRPr="005F01C8">
        <w:rPr>
          <w:rFonts w:eastAsia="Arial" w:cs="Arial"/>
          <w:color w:val="000000" w:themeColor="text1"/>
        </w:rPr>
        <w:t xml:space="preserve">, 2025).    </w:t>
      </w:r>
      <w:r w:rsidRPr="005F01C8">
        <w:rPr>
          <w:rFonts w:eastAsia="Arial" w:cs="Arial"/>
          <w:b/>
          <w:bCs/>
          <w:color w:val="000000" w:themeColor="text1"/>
        </w:rPr>
        <w:t xml:space="preserve"> </w:t>
      </w:r>
    </w:p>
    <w:p w14:paraId="00000049" w14:textId="77777777" w:rsidR="004C1AF0" w:rsidRPr="005F01C8" w:rsidRDefault="00F4153B">
      <w:pPr>
        <w:rPr>
          <w:rFonts w:eastAsia="Arial" w:cs="Arial"/>
          <w:b/>
          <w:bCs/>
          <w:color w:val="000000" w:themeColor="text1"/>
        </w:rPr>
      </w:pPr>
      <w:r w:rsidRPr="005F01C8">
        <w:rPr>
          <w:rFonts w:eastAsia="Arial" w:cs="Arial"/>
          <w:b/>
          <w:bCs/>
          <w:color w:val="000000" w:themeColor="text1"/>
        </w:rPr>
        <w:t xml:space="preserve">Decarbonisation leadership: </w:t>
      </w:r>
      <w:r w:rsidRPr="005F01C8">
        <w:rPr>
          <w:rFonts w:eastAsia="Arial" w:cs="Arial"/>
          <w:color w:val="000000" w:themeColor="text1"/>
        </w:rPr>
        <w:t xml:space="preserve">The vice president, safety, health &amp; sustainability oversees environmental strategies and drives the organisation toward carbon neutrality and lower GHG emissions. According to Zhang and Huang (2024), the leadership role is paramount in encouraging the implementation and adoption of low-carbon and sustainable practices that fuel the pursuit of greener operations and motivate employees to establish an organisational culture that promotes sustainability.   </w:t>
      </w:r>
      <w:r w:rsidRPr="005F01C8">
        <w:rPr>
          <w:rFonts w:eastAsia="Arial" w:cs="Arial"/>
          <w:b/>
          <w:bCs/>
          <w:color w:val="000000" w:themeColor="text1"/>
        </w:rPr>
        <w:t xml:space="preserve"> </w:t>
      </w:r>
    </w:p>
    <w:p w14:paraId="0000004A" w14:textId="77777777" w:rsidR="004C1AF0" w:rsidRPr="005F01C8" w:rsidRDefault="00F4153B">
      <w:pPr>
        <w:rPr>
          <w:rFonts w:eastAsia="Arial" w:cs="Arial"/>
          <w:color w:val="000000" w:themeColor="text1"/>
        </w:rPr>
      </w:pPr>
      <w:r w:rsidRPr="005F01C8">
        <w:rPr>
          <w:rFonts w:eastAsia="Arial" w:cs="Arial"/>
          <w:color w:val="000000" w:themeColor="text1"/>
        </w:rPr>
        <w:t xml:space="preserve">Overall, the consistent steel recycling network by using carbon capture, scrap-based EAF and green hydrogen DRI, with the guidance of low-carbon transformational leadership, is crucial to transform environmental responsibility into economic value. As institutional investors heavily weigh Environmental, Social, and Governance (ESG) metrics, the recommended robust decarbonisation strategies have the opportunity to gain sustainable financing.   </w:t>
      </w:r>
    </w:p>
    <w:p w14:paraId="0000004B" w14:textId="77777777" w:rsidR="004C1AF0" w:rsidRPr="005F01C8" w:rsidRDefault="00F4153B">
      <w:pPr>
        <w:pStyle w:val="Heading1"/>
        <w:rPr>
          <w:rFonts w:eastAsia="Arial" w:cs="Arial"/>
          <w:color w:val="000000" w:themeColor="text1"/>
        </w:rPr>
      </w:pPr>
      <w:bookmarkStart w:id="5" w:name="_Toc243575927"/>
      <w:r w:rsidRPr="005F01C8">
        <w:rPr>
          <w:rFonts w:eastAsia="Arial" w:cs="Arial"/>
          <w:color w:val="000000" w:themeColor="text1"/>
        </w:rPr>
        <w:lastRenderedPageBreak/>
        <w:t>Task 3: Managerial &amp; Professional Reflection</w:t>
      </w:r>
      <w:bookmarkEnd w:id="5"/>
      <w:r w:rsidRPr="005F01C8">
        <w:rPr>
          <w:rFonts w:eastAsia="Arial" w:cs="Arial"/>
          <w:color w:val="000000" w:themeColor="text1"/>
        </w:rPr>
        <w:t xml:space="preserve"> </w:t>
      </w:r>
    </w:p>
    <w:p w14:paraId="0000004C" w14:textId="77777777" w:rsidR="004C1AF0" w:rsidRPr="005F01C8" w:rsidRDefault="00F4153B">
      <w:pPr>
        <w:rPr>
          <w:rFonts w:eastAsia="Arial" w:cs="Arial"/>
          <w:color w:val="000000" w:themeColor="text1"/>
        </w:rPr>
      </w:pPr>
      <w:r w:rsidRPr="005F01C8">
        <w:rPr>
          <w:rFonts w:eastAsia="Arial" w:cs="Arial"/>
          <w:b/>
          <w:bCs/>
          <w:color w:val="000000" w:themeColor="text1"/>
        </w:rPr>
        <w:t xml:space="preserve">Company selection: </w:t>
      </w:r>
      <w:r w:rsidRPr="005F01C8">
        <w:rPr>
          <w:rFonts w:eastAsia="Arial" w:cs="Arial"/>
          <w:color w:val="000000" w:themeColor="text1"/>
        </w:rPr>
        <w:t xml:space="preserve">I have selected the well-reputed Indian multinational steel manufacturer, Tata Steel, which has deep Indian roots since 1907. A bulk of information regarding this company’s carbon footprint, sustainable practices and leadership guidance is easily accessible on the Internet. Therefore, it serves as an excellent case study for critically analysing the current sustainability practices and green initiatives of the company in the Indian Steel industry.                           </w:t>
      </w:r>
    </w:p>
    <w:p w14:paraId="0000004D" w14:textId="77777777" w:rsidR="004C1AF0" w:rsidRPr="005F01C8" w:rsidRDefault="00F4153B">
      <w:pPr>
        <w:rPr>
          <w:rFonts w:eastAsia="Arial" w:cs="Arial"/>
          <w:color w:val="000000" w:themeColor="text1"/>
        </w:rPr>
      </w:pPr>
      <w:r w:rsidRPr="005F01C8">
        <w:rPr>
          <w:rFonts w:eastAsia="Arial" w:cs="Arial"/>
          <w:b/>
          <w:bCs/>
          <w:color w:val="000000" w:themeColor="text1"/>
        </w:rPr>
        <w:t xml:space="preserve">Selection of External Environmental Actors: </w:t>
      </w:r>
      <w:r w:rsidRPr="005F01C8">
        <w:rPr>
          <w:rFonts w:eastAsia="Arial" w:cs="Arial"/>
          <w:color w:val="000000" w:themeColor="text1"/>
        </w:rPr>
        <w:t xml:space="preserve">The selected actors, including the natural environment, were used to identify the opportunities and threats of producing the huge volume of steel across India. Government and regulatory bodies are the most immediate financial and legal drivers for the steel manufacturing company. </w:t>
      </w:r>
    </w:p>
    <w:p w14:paraId="0000004E" w14:textId="77777777" w:rsidR="004C1AF0" w:rsidRPr="005F01C8" w:rsidRDefault="00F4153B">
      <w:pPr>
        <w:rPr>
          <w:rFonts w:eastAsia="Arial" w:cs="Arial"/>
          <w:color w:val="000000" w:themeColor="text1"/>
        </w:rPr>
      </w:pPr>
      <w:r w:rsidRPr="005F01C8">
        <w:rPr>
          <w:rFonts w:eastAsia="Arial" w:cs="Arial"/>
          <w:color w:val="000000" w:themeColor="text1"/>
        </w:rPr>
        <w:t>By focusing on the government and regulatory bodies, the assessment has found that the existing Carbon Trading Scheme is crucial to cutting CO</w:t>
      </w:r>
      <w:r w:rsidRPr="005F01C8">
        <w:rPr>
          <w:rFonts w:eastAsia="Arial" w:cs="Arial"/>
          <w:color w:val="000000" w:themeColor="text1"/>
          <w:vertAlign w:val="subscript"/>
        </w:rPr>
        <w:t>2</w:t>
      </w:r>
      <w:r w:rsidRPr="005F01C8">
        <w:rPr>
          <w:rFonts w:eastAsia="Arial" w:cs="Arial"/>
          <w:color w:val="000000" w:themeColor="text1"/>
        </w:rPr>
        <w:t xml:space="preserve"> from steel manufacturing. Another factor, customer &amp; market trends, was used to analyse current Indian consumer preferences to guide Tata Steel Ltd in its sustainability pathway.   However, the suppliers &amp; value chain external partners could also be mentioned to focus on the green supply chain in steel manufacturing.  </w:t>
      </w:r>
    </w:p>
    <w:p w14:paraId="0000004F" w14:textId="77777777" w:rsidR="004C1AF0" w:rsidRPr="005F01C8" w:rsidRDefault="00F4153B">
      <w:pPr>
        <w:rPr>
          <w:rFonts w:eastAsia="Arial" w:cs="Arial"/>
          <w:color w:val="000000" w:themeColor="text1"/>
        </w:rPr>
      </w:pPr>
      <w:r w:rsidRPr="005F01C8">
        <w:rPr>
          <w:rFonts w:eastAsia="Arial" w:cs="Arial"/>
          <w:b/>
          <w:bCs/>
          <w:color w:val="000000" w:themeColor="text1"/>
        </w:rPr>
        <w:t xml:space="preserve">Strategic Recommendation: </w:t>
      </w:r>
      <w:r w:rsidRPr="005F01C8">
        <w:rPr>
          <w:rFonts w:eastAsia="Arial" w:cs="Arial"/>
          <w:color w:val="000000" w:themeColor="text1"/>
        </w:rPr>
        <w:t xml:space="preserve">I have found that a consistent steel recycling network is crucial for Tata Steel Ltd to stay competitive in the Indian steel industry. This recommendation is justified by the identified opportunity that Indian consumers prefer sustainable products and investors weigh ESG metrics, which helps to make steel with low-carbon manufacturing processes. I have understood that the scrap-based EAF process helps to cut high carbon emissions from steel manufacturing, helping to respond to the high threat in India's steel manufacturing sector.    </w:t>
      </w:r>
    </w:p>
    <w:p w14:paraId="00000050" w14:textId="77777777" w:rsidR="004C1AF0" w:rsidRPr="005F01C8" w:rsidRDefault="00F4153B">
      <w:pPr>
        <w:rPr>
          <w:rFonts w:eastAsia="Arial" w:cs="Arial"/>
          <w:color w:val="000000" w:themeColor="text1"/>
        </w:rPr>
      </w:pPr>
      <w:r w:rsidRPr="005F01C8">
        <w:rPr>
          <w:rFonts w:eastAsia="Arial" w:cs="Arial"/>
          <w:b/>
          <w:bCs/>
          <w:color w:val="000000" w:themeColor="text1"/>
        </w:rPr>
        <w:t xml:space="preserve">Limitations of my analysis: </w:t>
      </w:r>
      <w:r w:rsidRPr="005F01C8">
        <w:rPr>
          <w:rFonts w:eastAsia="Arial" w:cs="Arial"/>
          <w:color w:val="000000" w:themeColor="text1"/>
        </w:rPr>
        <w:t xml:space="preserve">I could have used more graphical representations to compare the carbon footprint rate of the company between the present year and the previous 4 years. It would help to make a clear understanding of the company’s sustainable progress. </w:t>
      </w:r>
    </w:p>
    <w:p w14:paraId="00000051" w14:textId="77777777" w:rsidR="004C1AF0" w:rsidRPr="005F01C8" w:rsidRDefault="00F4153B">
      <w:pPr>
        <w:rPr>
          <w:rFonts w:eastAsia="Arial" w:cs="Arial"/>
          <w:color w:val="000000" w:themeColor="text1"/>
        </w:rPr>
      </w:pPr>
      <w:r w:rsidRPr="005F01C8">
        <w:rPr>
          <w:rFonts w:eastAsia="Arial" w:cs="Arial"/>
          <w:b/>
          <w:bCs/>
          <w:color w:val="000000" w:themeColor="text1"/>
        </w:rPr>
        <w:t xml:space="preserve">Further plan for improving my research skills: </w:t>
      </w:r>
      <w:r w:rsidRPr="005F01C8">
        <w:rPr>
          <w:rFonts w:eastAsia="Arial" w:cs="Arial"/>
          <w:color w:val="000000" w:themeColor="text1"/>
        </w:rPr>
        <w:t xml:space="preserve">In future, I will use more theoretical concepts such as the triple bottom line and the UN SDGs to align with the discussions to improve the depth, academic rigour, and real-world relevance of my analysis.  </w:t>
      </w:r>
    </w:p>
    <w:p w14:paraId="00000052" w14:textId="77777777" w:rsidR="004C1AF0" w:rsidRPr="005F01C8" w:rsidRDefault="00F4153B">
      <w:pPr>
        <w:rPr>
          <w:rFonts w:eastAsia="Arial" w:cs="Arial"/>
          <w:color w:val="000000" w:themeColor="text1"/>
        </w:rPr>
      </w:pPr>
      <w:r w:rsidRPr="005F01C8">
        <w:rPr>
          <w:rFonts w:eastAsia="Arial" w:cs="Arial"/>
          <w:b/>
          <w:bCs/>
          <w:color w:val="000000" w:themeColor="text1"/>
        </w:rPr>
        <w:lastRenderedPageBreak/>
        <w:t>Learning for management practices:</w:t>
      </w:r>
      <w:r w:rsidRPr="005F01C8">
        <w:rPr>
          <w:rFonts w:eastAsia="Arial" w:cs="Arial"/>
          <w:color w:val="000000" w:themeColor="text1"/>
        </w:rPr>
        <w:t xml:space="preserve"> The overall analysis demonstrates the importance of sustainability principles that include environmental responsibility, social responsibility, and economic responsibility. It serves as guidance for the Indian multinational steel manufacturing giant, Tata Steel, to take preventive action to cut CO</w:t>
      </w:r>
      <w:r w:rsidRPr="005F01C8">
        <w:rPr>
          <w:rFonts w:eastAsia="Arial" w:cs="Arial"/>
          <w:color w:val="000000" w:themeColor="text1"/>
          <w:vertAlign w:val="subscript"/>
        </w:rPr>
        <w:t>2</w:t>
      </w:r>
      <w:r w:rsidRPr="005F01C8">
        <w:rPr>
          <w:rFonts w:eastAsia="Arial" w:cs="Arial"/>
          <w:color w:val="000000" w:themeColor="text1"/>
        </w:rPr>
        <w:t xml:space="preserve"> emissions and protect the future. </w:t>
      </w:r>
      <w:r w:rsidRPr="005F01C8">
        <w:rPr>
          <w:color w:val="000000" w:themeColor="text1"/>
        </w:rPr>
        <w:br w:type="page"/>
      </w:r>
    </w:p>
    <w:p w14:paraId="00000053" w14:textId="77777777" w:rsidR="004C1AF0" w:rsidRDefault="00F4153B">
      <w:pPr>
        <w:pStyle w:val="Heading1"/>
        <w:rPr>
          <w:rFonts w:eastAsia="Arial" w:cs="Arial"/>
        </w:rPr>
      </w:pPr>
      <w:bookmarkStart w:id="6" w:name="_Toc243575928"/>
      <w:r>
        <w:rPr>
          <w:rFonts w:eastAsia="Arial" w:cs="Arial"/>
        </w:rPr>
        <w:lastRenderedPageBreak/>
        <w:t>Reference list</w:t>
      </w:r>
      <w:bookmarkEnd w:id="6"/>
    </w:p>
    <w:p w14:paraId="00000054" w14:textId="77777777" w:rsidR="004C1AF0" w:rsidRDefault="00F4153B">
      <w:pPr>
        <w:spacing w:after="240"/>
        <w:rPr>
          <w:rFonts w:eastAsia="Arial" w:cs="Arial"/>
        </w:rPr>
      </w:pPr>
      <w:r>
        <w:rPr>
          <w:rFonts w:eastAsia="Arial" w:cs="Arial"/>
        </w:rPr>
        <w:t xml:space="preserve">Arora, N. (2026) “India aiming to cut steel emissions by 25%, double capacity, document shows,” </w:t>
      </w:r>
      <w:r>
        <w:rPr>
          <w:rFonts w:eastAsia="Arial" w:cs="Arial"/>
          <w:i/>
          <w:iCs/>
        </w:rPr>
        <w:t>Reuters</w:t>
      </w:r>
      <w:r>
        <w:rPr>
          <w:rFonts w:eastAsia="Arial" w:cs="Arial"/>
        </w:rPr>
        <w:t xml:space="preserve">, 9 April. Available at: </w:t>
      </w:r>
      <w:hyperlink r:id="rId10">
        <w:r>
          <w:rPr>
            <w:rFonts w:eastAsia="Arial" w:cs="Arial"/>
            <w:color w:val="0000FF"/>
            <w:u w:val="single"/>
          </w:rPr>
          <w:t>https://www.reuters.com/sustainability/climate-energy/india-aiming-cut-steel-emissions-by-25-double-capacity-document-shows-2026-04-09/</w:t>
        </w:r>
      </w:hyperlink>
      <w:r>
        <w:rPr>
          <w:rFonts w:eastAsia="Arial" w:cs="Arial"/>
        </w:rPr>
        <w:t xml:space="preserve"> (Accessed: October 12, 2026).</w:t>
      </w:r>
    </w:p>
    <w:p w14:paraId="00000055" w14:textId="77777777" w:rsidR="004C1AF0" w:rsidRDefault="00F4153B">
      <w:pPr>
        <w:spacing w:after="240"/>
        <w:rPr>
          <w:rFonts w:eastAsia="Arial" w:cs="Arial"/>
        </w:rPr>
      </w:pPr>
      <w:r>
        <w:rPr>
          <w:rFonts w:eastAsia="Arial" w:cs="Arial"/>
        </w:rPr>
        <w:t xml:space="preserve">Bansal (2024) </w:t>
      </w:r>
      <w:r>
        <w:rPr>
          <w:rFonts w:eastAsia="Arial" w:cs="Arial"/>
          <w:i/>
          <w:iCs/>
        </w:rPr>
        <w:t>How India can lead the global green steel revolution while balancing growth</w:t>
      </w:r>
      <w:r>
        <w:rPr>
          <w:rFonts w:eastAsia="Arial" w:cs="Arial"/>
        </w:rPr>
        <w:t xml:space="preserve">, </w:t>
      </w:r>
      <w:r>
        <w:rPr>
          <w:rFonts w:eastAsia="Arial" w:cs="Arial"/>
          <w:i/>
          <w:iCs/>
        </w:rPr>
        <w:t>EY.com</w:t>
      </w:r>
      <w:r>
        <w:rPr>
          <w:rFonts w:eastAsia="Arial" w:cs="Arial"/>
        </w:rPr>
        <w:t xml:space="preserve">. Available at: </w:t>
      </w:r>
      <w:hyperlink r:id="rId11">
        <w:r>
          <w:rPr>
            <w:rFonts w:eastAsia="Arial" w:cs="Arial"/>
            <w:color w:val="0000FF"/>
            <w:u w:val="single"/>
          </w:rPr>
          <w:t>https://www.ey.com/en_in/insights/mining-metals/how-india-can-lead-the-global-green-steel-revolution-while-balancing-growth</w:t>
        </w:r>
      </w:hyperlink>
      <w:r>
        <w:rPr>
          <w:rFonts w:eastAsia="Arial" w:cs="Arial"/>
        </w:rPr>
        <w:t xml:space="preserve"> (Accessed: October 12, 2026).</w:t>
      </w:r>
    </w:p>
    <w:p w14:paraId="00000056" w14:textId="77777777" w:rsidR="004C1AF0" w:rsidRDefault="00F4153B">
      <w:pPr>
        <w:spacing w:after="240"/>
        <w:rPr>
          <w:rFonts w:eastAsia="Arial" w:cs="Arial"/>
        </w:rPr>
      </w:pPr>
      <w:r>
        <w:rPr>
          <w:rFonts w:eastAsia="Arial" w:cs="Arial"/>
        </w:rPr>
        <w:t xml:space="preserve">Briffa, J., Sinagra, E. and Blundell, R. (2020) “Heavy metal pollution in the environment and their toxicological effects on humans,” </w:t>
      </w:r>
      <w:r>
        <w:rPr>
          <w:rFonts w:eastAsia="Arial" w:cs="Arial"/>
          <w:i/>
          <w:iCs/>
        </w:rPr>
        <w:t>Heliyon</w:t>
      </w:r>
      <w:r>
        <w:rPr>
          <w:rFonts w:eastAsia="Arial" w:cs="Arial"/>
        </w:rPr>
        <w:t xml:space="preserve">, 6(9). Available at: </w:t>
      </w:r>
      <w:hyperlink r:id="rId12">
        <w:r>
          <w:rPr>
            <w:rFonts w:eastAsia="Arial" w:cs="Arial"/>
            <w:color w:val="0000FF"/>
            <w:u w:val="single"/>
          </w:rPr>
          <w:t>https://doi.org/10.1016/j.heliyon.2020.e04691</w:t>
        </w:r>
      </w:hyperlink>
      <w:r>
        <w:rPr>
          <w:rFonts w:eastAsia="Arial" w:cs="Arial"/>
        </w:rPr>
        <w:t xml:space="preserve"> </w:t>
      </w:r>
    </w:p>
    <w:p w14:paraId="00000057" w14:textId="77777777" w:rsidR="004C1AF0" w:rsidRDefault="00F4153B">
      <w:pPr>
        <w:spacing w:after="240"/>
        <w:rPr>
          <w:rFonts w:eastAsia="Arial" w:cs="Arial"/>
        </w:rPr>
      </w:pPr>
      <w:r>
        <w:rPr>
          <w:rFonts w:eastAsia="Arial" w:cs="Arial"/>
        </w:rPr>
        <w:t xml:space="preserve">Broadbent, C. (2016) “Steel’s recyclability: Demonstrating the benefits of recycling steel to achieve a circular economy,” </w:t>
      </w:r>
      <w:r>
        <w:rPr>
          <w:rFonts w:eastAsia="Arial" w:cs="Arial"/>
          <w:i/>
          <w:iCs/>
        </w:rPr>
        <w:t>The International Journal of Life Cycle Assessment</w:t>
      </w:r>
      <w:r>
        <w:rPr>
          <w:rFonts w:eastAsia="Arial" w:cs="Arial"/>
        </w:rPr>
        <w:t xml:space="preserve">, vol. 21, no. 11, pp. 1658–1665. Available at: </w:t>
      </w:r>
      <w:hyperlink r:id="rId13">
        <w:r>
          <w:rPr>
            <w:rFonts w:eastAsia="Arial" w:cs="Arial"/>
            <w:color w:val="0000FF"/>
            <w:u w:val="single"/>
          </w:rPr>
          <w:t>https://doi.org/10.1007/s11367-016-1081-1</w:t>
        </w:r>
      </w:hyperlink>
      <w:r>
        <w:rPr>
          <w:rFonts w:eastAsia="Arial" w:cs="Arial"/>
        </w:rPr>
        <w:t xml:space="preserve"> </w:t>
      </w:r>
    </w:p>
    <w:p w14:paraId="00000058" w14:textId="77777777" w:rsidR="004C1AF0" w:rsidRDefault="00F4153B">
      <w:pPr>
        <w:spacing w:after="240"/>
        <w:rPr>
          <w:rFonts w:eastAsia="Arial" w:cs="Arial"/>
        </w:rPr>
      </w:pPr>
      <w:r>
        <w:rPr>
          <w:rFonts w:eastAsia="Arial" w:cs="Arial"/>
        </w:rPr>
        <w:t xml:space="preserve">Bureau of Energy Efficiency (2026). </w:t>
      </w:r>
      <w:r>
        <w:rPr>
          <w:rFonts w:eastAsia="Arial" w:cs="Arial"/>
          <w:i/>
          <w:iCs/>
        </w:rPr>
        <w:t>Bureau of Energy Efficiency (BEE)</w:t>
      </w:r>
      <w:r>
        <w:rPr>
          <w:rFonts w:eastAsia="Arial" w:cs="Arial"/>
        </w:rPr>
        <w:t xml:space="preserve">, </w:t>
      </w:r>
      <w:r>
        <w:rPr>
          <w:rFonts w:eastAsia="Arial" w:cs="Arial"/>
          <w:i/>
          <w:iCs/>
        </w:rPr>
        <w:t>Beeindia.gov.in</w:t>
      </w:r>
      <w:r>
        <w:rPr>
          <w:rFonts w:eastAsia="Arial" w:cs="Arial"/>
        </w:rPr>
        <w:t xml:space="preserve">. Available at: </w:t>
      </w:r>
      <w:hyperlink r:id="rId14">
        <w:r>
          <w:rPr>
            <w:rFonts w:eastAsia="Arial" w:cs="Arial"/>
            <w:color w:val="0000FF"/>
            <w:u w:val="single"/>
          </w:rPr>
          <w:t>https://beeindia.gov.in/show_content.php?lang=1&amp;level=1&amp;ls_id=189&amp;lid=294</w:t>
        </w:r>
      </w:hyperlink>
      <w:r>
        <w:rPr>
          <w:rFonts w:eastAsia="Arial" w:cs="Arial"/>
        </w:rPr>
        <w:t xml:space="preserve"> (Accessed: October 12, 2026).</w:t>
      </w:r>
    </w:p>
    <w:p w14:paraId="00000059" w14:textId="77777777" w:rsidR="004C1AF0" w:rsidRDefault="00F4153B">
      <w:pPr>
        <w:spacing w:after="240"/>
        <w:rPr>
          <w:rFonts w:eastAsia="Arial" w:cs="Arial"/>
        </w:rPr>
      </w:pPr>
      <w:r>
        <w:rPr>
          <w:rFonts w:eastAsia="Arial" w:cs="Arial"/>
        </w:rPr>
        <w:t xml:space="preserve">Business Today (2022) </w:t>
      </w:r>
      <w:r>
        <w:rPr>
          <w:rFonts w:eastAsia="Arial" w:cs="Arial"/>
          <w:i/>
          <w:iCs/>
        </w:rPr>
        <w:t>Indians want to prioritise spending on sustainable products: AMEX survey</w:t>
      </w:r>
      <w:r>
        <w:rPr>
          <w:rFonts w:eastAsia="Arial" w:cs="Arial"/>
        </w:rPr>
        <w:t xml:space="preserve">, </w:t>
      </w:r>
      <w:r>
        <w:rPr>
          <w:rFonts w:eastAsia="Arial" w:cs="Arial"/>
          <w:i/>
          <w:iCs/>
        </w:rPr>
        <w:t>Business Today</w:t>
      </w:r>
      <w:r>
        <w:rPr>
          <w:rFonts w:eastAsia="Arial" w:cs="Arial"/>
        </w:rPr>
        <w:t xml:space="preserve">. Available at: </w:t>
      </w:r>
      <w:hyperlink r:id="rId15">
        <w:r>
          <w:rPr>
            <w:rFonts w:eastAsia="Arial" w:cs="Arial"/>
            <w:color w:val="0000FF"/>
            <w:u w:val="single"/>
          </w:rPr>
          <w:t>https://www.businesstoday.in/latest/story/indians-want-to-prioritise-spending-on-sustainable-products-amex-survey-330589-2022-04-20</w:t>
        </w:r>
      </w:hyperlink>
      <w:r>
        <w:rPr>
          <w:rFonts w:eastAsia="Arial" w:cs="Arial"/>
        </w:rPr>
        <w:t xml:space="preserve"> (Accessed: October 12, 2026).</w:t>
      </w:r>
    </w:p>
    <w:p w14:paraId="0000005A" w14:textId="77777777" w:rsidR="004C1AF0" w:rsidRDefault="00F4153B">
      <w:pPr>
        <w:spacing w:after="240"/>
        <w:rPr>
          <w:rFonts w:eastAsia="Arial" w:cs="Arial"/>
        </w:rPr>
      </w:pPr>
      <w:r>
        <w:rPr>
          <w:rFonts w:eastAsia="Arial" w:cs="Arial"/>
        </w:rPr>
        <w:t xml:space="preserve">Climate Science (2024) </w:t>
      </w:r>
      <w:r>
        <w:rPr>
          <w:rFonts w:eastAsia="Arial" w:cs="Arial"/>
          <w:i/>
          <w:iCs/>
        </w:rPr>
        <w:t>Sustainable steel: What’s climate change got to do with steel? | ClimateScience</w:t>
      </w:r>
      <w:r>
        <w:rPr>
          <w:rFonts w:eastAsia="Arial" w:cs="Arial"/>
        </w:rPr>
        <w:t xml:space="preserve">, </w:t>
      </w:r>
      <w:r>
        <w:rPr>
          <w:rFonts w:eastAsia="Arial" w:cs="Arial"/>
          <w:i/>
          <w:iCs/>
        </w:rPr>
        <w:t>climatescience.org</w:t>
      </w:r>
      <w:r>
        <w:rPr>
          <w:rFonts w:eastAsia="Arial" w:cs="Arial"/>
        </w:rPr>
        <w:t xml:space="preserve">. Available at: </w:t>
      </w:r>
      <w:hyperlink r:id="rId16">
        <w:r>
          <w:rPr>
            <w:rFonts w:eastAsia="Arial" w:cs="Arial"/>
            <w:color w:val="0000FF"/>
            <w:u w:val="single"/>
          </w:rPr>
          <w:t>https://climatescience.org/advanced-steel-climate</w:t>
        </w:r>
      </w:hyperlink>
      <w:r>
        <w:rPr>
          <w:rFonts w:eastAsia="Arial" w:cs="Arial"/>
        </w:rPr>
        <w:t xml:space="preserve"> (Accessed: October 12, 2026).</w:t>
      </w:r>
    </w:p>
    <w:p w14:paraId="0000005B" w14:textId="77777777" w:rsidR="004C1AF0" w:rsidRDefault="00F4153B">
      <w:pPr>
        <w:spacing w:after="240"/>
        <w:rPr>
          <w:rFonts w:eastAsia="Arial" w:cs="Arial"/>
        </w:rPr>
      </w:pPr>
      <w:r>
        <w:rPr>
          <w:rFonts w:eastAsia="Arial" w:cs="Arial"/>
        </w:rPr>
        <w:lastRenderedPageBreak/>
        <w:t xml:space="preserve">Grigorenko, Y. (2026) </w:t>
      </w:r>
      <w:r>
        <w:rPr>
          <w:rFonts w:eastAsia="Arial" w:cs="Arial"/>
          <w:i/>
          <w:iCs/>
        </w:rPr>
        <w:t>India plans to allocate $529 million to reduce emissions in the steel industry</w:t>
      </w:r>
      <w:r>
        <w:rPr>
          <w:rFonts w:eastAsia="Arial" w:cs="Arial"/>
        </w:rPr>
        <w:t xml:space="preserve">, </w:t>
      </w:r>
      <w:r>
        <w:rPr>
          <w:rFonts w:eastAsia="Arial" w:cs="Arial"/>
          <w:i/>
          <w:iCs/>
        </w:rPr>
        <w:t>GMK</w:t>
      </w:r>
      <w:r>
        <w:rPr>
          <w:rFonts w:eastAsia="Arial" w:cs="Arial"/>
        </w:rPr>
        <w:t xml:space="preserve">. GMK.CENTER. Available at: </w:t>
      </w:r>
      <w:hyperlink r:id="rId17">
        <w:r>
          <w:rPr>
            <w:rFonts w:eastAsia="Arial" w:cs="Arial"/>
            <w:color w:val="0000FF"/>
            <w:u w:val="single"/>
          </w:rPr>
          <w:t>https://gmk.center/en/news/india-plans-to-allocate-529-million-to-reduce-emissions-in-the-steel-industry/</w:t>
        </w:r>
      </w:hyperlink>
      <w:r>
        <w:rPr>
          <w:rFonts w:eastAsia="Arial" w:cs="Arial"/>
        </w:rPr>
        <w:t xml:space="preserve"> Accessed: October 12, 2026.</w:t>
      </w:r>
    </w:p>
    <w:p w14:paraId="0000005C" w14:textId="77777777" w:rsidR="004C1AF0" w:rsidRDefault="00F4153B">
      <w:pPr>
        <w:spacing w:after="240"/>
        <w:rPr>
          <w:rFonts w:eastAsia="Arial" w:cs="Arial"/>
        </w:rPr>
      </w:pPr>
      <w:r>
        <w:rPr>
          <w:rFonts w:eastAsia="Arial" w:cs="Arial"/>
        </w:rPr>
        <w:t xml:space="preserve">Guo, X. </w:t>
      </w:r>
      <w:r>
        <w:rPr>
          <w:rFonts w:eastAsia="Arial" w:cs="Arial"/>
          <w:i/>
          <w:iCs/>
        </w:rPr>
        <w:t>et al.</w:t>
      </w:r>
      <w:r>
        <w:rPr>
          <w:rFonts w:eastAsia="Arial" w:cs="Arial"/>
        </w:rPr>
        <w:t xml:space="preserve"> (2025) “Exploring carbon reduction pathways in the steel industry from the perspective of emerging technologies for achieving carbon neutrality,” </w:t>
      </w:r>
      <w:r>
        <w:rPr>
          <w:rFonts w:eastAsia="Arial" w:cs="Arial"/>
          <w:i/>
          <w:iCs/>
        </w:rPr>
        <w:t>Journal of Environmental Management</w:t>
      </w:r>
      <w:r>
        <w:rPr>
          <w:rFonts w:eastAsia="Arial" w:cs="Arial"/>
        </w:rPr>
        <w:t xml:space="preserve">, pp. 385. Available at: </w:t>
      </w:r>
      <w:hyperlink r:id="rId18">
        <w:r>
          <w:rPr>
            <w:rFonts w:eastAsia="Arial" w:cs="Arial"/>
            <w:color w:val="0000FF"/>
            <w:u w:val="single"/>
          </w:rPr>
          <w:t>https://doi.org/10.1016/j.jenvman.2025.125768</w:t>
        </w:r>
      </w:hyperlink>
      <w:r>
        <w:rPr>
          <w:rFonts w:eastAsia="Arial" w:cs="Arial"/>
        </w:rPr>
        <w:t xml:space="preserve"> </w:t>
      </w:r>
    </w:p>
    <w:p w14:paraId="0000005D" w14:textId="77777777" w:rsidR="004C1AF0" w:rsidRDefault="00F4153B">
      <w:pPr>
        <w:spacing w:after="240"/>
        <w:rPr>
          <w:rFonts w:eastAsia="Arial" w:cs="Arial"/>
        </w:rPr>
      </w:pPr>
      <w:r>
        <w:rPr>
          <w:rFonts w:eastAsia="Arial" w:cs="Arial"/>
        </w:rPr>
        <w:t xml:space="preserve">Helmold, M. (2022) “Marketing management as part of the corporate strategy,” </w:t>
      </w:r>
      <w:r>
        <w:rPr>
          <w:rFonts w:eastAsia="Arial" w:cs="Arial"/>
          <w:i/>
          <w:iCs/>
        </w:rPr>
        <w:t>Management for Professionals</w:t>
      </w:r>
      <w:r>
        <w:rPr>
          <w:rFonts w:eastAsia="Arial" w:cs="Arial"/>
        </w:rPr>
        <w:t xml:space="preserve">, pp. 13–34. Available at: </w:t>
      </w:r>
      <w:hyperlink r:id="rId19">
        <w:r>
          <w:rPr>
            <w:rFonts w:eastAsia="Arial" w:cs="Arial"/>
            <w:color w:val="0000FF"/>
            <w:u w:val="single"/>
          </w:rPr>
          <w:t>https://doi.org/10.1007/978-3-031-10097-0_2</w:t>
        </w:r>
      </w:hyperlink>
      <w:r>
        <w:rPr>
          <w:rFonts w:eastAsia="Arial" w:cs="Arial"/>
        </w:rPr>
        <w:t xml:space="preserve"> </w:t>
      </w:r>
    </w:p>
    <w:p w14:paraId="0000005E" w14:textId="77777777" w:rsidR="004C1AF0" w:rsidRDefault="00F4153B">
      <w:pPr>
        <w:spacing w:after="240"/>
        <w:rPr>
          <w:rFonts w:eastAsia="Arial" w:cs="Arial"/>
        </w:rPr>
      </w:pPr>
      <w:r>
        <w:rPr>
          <w:rFonts w:eastAsia="Arial" w:cs="Arial"/>
        </w:rPr>
        <w:t xml:space="preserve">Kolisnichenko, V. (2024) </w:t>
      </w:r>
      <w:r>
        <w:rPr>
          <w:rFonts w:eastAsia="Arial" w:cs="Arial"/>
          <w:i/>
          <w:iCs/>
        </w:rPr>
        <w:t>Indian steel industry leads the world in CO2 emissions</w:t>
      </w:r>
      <w:r>
        <w:rPr>
          <w:rFonts w:eastAsia="Arial" w:cs="Arial"/>
        </w:rPr>
        <w:t xml:space="preserve">, </w:t>
      </w:r>
      <w:r>
        <w:rPr>
          <w:rFonts w:eastAsia="Arial" w:cs="Arial"/>
          <w:i/>
          <w:iCs/>
        </w:rPr>
        <w:t>GMK</w:t>
      </w:r>
      <w:r>
        <w:rPr>
          <w:rFonts w:eastAsia="Arial" w:cs="Arial"/>
        </w:rPr>
        <w:t xml:space="preserve">. GMK.CENTER. Available at: </w:t>
      </w:r>
      <w:hyperlink r:id="rId20">
        <w:r>
          <w:rPr>
            <w:rFonts w:eastAsia="Arial" w:cs="Arial"/>
            <w:color w:val="0000FF"/>
            <w:u w:val="single"/>
          </w:rPr>
          <w:t>https://gmk.center/en/news/indian-steel-industry-leads-the-world-in-co2-emissions/</w:t>
        </w:r>
      </w:hyperlink>
      <w:r>
        <w:rPr>
          <w:rFonts w:eastAsia="Arial" w:cs="Arial"/>
        </w:rPr>
        <w:t xml:space="preserve"> (Accessed: October 12, 2026).</w:t>
      </w:r>
    </w:p>
    <w:p w14:paraId="0000005F" w14:textId="77777777" w:rsidR="004C1AF0" w:rsidRDefault="00F4153B">
      <w:pPr>
        <w:spacing w:after="240"/>
        <w:rPr>
          <w:rFonts w:eastAsia="Arial" w:cs="Arial"/>
        </w:rPr>
      </w:pPr>
      <w:r>
        <w:rPr>
          <w:rFonts w:eastAsia="Arial" w:cs="Arial"/>
        </w:rPr>
        <w:t xml:space="preserve">Mallett, A. and Pal, P. (2022) “Green transformation in the iron and steel industry in India: Rethinking patterns of innovation,” </w:t>
      </w:r>
      <w:r>
        <w:rPr>
          <w:rFonts w:eastAsia="Arial" w:cs="Arial"/>
          <w:i/>
          <w:iCs/>
        </w:rPr>
        <w:t>Energy Strategy Reviews</w:t>
      </w:r>
      <w:r>
        <w:rPr>
          <w:rFonts w:eastAsia="Arial" w:cs="Arial"/>
        </w:rPr>
        <w:t xml:space="preserve">, pp. 44. Available at: </w:t>
      </w:r>
      <w:hyperlink r:id="rId21">
        <w:r>
          <w:rPr>
            <w:rFonts w:eastAsia="Arial" w:cs="Arial"/>
            <w:color w:val="0000FF"/>
            <w:u w:val="single"/>
          </w:rPr>
          <w:t>https://doi.org/10.1016/j.esr.2022.100968</w:t>
        </w:r>
      </w:hyperlink>
      <w:r>
        <w:rPr>
          <w:rFonts w:eastAsia="Arial" w:cs="Arial"/>
        </w:rPr>
        <w:t xml:space="preserve"> </w:t>
      </w:r>
    </w:p>
    <w:p w14:paraId="00000060" w14:textId="77777777" w:rsidR="004C1AF0" w:rsidRDefault="00F4153B">
      <w:pPr>
        <w:spacing w:after="240"/>
        <w:rPr>
          <w:rFonts w:eastAsia="Arial" w:cs="Arial"/>
        </w:rPr>
      </w:pPr>
      <w:r>
        <w:rPr>
          <w:rFonts w:eastAsia="Arial" w:cs="Arial"/>
        </w:rPr>
        <w:t xml:space="preserve">Miller, D. and Friesen, P.H. (1986) “Porter’s (1980) generic strategies and performance: An empirical examination with American data,” </w:t>
      </w:r>
      <w:r>
        <w:rPr>
          <w:rFonts w:eastAsia="Arial" w:cs="Arial"/>
          <w:i/>
          <w:iCs/>
        </w:rPr>
        <w:t>Organization Studies</w:t>
      </w:r>
      <w:r>
        <w:rPr>
          <w:rFonts w:eastAsia="Arial" w:cs="Arial"/>
        </w:rPr>
        <w:t xml:space="preserve">, 7(1), pp. 37–55. Available at: </w:t>
      </w:r>
      <w:hyperlink r:id="rId22">
        <w:r>
          <w:rPr>
            <w:rFonts w:eastAsia="Arial" w:cs="Arial"/>
            <w:color w:val="1155CC"/>
            <w:u w:val="single"/>
          </w:rPr>
          <w:t>https://doi.org/10.1177/017084068600700103</w:t>
        </w:r>
      </w:hyperlink>
      <w:r>
        <w:rPr>
          <w:rFonts w:eastAsia="Arial" w:cs="Arial"/>
        </w:rPr>
        <w:t xml:space="preserve">. </w:t>
      </w:r>
    </w:p>
    <w:p w14:paraId="00000061" w14:textId="77777777" w:rsidR="004C1AF0" w:rsidRDefault="00F4153B">
      <w:pPr>
        <w:spacing w:after="240"/>
        <w:rPr>
          <w:rFonts w:eastAsia="Arial" w:cs="Arial"/>
        </w:rPr>
      </w:pPr>
      <w:r>
        <w:rPr>
          <w:rFonts w:eastAsia="Arial" w:cs="Arial"/>
        </w:rPr>
        <w:t xml:space="preserve">Nayak, A., Niranjan, N. and Kumar, S.B. (2026) “Short-term emission pathways in India’s iron and steel sector: A hybrid framework combining quantitative methods and bottom-up modelling,” </w:t>
      </w:r>
      <w:r>
        <w:rPr>
          <w:rFonts w:eastAsia="Arial" w:cs="Arial"/>
          <w:i/>
          <w:iCs/>
        </w:rPr>
        <w:t>Environmental Pollution and Management</w:t>
      </w:r>
      <w:r>
        <w:rPr>
          <w:rFonts w:eastAsia="Arial" w:cs="Arial"/>
        </w:rPr>
        <w:t xml:space="preserve">, Vo. 4, pp. 1–13. Available at: </w:t>
      </w:r>
      <w:hyperlink r:id="rId23">
        <w:r>
          <w:rPr>
            <w:rFonts w:eastAsia="Arial" w:cs="Arial"/>
            <w:color w:val="0000FF"/>
            <w:u w:val="single"/>
          </w:rPr>
          <w:t>https://doi.org/10.1016/j.epm.2026.07.001</w:t>
        </w:r>
      </w:hyperlink>
      <w:r>
        <w:rPr>
          <w:rFonts w:eastAsia="Arial" w:cs="Arial"/>
        </w:rPr>
        <w:t xml:space="preserve"> </w:t>
      </w:r>
    </w:p>
    <w:p w14:paraId="00000062" w14:textId="77777777" w:rsidR="004C1AF0" w:rsidRDefault="00F4153B">
      <w:pPr>
        <w:spacing w:after="240"/>
        <w:rPr>
          <w:rFonts w:eastAsia="Arial" w:cs="Arial"/>
        </w:rPr>
      </w:pPr>
      <w:r>
        <w:rPr>
          <w:rFonts w:eastAsia="Arial" w:cs="Arial"/>
        </w:rPr>
        <w:t xml:space="preserve">PIB (2024) </w:t>
      </w:r>
      <w:r>
        <w:rPr>
          <w:rFonts w:eastAsia="Arial" w:cs="Arial"/>
          <w:i/>
          <w:iCs/>
        </w:rPr>
        <w:t>Policies to promote decarbonisation in steel industry</w:t>
      </w:r>
      <w:r>
        <w:rPr>
          <w:rFonts w:eastAsia="Arial" w:cs="Arial"/>
        </w:rPr>
        <w:t xml:space="preserve">, </w:t>
      </w:r>
      <w:r>
        <w:rPr>
          <w:rFonts w:eastAsia="Arial" w:cs="Arial"/>
          <w:i/>
          <w:iCs/>
        </w:rPr>
        <w:t>Pib.gov.in</w:t>
      </w:r>
      <w:r>
        <w:rPr>
          <w:rFonts w:eastAsia="Arial" w:cs="Arial"/>
        </w:rPr>
        <w:t xml:space="preserve">. Available at: </w:t>
      </w:r>
      <w:hyperlink r:id="rId24">
        <w:r>
          <w:rPr>
            <w:rFonts w:eastAsia="Arial" w:cs="Arial"/>
            <w:color w:val="0000FF"/>
            <w:u w:val="single"/>
          </w:rPr>
          <w:t>https://www.pib.gov.in/www.pib.gov.in/Pressreleaseshare.aspx?PRID=2039003</w:t>
        </w:r>
      </w:hyperlink>
      <w:r>
        <w:rPr>
          <w:rFonts w:eastAsia="Arial" w:cs="Arial"/>
        </w:rPr>
        <w:t xml:space="preserve"> (Accessed: October 12, 2026).</w:t>
      </w:r>
    </w:p>
    <w:p w14:paraId="00000063" w14:textId="77777777" w:rsidR="004C1AF0" w:rsidRDefault="00F4153B">
      <w:pPr>
        <w:pBdr>
          <w:top w:val="nil"/>
          <w:left w:val="nil"/>
          <w:bottom w:val="nil"/>
          <w:right w:val="nil"/>
          <w:between w:val="nil"/>
        </w:pBdr>
        <w:spacing w:after="240"/>
        <w:jc w:val="left"/>
        <w:rPr>
          <w:rFonts w:eastAsia="Arial" w:cs="Arial"/>
          <w:color w:val="000000"/>
        </w:rPr>
      </w:pPr>
      <w:r>
        <w:rPr>
          <w:rFonts w:eastAsia="Arial" w:cs="Arial"/>
          <w:color w:val="000000"/>
        </w:rPr>
        <w:lastRenderedPageBreak/>
        <w:t xml:space="preserve">Research and Markets ltd (2026) </w:t>
      </w:r>
      <w:r>
        <w:rPr>
          <w:rFonts w:eastAsia="Arial" w:cs="Arial"/>
          <w:i/>
          <w:iCs/>
          <w:color w:val="000000"/>
        </w:rPr>
        <w:t>Electric arc furnace dust recycling market in India</w:t>
      </w:r>
      <w:r>
        <w:rPr>
          <w:rFonts w:eastAsia="Arial" w:cs="Arial"/>
          <w:color w:val="000000"/>
        </w:rPr>
        <w:t xml:space="preserve">, </w:t>
      </w:r>
      <w:r>
        <w:rPr>
          <w:rFonts w:eastAsia="Arial" w:cs="Arial"/>
          <w:i/>
          <w:iCs/>
          <w:color w:val="000000"/>
        </w:rPr>
        <w:t>researchmarkets</w:t>
      </w:r>
      <w:r>
        <w:rPr>
          <w:rFonts w:eastAsia="Arial" w:cs="Arial"/>
          <w:color w:val="000000"/>
        </w:rPr>
        <w:t xml:space="preserve">. Available at: </w:t>
      </w:r>
      <w:hyperlink r:id="rId25">
        <w:r>
          <w:rPr>
            <w:rFonts w:eastAsia="Arial" w:cs="Arial"/>
            <w:color w:val="0000FF"/>
            <w:u w:val="single"/>
          </w:rPr>
          <w:t>https://www.researchandmarkets.com/report/india-electric-arc-furnace-dust-recycling-market</w:t>
        </w:r>
      </w:hyperlink>
      <w:r>
        <w:rPr>
          <w:rFonts w:eastAsia="Arial" w:cs="Arial"/>
          <w:color w:val="000000"/>
        </w:rPr>
        <w:t xml:space="preserve">  (Accessed: October 16, 2026).</w:t>
      </w:r>
    </w:p>
    <w:p w14:paraId="00000064" w14:textId="77777777" w:rsidR="004C1AF0" w:rsidRDefault="00F4153B">
      <w:pPr>
        <w:spacing w:after="240"/>
        <w:rPr>
          <w:rFonts w:eastAsia="Arial" w:cs="Arial"/>
        </w:rPr>
      </w:pPr>
      <w:r>
        <w:rPr>
          <w:rFonts w:eastAsia="Arial" w:cs="Arial"/>
        </w:rPr>
        <w:t xml:space="preserve">Reuters (2026) “India unveils steel policy aiming for 604 million tons capacity By 2047,” </w:t>
      </w:r>
      <w:r>
        <w:rPr>
          <w:rFonts w:eastAsia="Arial" w:cs="Arial"/>
          <w:i/>
          <w:iCs/>
        </w:rPr>
        <w:t>Reuters</w:t>
      </w:r>
      <w:r>
        <w:rPr>
          <w:rFonts w:eastAsia="Arial" w:cs="Arial"/>
        </w:rPr>
        <w:t xml:space="preserve">, 11 October. Available at: </w:t>
      </w:r>
      <w:hyperlink r:id="rId26">
        <w:r>
          <w:rPr>
            <w:rFonts w:eastAsia="Arial" w:cs="Arial"/>
            <w:color w:val="0000FF"/>
            <w:u w:val="single"/>
          </w:rPr>
          <w:t>https://www.reuters.com/world/india/india-unveils-steel-policy-aiming-604-million-tons-capacity-by-2047-2026-10-11/</w:t>
        </w:r>
      </w:hyperlink>
      <w:r>
        <w:rPr>
          <w:rFonts w:eastAsia="Arial" w:cs="Arial"/>
        </w:rPr>
        <w:t xml:space="preserve"> (Accessed: October 12, 2026).</w:t>
      </w:r>
    </w:p>
    <w:p w14:paraId="00000065" w14:textId="77777777" w:rsidR="004C1AF0" w:rsidRDefault="00F4153B">
      <w:pPr>
        <w:spacing w:after="240"/>
        <w:rPr>
          <w:rFonts w:eastAsia="Arial" w:cs="Arial"/>
        </w:rPr>
      </w:pPr>
      <w:r>
        <w:rPr>
          <w:rFonts w:eastAsia="Arial" w:cs="Arial"/>
        </w:rPr>
        <w:t xml:space="preserve">Siddiqui, M.I.H. (2023) “Innovative Green Steelmaking Process for Sustainable Steel Production,” 5(1), pp. 171–176. Available at: </w:t>
      </w:r>
      <w:hyperlink r:id="rId27">
        <w:r>
          <w:rPr>
            <w:rFonts w:eastAsia="Arial" w:cs="Arial"/>
            <w:color w:val="0000FF"/>
            <w:u w:val="single"/>
          </w:rPr>
          <w:t>https://doi.org/10.36297/vw.applsci.v</w:t>
        </w:r>
      </w:hyperlink>
      <w:r>
        <w:rPr>
          <w:rFonts w:eastAsia="Arial" w:cs="Arial"/>
        </w:rPr>
        <w:t xml:space="preserve"> </w:t>
      </w:r>
    </w:p>
    <w:p w14:paraId="00000066" w14:textId="77777777" w:rsidR="004C1AF0" w:rsidRDefault="00F4153B">
      <w:pPr>
        <w:spacing w:after="240"/>
        <w:rPr>
          <w:rFonts w:eastAsia="Arial" w:cs="Arial"/>
        </w:rPr>
      </w:pPr>
      <w:r>
        <w:rPr>
          <w:rFonts w:eastAsia="Arial" w:cs="Arial"/>
        </w:rPr>
        <w:t xml:space="preserve">Singh, A. (2026) </w:t>
      </w:r>
      <w:r>
        <w:rPr>
          <w:rFonts w:eastAsia="Arial" w:cs="Arial"/>
          <w:i/>
          <w:iCs/>
        </w:rPr>
        <w:t>India targets 604 million tons of steel capacity By 2047, eyes lower emissions</w:t>
      </w:r>
      <w:r>
        <w:rPr>
          <w:rFonts w:eastAsia="Arial" w:cs="Arial"/>
        </w:rPr>
        <w:t xml:space="preserve">, </w:t>
      </w:r>
      <w:r>
        <w:rPr>
          <w:rFonts w:eastAsia="Arial" w:cs="Arial"/>
          <w:i/>
          <w:iCs/>
        </w:rPr>
        <w:t>The Times of India</w:t>
      </w:r>
      <w:r>
        <w:rPr>
          <w:rFonts w:eastAsia="Arial" w:cs="Arial"/>
        </w:rPr>
        <w:t xml:space="preserve">. The Times Of India. Available at: </w:t>
      </w:r>
      <w:hyperlink r:id="rId28">
        <w:r>
          <w:rPr>
            <w:rFonts w:eastAsia="Arial" w:cs="Arial"/>
            <w:color w:val="0000FF"/>
            <w:u w:val="single"/>
          </w:rPr>
          <w:t>https://timesofindia.indiatimes.com/business/india-business/india-targets-604-million-tons-of-steel-capacity-by-2047-eyes-lower-emissions/articleshow/134864971.cms</w:t>
        </w:r>
      </w:hyperlink>
      <w:r>
        <w:rPr>
          <w:rFonts w:eastAsia="Arial" w:cs="Arial"/>
        </w:rPr>
        <w:t xml:space="preserve"> (Accessed: October 12, 2026).</w:t>
      </w:r>
    </w:p>
    <w:p w14:paraId="00000067" w14:textId="77777777" w:rsidR="004C1AF0" w:rsidRDefault="00F4153B">
      <w:pPr>
        <w:spacing w:after="240"/>
        <w:rPr>
          <w:rFonts w:eastAsia="Arial" w:cs="Arial"/>
        </w:rPr>
      </w:pPr>
      <w:r>
        <w:rPr>
          <w:rFonts w:eastAsia="Arial" w:cs="Arial"/>
        </w:rPr>
        <w:t xml:space="preserve">TATA STEEL (2026a) </w:t>
      </w:r>
      <w:r>
        <w:rPr>
          <w:rFonts w:eastAsia="Arial" w:cs="Arial"/>
          <w:i/>
          <w:iCs/>
        </w:rPr>
        <w:t>Sub: Business responsibility and sustainability report for FY 2025-26</w:t>
      </w:r>
      <w:r>
        <w:rPr>
          <w:rFonts w:eastAsia="Arial" w:cs="Arial"/>
        </w:rPr>
        <w:t xml:space="preserve">. Available at: </w:t>
      </w:r>
      <w:hyperlink r:id="rId29">
        <w:r>
          <w:rPr>
            <w:rFonts w:eastAsia="Arial" w:cs="Arial"/>
            <w:color w:val="0000FF"/>
            <w:u w:val="single"/>
          </w:rPr>
          <w:t>https://www.tatasteel.com/media/25905/nsebsebrsr.pdf</w:t>
        </w:r>
      </w:hyperlink>
      <w:r>
        <w:rPr>
          <w:rFonts w:eastAsia="Arial" w:cs="Arial"/>
        </w:rPr>
        <w:t xml:space="preserve"> (Accessed: October 12, 2026).</w:t>
      </w:r>
    </w:p>
    <w:p w14:paraId="00000068" w14:textId="77777777" w:rsidR="004C1AF0" w:rsidRDefault="00F4153B">
      <w:pPr>
        <w:spacing w:after="240"/>
        <w:rPr>
          <w:rFonts w:eastAsia="Arial" w:cs="Arial"/>
        </w:rPr>
      </w:pPr>
      <w:r>
        <w:rPr>
          <w:rFonts w:eastAsia="Arial" w:cs="Arial"/>
        </w:rPr>
        <w:t xml:space="preserve">TATA STEEL (2026b) </w:t>
      </w:r>
      <w:r>
        <w:rPr>
          <w:rFonts w:eastAsia="Arial" w:cs="Arial"/>
          <w:i/>
          <w:iCs/>
        </w:rPr>
        <w:t>Tata Steel</w:t>
      </w:r>
      <w:r>
        <w:rPr>
          <w:rFonts w:eastAsia="Arial" w:cs="Arial"/>
        </w:rPr>
        <w:t xml:space="preserve">, </w:t>
      </w:r>
      <w:r>
        <w:rPr>
          <w:rFonts w:eastAsia="Arial" w:cs="Arial"/>
          <w:i/>
          <w:iCs/>
        </w:rPr>
        <w:t>Tatasteel.com</w:t>
      </w:r>
      <w:r>
        <w:rPr>
          <w:rFonts w:eastAsia="Arial" w:cs="Arial"/>
        </w:rPr>
        <w:t xml:space="preserve">. Available at: </w:t>
      </w:r>
      <w:hyperlink r:id="rId30">
        <w:r>
          <w:rPr>
            <w:rFonts w:eastAsia="Arial" w:cs="Arial"/>
            <w:color w:val="0000FF"/>
            <w:u w:val="single"/>
          </w:rPr>
          <w:t>https://www.tatasteel.com/tata-steel-brochure-19-20/inside-tata-steel.html</w:t>
        </w:r>
      </w:hyperlink>
      <w:r>
        <w:rPr>
          <w:rFonts w:eastAsia="Arial" w:cs="Arial"/>
        </w:rPr>
        <w:t xml:space="preserve"> (Accessed: October 12, 2026).</w:t>
      </w:r>
    </w:p>
    <w:p w14:paraId="00000069" w14:textId="77777777" w:rsidR="004C1AF0" w:rsidRDefault="00F4153B">
      <w:pPr>
        <w:spacing w:after="240"/>
        <w:rPr>
          <w:rFonts w:eastAsia="Arial" w:cs="Arial"/>
        </w:rPr>
      </w:pPr>
      <w:r>
        <w:rPr>
          <w:rFonts w:eastAsia="Arial" w:cs="Arial"/>
        </w:rPr>
        <w:t xml:space="preserve">TATA STEEL (2026c) </w:t>
      </w:r>
      <w:r>
        <w:rPr>
          <w:rFonts w:eastAsia="Arial" w:cs="Arial"/>
          <w:i/>
          <w:iCs/>
        </w:rPr>
        <w:t>Tata Steel inaugurates its first scrap-based electric arc furnace in India</w:t>
      </w:r>
      <w:r>
        <w:rPr>
          <w:rFonts w:eastAsia="Arial" w:cs="Arial"/>
        </w:rPr>
        <w:t xml:space="preserve">, </w:t>
      </w:r>
      <w:r>
        <w:rPr>
          <w:rFonts w:eastAsia="Arial" w:cs="Arial"/>
          <w:i/>
          <w:iCs/>
        </w:rPr>
        <w:t>Tatasteel.com</w:t>
      </w:r>
      <w:r>
        <w:rPr>
          <w:rFonts w:eastAsia="Arial" w:cs="Arial"/>
        </w:rPr>
        <w:t xml:space="preserve">. Available at: </w:t>
      </w:r>
      <w:hyperlink r:id="rId31">
        <w:r>
          <w:rPr>
            <w:rFonts w:eastAsia="Arial" w:cs="Arial"/>
            <w:color w:val="0000FF"/>
            <w:u w:val="single"/>
          </w:rPr>
          <w:t>https://www.tatasteel.com/newsroom/press-releases/india/2026/tata-steel-inaugurates-its-first-scrap-based-electric-arc-furnace-in-india/</w:t>
        </w:r>
      </w:hyperlink>
      <w:r>
        <w:rPr>
          <w:rFonts w:eastAsia="Arial" w:cs="Arial"/>
        </w:rPr>
        <w:t xml:space="preserve"> (Accessed: October 12, 2026).</w:t>
      </w:r>
    </w:p>
    <w:p w14:paraId="0000006A" w14:textId="77777777" w:rsidR="004C1AF0" w:rsidRDefault="00F4153B">
      <w:pPr>
        <w:spacing w:after="240"/>
        <w:rPr>
          <w:rFonts w:eastAsia="Arial" w:cs="Arial"/>
        </w:rPr>
      </w:pPr>
      <w:r>
        <w:rPr>
          <w:rFonts w:eastAsia="Arial" w:cs="Arial"/>
        </w:rPr>
        <w:t xml:space="preserve">TATA STEEL (2026d) </w:t>
      </w:r>
      <w:r>
        <w:rPr>
          <w:rFonts w:eastAsia="Arial" w:cs="Arial"/>
          <w:i/>
          <w:iCs/>
        </w:rPr>
        <w:t>Tata Steel | climate action</w:t>
      </w:r>
      <w:r>
        <w:rPr>
          <w:rFonts w:eastAsia="Arial" w:cs="Arial"/>
        </w:rPr>
        <w:t xml:space="preserve">, </w:t>
      </w:r>
      <w:r>
        <w:rPr>
          <w:rFonts w:eastAsia="Arial" w:cs="Arial"/>
          <w:i/>
          <w:iCs/>
        </w:rPr>
        <w:t>www.tatasteel.com</w:t>
      </w:r>
      <w:r>
        <w:rPr>
          <w:rFonts w:eastAsia="Arial" w:cs="Arial"/>
        </w:rPr>
        <w:t xml:space="preserve">. Available at: </w:t>
      </w:r>
      <w:hyperlink r:id="rId32">
        <w:r>
          <w:rPr>
            <w:rFonts w:eastAsia="Arial" w:cs="Arial"/>
            <w:color w:val="0000FF"/>
            <w:u w:val="single"/>
          </w:rPr>
          <w:t>https://www.tatasteel.com/sustainability/environment/climate-action/</w:t>
        </w:r>
      </w:hyperlink>
      <w:r>
        <w:rPr>
          <w:rFonts w:eastAsia="Arial" w:cs="Arial"/>
        </w:rPr>
        <w:t xml:space="preserve"> (Accessed: October 12, 2026).</w:t>
      </w:r>
    </w:p>
    <w:p w14:paraId="0000006B" w14:textId="77777777" w:rsidR="004C1AF0" w:rsidRDefault="00F4153B">
      <w:pPr>
        <w:spacing w:after="240"/>
        <w:rPr>
          <w:rFonts w:eastAsia="Arial" w:cs="Arial"/>
        </w:rPr>
      </w:pPr>
      <w:r>
        <w:rPr>
          <w:rFonts w:eastAsia="Arial" w:cs="Arial"/>
        </w:rPr>
        <w:lastRenderedPageBreak/>
        <w:t xml:space="preserve">TOI (2022) </w:t>
      </w:r>
      <w:r>
        <w:rPr>
          <w:rFonts w:eastAsia="Arial" w:cs="Arial"/>
          <w:i/>
          <w:iCs/>
        </w:rPr>
        <w:t>60% In India willing to pay a premium for sustainability products, reveals survey - Times of India</w:t>
      </w:r>
      <w:r>
        <w:rPr>
          <w:rFonts w:eastAsia="Arial" w:cs="Arial"/>
        </w:rPr>
        <w:t xml:space="preserve">, </w:t>
      </w:r>
      <w:r>
        <w:rPr>
          <w:rFonts w:eastAsia="Arial" w:cs="Arial"/>
          <w:i/>
          <w:iCs/>
        </w:rPr>
        <w:t>The Times of India</w:t>
      </w:r>
      <w:r>
        <w:rPr>
          <w:rFonts w:eastAsia="Arial" w:cs="Arial"/>
        </w:rPr>
        <w:t xml:space="preserve">. Available at: </w:t>
      </w:r>
      <w:hyperlink r:id="rId33">
        <w:r>
          <w:rPr>
            <w:rFonts w:eastAsia="Arial" w:cs="Arial"/>
            <w:color w:val="0000FF"/>
            <w:u w:val="single"/>
          </w:rPr>
          <w:t>https://timesofindia.indiatimes.com/business/india-business/60-in-india-willing-to-pay-a-premium-for-sustainability-products-reveals-survey/articleshow/92030126.cms</w:t>
        </w:r>
      </w:hyperlink>
      <w:r>
        <w:rPr>
          <w:rFonts w:eastAsia="Arial" w:cs="Arial"/>
        </w:rPr>
        <w:t xml:space="preserve"> (Accessed: October 12, 2026).</w:t>
      </w:r>
    </w:p>
    <w:p w14:paraId="0000006C" w14:textId="77777777" w:rsidR="004C1AF0" w:rsidRDefault="00F4153B">
      <w:pPr>
        <w:spacing w:after="240"/>
        <w:rPr>
          <w:rFonts w:eastAsia="Arial" w:cs="Arial"/>
        </w:rPr>
      </w:pPr>
      <w:r>
        <w:rPr>
          <w:rFonts w:eastAsia="Arial" w:cs="Arial"/>
        </w:rPr>
        <w:t xml:space="preserve">Zhang, H. and Huang, H. (2024) “Low-carbon transformational leadership: Conceptualization, measurement, and its impact on innovation outcomes,” </w:t>
      </w:r>
      <w:r>
        <w:rPr>
          <w:rFonts w:eastAsia="Arial" w:cs="Arial"/>
          <w:i/>
          <w:iCs/>
        </w:rPr>
        <w:t>Sustainability</w:t>
      </w:r>
      <w:r>
        <w:rPr>
          <w:rFonts w:eastAsia="Arial" w:cs="Arial"/>
        </w:rPr>
        <w:t xml:space="preserve">, vol. 16, no. 24. Available at: </w:t>
      </w:r>
      <w:hyperlink r:id="rId34">
        <w:r>
          <w:rPr>
            <w:rFonts w:eastAsia="Arial" w:cs="Arial"/>
            <w:color w:val="0000FF"/>
            <w:u w:val="single"/>
          </w:rPr>
          <w:t>https://doi.org/10.3390/su162410844</w:t>
        </w:r>
      </w:hyperlink>
      <w:r>
        <w:rPr>
          <w:rFonts w:eastAsia="Arial" w:cs="Arial"/>
        </w:rPr>
        <w:t xml:space="preserve"> </w:t>
      </w:r>
    </w:p>
    <w:p w14:paraId="0000006D" w14:textId="77777777" w:rsidR="004C1AF0" w:rsidRDefault="00F4153B">
      <w:pPr>
        <w:spacing w:after="240"/>
        <w:rPr>
          <w:rFonts w:eastAsia="Arial" w:cs="Arial"/>
        </w:rPr>
      </w:pPr>
      <w:r>
        <w:rPr>
          <w:rFonts w:eastAsia="Arial" w:cs="Arial"/>
        </w:rPr>
        <w:t xml:space="preserve">Zhang, Q., Liu, G. and Liu, Y. (2024) “Sustainable practices in steel manufacturing: Substitution elasticities between waste, raw materials, and energy for greenhouse gas emission reduction,” </w:t>
      </w:r>
      <w:r>
        <w:rPr>
          <w:rFonts w:eastAsia="Arial" w:cs="Arial"/>
          <w:i/>
          <w:iCs/>
        </w:rPr>
        <w:t>Journal of Cleaner Production</w:t>
      </w:r>
      <w:r>
        <w:rPr>
          <w:rFonts w:eastAsia="Arial" w:cs="Arial"/>
        </w:rPr>
        <w:t xml:space="preserve">, pp. 477. Available at: </w:t>
      </w:r>
      <w:hyperlink r:id="rId35">
        <w:r>
          <w:rPr>
            <w:rFonts w:eastAsia="Arial" w:cs="Arial"/>
            <w:color w:val="0000FF"/>
            <w:u w:val="single"/>
          </w:rPr>
          <w:t>https://doi.org/10.1016/j.jclepro.2024.143845</w:t>
        </w:r>
      </w:hyperlink>
      <w:r>
        <w:rPr>
          <w:rFonts w:eastAsia="Arial" w:cs="Arial"/>
        </w:rPr>
        <w:t xml:space="preserve"> </w:t>
      </w:r>
    </w:p>
    <w:sectPr w:rsidR="004C1AF0" w:rsidSect="00232D54">
      <w:footerReference w:type="default" r:id="rId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9C84E" w14:textId="77777777" w:rsidR="00327622" w:rsidRDefault="00327622">
      <w:pPr>
        <w:spacing w:line="240" w:lineRule="auto"/>
      </w:pPr>
      <w:r>
        <w:separator/>
      </w:r>
    </w:p>
  </w:endnote>
  <w:endnote w:type="continuationSeparator" w:id="0">
    <w:p w14:paraId="06C0FFE0" w14:textId="77777777" w:rsidR="00327622" w:rsidRDefault="003276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9518402A-E696-458A-91DF-B8F4C5B69F19}"/>
  </w:font>
  <w:font w:name="Cambria">
    <w:panose1 w:val="02040503050406030204"/>
    <w:charset w:val="00"/>
    <w:family w:val="roman"/>
    <w:pitch w:val="variable"/>
    <w:sig w:usb0="E00006FF" w:usb1="420024FF" w:usb2="02000000" w:usb3="00000000" w:csb0="0000019F" w:csb1="00000000"/>
    <w:embedRegular r:id="rId2" w:fontKey="{78C7A5A5-4638-4989-AB7D-A0BA7D2D41D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3" w:fontKey="{A757510D-0A0B-47DD-A8AD-C283C5FF6F3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E" w14:textId="77777777" w:rsidR="004C1AF0" w:rsidRDefault="00F4153B">
    <w:pPr>
      <w:pBdr>
        <w:top w:val="nil"/>
        <w:left w:val="nil"/>
        <w:bottom w:val="nil"/>
        <w:right w:val="nil"/>
        <w:between w:val="nil"/>
      </w:pBdr>
      <w:tabs>
        <w:tab w:val="center" w:pos="4513"/>
        <w:tab w:val="right" w:pos="9026"/>
      </w:tabs>
      <w:spacing w:line="240" w:lineRule="auto"/>
      <w:jc w:val="right"/>
      <w:rPr>
        <w:rFonts w:eastAsia="Arial" w:cs="Arial"/>
        <w:color w:val="000000"/>
      </w:rPr>
    </w:pPr>
    <w:r>
      <w:rPr>
        <w:rFonts w:eastAsia="Arial" w:cs="Arial"/>
        <w:color w:val="000000"/>
      </w:rPr>
      <w:fldChar w:fldCharType="begin"/>
    </w:r>
    <w:r>
      <w:rPr>
        <w:rFonts w:eastAsia="Arial" w:cs="Arial"/>
        <w:color w:val="000000"/>
      </w:rPr>
      <w:instrText>PAGE</w:instrText>
    </w:r>
    <w:r>
      <w:rPr>
        <w:rFonts w:eastAsia="Arial" w:cs="Arial"/>
        <w:color w:val="000000"/>
      </w:rPr>
      <w:fldChar w:fldCharType="separate"/>
    </w:r>
    <w:r w:rsidR="008E0B8B">
      <w:rPr>
        <w:rFonts w:eastAsia="Arial" w:cs="Arial"/>
        <w:noProof/>
        <w:color w:val="000000"/>
      </w:rPr>
      <w:t>2</w:t>
    </w:r>
    <w:r>
      <w:rPr>
        <w:rFonts w:eastAsia="Arial" w:cs="Arial"/>
        <w:color w:val="000000"/>
      </w:rPr>
      <w:fldChar w:fldCharType="end"/>
    </w:r>
  </w:p>
  <w:p w14:paraId="0000006F" w14:textId="77777777" w:rsidR="004C1AF0" w:rsidRDefault="004C1AF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0ED7D" w14:textId="77777777" w:rsidR="00327622" w:rsidRDefault="00327622">
      <w:pPr>
        <w:spacing w:line="240" w:lineRule="auto"/>
      </w:pPr>
      <w:r>
        <w:separator/>
      </w:r>
    </w:p>
  </w:footnote>
  <w:footnote w:type="continuationSeparator" w:id="0">
    <w:p w14:paraId="03C08E5F" w14:textId="77777777" w:rsidR="00327622" w:rsidRDefault="0032762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1AF0"/>
    <w:rsid w:val="000A6064"/>
    <w:rsid w:val="00232D54"/>
    <w:rsid w:val="00327622"/>
    <w:rsid w:val="00430A2F"/>
    <w:rsid w:val="004C1AF0"/>
    <w:rsid w:val="005F01C8"/>
    <w:rsid w:val="008A76BA"/>
    <w:rsid w:val="008E0B8B"/>
    <w:rsid w:val="00C17401"/>
    <w:rsid w:val="00F4153B"/>
    <w:rsid w:val="00FE3BE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287B9"/>
  <w15:docId w15:val="{0CE32747-A5C5-4B52-BB3D-ACB2B6962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1C8"/>
    <w:rPr>
      <w:rFonts w:ascii="Arial" w:hAnsi="Arial"/>
    </w:rPr>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jc w:val="center"/>
      <w:outlineLvl w:val="3"/>
    </w:pPr>
    <w:rPr>
      <w:i/>
      <w:iCs/>
    </w:rPr>
  </w:style>
  <w:style w:type="paragraph" w:styleId="Heading5">
    <w:name w:val="heading 5"/>
    <w:basedOn w:val="Normal"/>
    <w:next w:val="Normal"/>
    <w:pPr>
      <w:keepNext/>
      <w:keepLines/>
      <w:spacing w:before="240" w:after="80"/>
      <w:jc w:val="center"/>
      <w:outlineLvl w:val="4"/>
    </w:pPr>
    <w:rPr>
      <w:i/>
      <w:iCs/>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jc w:val="center"/>
    </w:pPr>
    <w:rPr>
      <w:b/>
      <w:bCs/>
      <w:sz w:val="40"/>
      <w:szCs w:val="40"/>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72540A"/>
    <w:pPr>
      <w:tabs>
        <w:tab w:val="center" w:pos="4513"/>
        <w:tab w:val="right" w:pos="9026"/>
      </w:tabs>
      <w:spacing w:line="240" w:lineRule="auto"/>
    </w:pPr>
  </w:style>
  <w:style w:type="character" w:customStyle="1" w:styleId="HeaderChar">
    <w:name w:val="Header Char"/>
    <w:basedOn w:val="DefaultParagraphFont"/>
    <w:link w:val="Header"/>
    <w:uiPriority w:val="99"/>
    <w:rsid w:val="0072540A"/>
  </w:style>
  <w:style w:type="paragraph" w:styleId="Footer">
    <w:name w:val="footer"/>
    <w:basedOn w:val="Normal"/>
    <w:link w:val="FooterChar"/>
    <w:uiPriority w:val="99"/>
    <w:unhideWhenUsed/>
    <w:rsid w:val="0072540A"/>
    <w:pPr>
      <w:tabs>
        <w:tab w:val="center" w:pos="4513"/>
        <w:tab w:val="right" w:pos="9026"/>
      </w:tabs>
      <w:spacing w:line="240" w:lineRule="auto"/>
    </w:pPr>
  </w:style>
  <w:style w:type="character" w:customStyle="1" w:styleId="FooterChar">
    <w:name w:val="Footer Char"/>
    <w:basedOn w:val="DefaultParagraphFont"/>
    <w:link w:val="Footer"/>
    <w:uiPriority w:val="99"/>
    <w:rsid w:val="0072540A"/>
  </w:style>
  <w:style w:type="paragraph" w:styleId="TOC1">
    <w:name w:val="toc 1"/>
    <w:basedOn w:val="Normal"/>
    <w:next w:val="Normal"/>
    <w:autoRedefine/>
    <w:uiPriority w:val="39"/>
    <w:unhideWhenUsed/>
    <w:rsid w:val="0072540A"/>
    <w:pPr>
      <w:spacing w:after="100"/>
    </w:pPr>
  </w:style>
  <w:style w:type="character" w:styleId="Hyperlink">
    <w:name w:val="Hyperlink"/>
    <w:basedOn w:val="DefaultParagraphFont"/>
    <w:uiPriority w:val="99"/>
    <w:unhideWhenUsed/>
    <w:rsid w:val="0072540A"/>
    <w:rPr>
      <w:color w:val="0000FF" w:themeColor="hyperlink"/>
      <w:u w:val="single"/>
    </w:rPr>
  </w:style>
  <w:style w:type="character" w:customStyle="1" w:styleId="UnresolvedMention1">
    <w:name w:val="Unresolved Mention1"/>
    <w:basedOn w:val="DefaultParagraphFont"/>
    <w:uiPriority w:val="99"/>
    <w:semiHidden/>
    <w:unhideWhenUsed/>
    <w:rsid w:val="009B36C3"/>
    <w:rPr>
      <w:color w:val="605E5C"/>
      <w:shd w:val="clear" w:color="auto" w:fill="E1DFDD"/>
    </w:rPr>
  </w:style>
  <w:style w:type="character" w:styleId="CommentReference">
    <w:name w:val="annotation reference"/>
    <w:basedOn w:val="DefaultParagraphFont"/>
    <w:uiPriority w:val="99"/>
    <w:semiHidden/>
    <w:unhideWhenUsed/>
    <w:rsid w:val="00C7135A"/>
    <w:rPr>
      <w:sz w:val="16"/>
      <w:szCs w:val="16"/>
    </w:rPr>
  </w:style>
  <w:style w:type="paragraph" w:styleId="CommentText">
    <w:name w:val="annotation text"/>
    <w:basedOn w:val="Normal"/>
    <w:link w:val="CommentTextChar"/>
    <w:uiPriority w:val="99"/>
    <w:unhideWhenUsed/>
    <w:rsid w:val="00C7135A"/>
    <w:pPr>
      <w:spacing w:line="240" w:lineRule="auto"/>
    </w:pPr>
    <w:rPr>
      <w:sz w:val="20"/>
      <w:szCs w:val="20"/>
    </w:rPr>
  </w:style>
  <w:style w:type="character" w:customStyle="1" w:styleId="CommentTextChar">
    <w:name w:val="Comment Text Char"/>
    <w:basedOn w:val="DefaultParagraphFont"/>
    <w:link w:val="CommentText"/>
    <w:uiPriority w:val="99"/>
    <w:rsid w:val="00C7135A"/>
    <w:rPr>
      <w:sz w:val="20"/>
      <w:szCs w:val="20"/>
      <w:lang w:val="en-GB"/>
    </w:rPr>
  </w:style>
  <w:style w:type="paragraph" w:styleId="CommentSubject">
    <w:name w:val="annotation subject"/>
    <w:basedOn w:val="CommentText"/>
    <w:next w:val="CommentText"/>
    <w:link w:val="CommentSubjectChar"/>
    <w:uiPriority w:val="99"/>
    <w:semiHidden/>
    <w:unhideWhenUsed/>
    <w:rsid w:val="00C7135A"/>
    <w:rPr>
      <w:b/>
      <w:bCs/>
    </w:rPr>
  </w:style>
  <w:style w:type="character" w:customStyle="1" w:styleId="CommentSubjectChar">
    <w:name w:val="Comment Subject Char"/>
    <w:basedOn w:val="CommentTextChar"/>
    <w:link w:val="CommentSubject"/>
    <w:uiPriority w:val="99"/>
    <w:semiHidden/>
    <w:rsid w:val="00C7135A"/>
    <w:rPr>
      <w:b/>
      <w:bCs/>
      <w:sz w:val="20"/>
      <w:szCs w:val="20"/>
      <w:lang w:val="en-GB"/>
    </w:rPr>
  </w:style>
  <w:style w:type="paragraph" w:styleId="BalloonText">
    <w:name w:val="Balloon Text"/>
    <w:basedOn w:val="Normal"/>
    <w:link w:val="BalloonTextChar"/>
    <w:uiPriority w:val="99"/>
    <w:semiHidden/>
    <w:unhideWhenUsed/>
    <w:rsid w:val="00EB33A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33A7"/>
    <w:rPr>
      <w:rFonts w:ascii="Segoe UI" w:hAnsi="Segoe UI" w:cs="Segoe UI"/>
      <w:sz w:val="18"/>
      <w:szCs w:val="18"/>
    </w:rPr>
  </w:style>
  <w:style w:type="paragraph" w:styleId="NormalWeb">
    <w:name w:val="Normal (Web)"/>
    <w:basedOn w:val="Normal"/>
    <w:uiPriority w:val="99"/>
    <w:unhideWhenUsed/>
    <w:rsid w:val="00AC5EDB"/>
    <w:pPr>
      <w:spacing w:before="100" w:beforeAutospacing="1" w:after="100" w:afterAutospacing="1" w:line="240" w:lineRule="auto"/>
      <w:jc w:val="left"/>
    </w:pPr>
  </w:style>
  <w:style w:type="paragraph" w:styleId="Subtitle">
    <w:name w:val="Subtitle"/>
    <w:basedOn w:val="Normal"/>
    <w:next w:val="Normal"/>
    <w:pPr>
      <w:keepNext/>
      <w:keepLines/>
      <w:spacing w:after="320"/>
    </w:pPr>
    <w:rPr>
      <w:rFonts w:eastAsia="Arial" w:cs="Arial"/>
      <w:color w:val="666666"/>
      <w:sz w:val="30"/>
      <w:szCs w:val="30"/>
    </w:rPr>
  </w:style>
  <w:style w:type="paragraph" w:styleId="TOC2">
    <w:name w:val="toc 2"/>
    <w:basedOn w:val="Normal"/>
    <w:next w:val="Normal"/>
    <w:autoRedefine/>
    <w:uiPriority w:val="39"/>
    <w:unhideWhenUsed/>
    <w:rsid w:val="005F01C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07/s11367-016-1081-1" TargetMode="External"/><Relationship Id="rId18" Type="http://schemas.openxmlformats.org/officeDocument/2006/relationships/hyperlink" Target="https://doi.org/10.1016/j.jenvman.2025.125768" TargetMode="External"/><Relationship Id="rId26" Type="http://schemas.openxmlformats.org/officeDocument/2006/relationships/hyperlink" Target="https://www.reuters.com/world/india/india-unveils-steel-policy-aiming-604-million-tons-capacity-by-2047-2026-10-11/" TargetMode="External"/><Relationship Id="rId21" Type="http://schemas.openxmlformats.org/officeDocument/2006/relationships/hyperlink" Target="https://doi.org/10.1016/j.esr.2022.100968" TargetMode="External"/><Relationship Id="rId34" Type="http://schemas.openxmlformats.org/officeDocument/2006/relationships/hyperlink" Target="https://doi.org/10.3390/su162410844" TargetMode="External"/><Relationship Id="rId7" Type="http://schemas.openxmlformats.org/officeDocument/2006/relationships/image" Target="media/image1.png"/><Relationship Id="rId12" Type="http://schemas.openxmlformats.org/officeDocument/2006/relationships/hyperlink" Target="https://doi.org/10.1016/j.heliyon.2020.e04691" TargetMode="External"/><Relationship Id="rId17" Type="http://schemas.openxmlformats.org/officeDocument/2006/relationships/hyperlink" Target="https://gmk.center/en/news/india-plans-to-allocate-529-million-to-reduce-emissions-in-the-steel-industry/" TargetMode="External"/><Relationship Id="rId25" Type="http://schemas.openxmlformats.org/officeDocument/2006/relationships/hyperlink" Target="https://www.researchandmarkets.com/report/india-electric-arc-furnace-dust-recycling-market" TargetMode="External"/><Relationship Id="rId33" Type="http://schemas.openxmlformats.org/officeDocument/2006/relationships/hyperlink" Target="https://timesofindia.indiatimes.com/business/india-business/60-in-india-willing-to-pay-a-premium-for-sustainability-products-reveals-survey/articleshow/92030126.cm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limatescience.org/advanced-steel-climate" TargetMode="External"/><Relationship Id="rId20" Type="http://schemas.openxmlformats.org/officeDocument/2006/relationships/hyperlink" Target="https://gmk.center/en/news/indian-steel-industry-leads-the-world-in-co2-emissions/" TargetMode="External"/><Relationship Id="rId29" Type="http://schemas.openxmlformats.org/officeDocument/2006/relationships/hyperlink" Target="https://www.tatasteel.com/media/25905/nsebsebrsr.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y.com/en_in/insights/mining-metals/how-india-can-lead-the-global-green-steel-revolution-while-balancing-growth" TargetMode="External"/><Relationship Id="rId24" Type="http://schemas.openxmlformats.org/officeDocument/2006/relationships/hyperlink" Target="https://www.pib.gov.in/www.pib.gov.in/Pressreleaseshare.aspx?PRID=2039003" TargetMode="External"/><Relationship Id="rId32" Type="http://schemas.openxmlformats.org/officeDocument/2006/relationships/hyperlink" Target="https://www.tatasteel.com/sustainability/environment/climate-action/"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usinesstoday.in/latest/story/indians-want-to-prioritise-spending-on-sustainable-products-amex-survey-330589-2022-04-20" TargetMode="External"/><Relationship Id="rId23" Type="http://schemas.openxmlformats.org/officeDocument/2006/relationships/hyperlink" Target="https://doi.org/10.1016/j.epm.2026.07.001" TargetMode="External"/><Relationship Id="rId28" Type="http://schemas.openxmlformats.org/officeDocument/2006/relationships/hyperlink" Target="https://timesofindia.indiatimes.com/business/india-business/india-targets-604-million-tons-of-steel-capacity-by-2047-eyes-lower-emissions/articleshow/134864971.cms" TargetMode="External"/><Relationship Id="rId36" Type="http://schemas.openxmlformats.org/officeDocument/2006/relationships/footer" Target="footer1.xml"/><Relationship Id="rId10" Type="http://schemas.openxmlformats.org/officeDocument/2006/relationships/hyperlink" Target="https://www.reuters.com/sustainability/climate-energy/india-aiming-cut-steel-emissions-by-25-double-capacity-document-shows-2026-04-09/" TargetMode="External"/><Relationship Id="rId19" Type="http://schemas.openxmlformats.org/officeDocument/2006/relationships/hyperlink" Target="https://doi.org/10.1007/978-3-031-10097-0_2" TargetMode="External"/><Relationship Id="rId31" Type="http://schemas.openxmlformats.org/officeDocument/2006/relationships/hyperlink" Target="https://www.tatasteel.com/newsroom/press-releases/india/2026/tata-steel-inaugurates-its-first-scrap-based-electric-arc-furnace-in-indi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eeindia.gov.in/show_content.php?lang=1&amp;level=1&amp;ls_id=189&amp;lid=294" TargetMode="External"/><Relationship Id="rId22" Type="http://schemas.openxmlformats.org/officeDocument/2006/relationships/hyperlink" Target="https://doi.org/10.1177/017084068600700103" TargetMode="External"/><Relationship Id="rId27" Type="http://schemas.openxmlformats.org/officeDocument/2006/relationships/hyperlink" Target="https://doi.org/10.36297/vw.applsci.v" TargetMode="External"/><Relationship Id="rId30" Type="http://schemas.openxmlformats.org/officeDocument/2006/relationships/hyperlink" Target="https://www.tatasteel.com/tata-steel-brochure-19-20/inside-tata-steel.html" TargetMode="External"/><Relationship Id="rId35" Type="http://schemas.openxmlformats.org/officeDocument/2006/relationships/hyperlink" Target="https://doi.org/10.1016/j.jclepro.2024.143845"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mRZLLDh85aNUMBHy0huCBMZ7cA==">CgMxLjAaJwoBMBIiCiAIBCocCgtBQUFDQkVfTF9RSRAIGgtBQUFDQkVfTF9RSRonCgExEiIKIAgEKhwKC0FBQUNCRV9MX1FFEAgaC0FBQUNCRV9MX1FFGicKATISIgogCAQqHAoLQUFBQ0JFX0xfUDgQCBoLQUFBQ0JFX0xfUDgaJwoBMxIiCiAIBCocCgtBQUFDQkVfTF9QOBAIGgtBQUFDQkVfTF9RQSKiAwoLQUFBQ0JFX0xfUUkS+AIKC0FBQUNCRV9MX1FJEgtBQUFDQkVfTF9RSRouCgl0ZXh0L2h0bWwSIVlvdSBuZWVkIHRvIGFkZCB5b3VyIHN0dWRlbnQgbmFtZSIvCgp0ZXh0L3BsYWluEiFZb3UgbmVlZCB0byBhZGQgeW91ciBzdHVkZW50IG5hbWUqVgodVGFvbmdhIEthb25nYSBTb2JlcmUtU25pdGhlcnMaNS8vc3NsLmdzdGF0aWMuY29tL2RvY3MvY29tbW9uL2JsdWVfc2lsaG91ZXR0ZTk2LTAucG5nMKD4wsyVNDig+MLMlTRyWAodVGFvbmdhIEthb25nYSBTb2JlcmUtU25pdGhlcnMaNwo1Ly9zc2wuZ3N0YXRpYy5jb20vZG9jcy9jb21tb24vYmx1ZV9zaWxob3VldHRlOTYtMC5wbmd4AIgBAZoBBggAEAAYAKoBIxIhWW91IG5lZWQgdG8gYWRkIHlvdXIgc3R1ZGVudCBuYW1lsAEAuAEByAEAGKD4wsyVNCCg+MLMlTQwAEIIa2l4LmNtdDEixwYKC0FBQUNCRV9MX1A4Ep0GCgtBQUFDQkVfTF9QOBILQUFBQ0JFX0xfUDgaLAoJdGV4dC9odG1sEh9Nb3ZlIHRoaXMgdXAgeW91IGhhdmUgbGFyZ2UgZ2FwIi0KCnRleHQvcGxhaW4SH01vdmUgdGhpcyB1cCB5b3UgaGF2ZSBsYXJnZSBnYXAqVgodVGFvbmdhIEthb25nYSBTb2JlcmUtU25pdGhlcnMaNS8vc3NsLmdzdGF0aWMuY29tL2RvY3MvY29tbW9uL2JsdWVfc2lsaG91ZXR0ZTk2LTAucG5nMKCltMyVNDiA+rfMlTRCqAMKC0FBQUNCRV9MX1FBEgtBQUFDQkVfTF9QOBo+Cgl0ZXh0L2h0bWwSMVlvdSBuZWVkIHRvIGFkZCBhIHNlY3Rpb24gcG9ydGVycyBncm93dGggc3RyYXRlZ3kiPwoKdGV4dC9wbGFpbhIxWW91IG5lZWQgdG8gYWRkIGEgc2VjdGlvbiBwb3J0ZXJzIGdyb3d0aCBzdHJhdGVneSpWCh1UYW9uZ2EgS2FvbmdhIFNvYmVyZS1Tbml0aGVycxo1Ly9zc2wuZ3N0YXRpYy5jb20vZG9jcy9jb21tb24vYmx1ZV9zaWxob3VldHRlOTYtMC5wbmcwgPq3zJU0OID6t8yVNHJYCh1UYW9uZ2EgS2FvbmdhIFNvYmVyZS1Tbml0aGVycxo3CjUvL3NzbC5nc3RhdGljLmNvbS9kb2NzL2NvbW1vbi9ibHVlX3NpbGhvdWV0dGU5Ni0wLnBuZ3gAiAEBmgEGCAAQABgAqgEzEjFZb3UgbmVlZCB0byBhZGQgYSBzZWN0aW9uIHBvcnRlcnMgZ3Jvd3RoIHN0cmF0ZWd5sAEAuAEByAEAclgKHVRhb25nYSBLYW9uZ2EgU29iZXJlLVNuaXRoZXJzGjcKNS8vc3NsLmdzdGF0aWMuY29tL2RvY3MvY29tbW9uL2JsdWVfc2lsaG91ZXR0ZTk2LTAucG5neACIAQGaAQYIABAAGACqASESH01vdmUgdGhpcyB1cCB5b3UgaGF2ZSBsYXJnZSBnYXCwAQC4AQHIAQAYoKW0zJU0IID6t8yVNDAAQghraXguY210MyKZAwoLQUFBQ0JFX0xfUUUS7wIKC0FBQUNCRV9MX1FFEgtBQUFDQkVfTF9RRRorCgl0ZXh0L2h0bWwSHkJyZWFrIHRoaXMgaW50byB0d28gcGFyYWdyYXBocyIsCgp0ZXh0L3BsYWluEh5CcmVhayB0aGlzIGludG8gdHdvIHBhcmFncmFwaHMqVgodVGFvbmdhIEthb25nYSBTb2JlcmUtU25pdGhlcnMaNS8vc3NsLmdzdGF0aWMuY29tL2RvY3MvY29tbW9uL2JsdWVfc2lsaG91ZXR0ZTk2LTAucG5nMKD/lsyVNDig/5bMlTRyWAodVGFvbmdhIEthb25nYSBTb2JlcmUtU25pdGhlcnMaNwo1Ly9zc2wuZ3N0YXRpYy5jb20vZG9jcy9jb21tb24vYmx1ZV9zaWxob3VldHRlOTYtMC5wbmd4AIgBAZoBBggAEAAYAKoBIBIeQnJlYWsgdGhpcyBpbnRvIHR3byBwYXJhZ3JhcGhzsAEAuAEByAEAGKD/lsyVNCCg/5bMlTQwAEIIa2l4LmNtdDIyDmguOW1tOXpocXBtN3JrMg5oLjJianBtamIwbndyMzIOaC5qM3drbHRwazNoN24yDmgucnNkejE1YnpoYzNzMg5oLmkzOHlvMGx6cjVwdDIOaC43ODkzczdlNmlzaTkyDmguZG9zc2JwcTczdDI3OAByITE0S2hrOXlIVWN4WmRiRWRSYVBkM0FaaVZzMEJMdE8wV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4118</Words>
  <Characters>23477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shivamyadav91227@outlook.com</cp:lastModifiedBy>
  <cp:revision>6</cp:revision>
  <dcterms:created xsi:type="dcterms:W3CDTF">2026-10-21T11:43:00Z</dcterms:created>
  <dcterms:modified xsi:type="dcterms:W3CDTF">2026-10-22T11:12:00Z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0e55058313bfdf361c2e45189c2be438116ab2320908cdfe1ce3637f71903a2f</vt:lpwstr>
  </property>
</Properties>
</file>