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r>
        <w:object w:dxaOrig="3340" w:dyaOrig="1396">
          <v:rect xmlns:o="urn:schemas-microsoft-com:office:office" xmlns:v="urn:schemas-microsoft-com:vml" id="rectole0000000000" style="width:167.000000pt;height:69.80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p>
    <w:p>
      <w:pPr>
        <w:spacing w:before="0" w:after="160" w:line="360"/>
        <w:ind w:right="0" w:left="0" w:firstLine="0"/>
        <w:jc w:val="both"/>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                                                                                          </w:t>
      </w:r>
    </w:p>
    <w:p>
      <w:pPr>
        <w:spacing w:before="0" w:after="160" w:line="360"/>
        <w:ind w:right="0" w:left="0" w:firstLine="0"/>
        <w:jc w:val="both"/>
        <w:rPr>
          <w:rFonts w:ascii="Arial" w:hAnsi="Arial" w:cs="Arial" w:eastAsia="Arial"/>
          <w:b/>
          <w:color w:val="auto"/>
          <w:spacing w:val="0"/>
          <w:position w:val="0"/>
          <w:sz w:val="24"/>
          <w:shd w:fill="auto" w:val="clear"/>
        </w:rPr>
      </w:pPr>
    </w:p>
    <w:p>
      <w:pPr>
        <w:spacing w:before="100" w:after="100" w:line="360"/>
        <w:ind w:right="0" w:left="0" w:firstLine="0"/>
        <w:jc w:val="left"/>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Student name:Penka Pavlinova Ruseva</w:t>
      </w:r>
    </w:p>
    <w:p>
      <w:pPr>
        <w:spacing w:before="100" w:after="100" w:line="360"/>
        <w:ind w:right="0" w:left="0" w:firstLine="0"/>
        <w:jc w:val="left"/>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Student ID number:2029255</w:t>
      </w:r>
    </w:p>
    <w:p>
      <w:pPr>
        <w:spacing w:before="6" w:after="0" w:line="240"/>
        <w:ind w:right="0" w:left="0" w:firstLine="0"/>
        <w:jc w:val="left"/>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Programme:BA Business Management</w:t>
      </w:r>
    </w:p>
    <w:p>
      <w:pPr>
        <w:spacing w:before="6" w:after="0" w:line="240"/>
        <w:ind w:right="0" w:left="0" w:firstLine="0"/>
        <w:jc w:val="left"/>
        <w:rPr>
          <w:rFonts w:ascii="Arial" w:hAnsi="Arial" w:cs="Arial" w:eastAsia="Arial"/>
          <w:b/>
          <w:color w:val="auto"/>
          <w:spacing w:val="0"/>
          <w:position w:val="0"/>
          <w:sz w:val="32"/>
          <w:shd w:fill="auto" w:val="clear"/>
        </w:rPr>
      </w:pPr>
    </w:p>
    <w:p>
      <w:pPr>
        <w:spacing w:before="6" w:after="0" w:line="240"/>
        <w:ind w:right="0" w:left="0" w:firstLine="0"/>
        <w:jc w:val="left"/>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Module:Community Engagement</w:t>
      </w:r>
    </w:p>
    <w:p>
      <w:pPr>
        <w:spacing w:before="6" w:after="0" w:line="240"/>
        <w:ind w:right="0" w:left="0" w:firstLine="0"/>
        <w:jc w:val="left"/>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 </w:t>
      </w:r>
    </w:p>
    <w:p>
      <w:pPr>
        <w:spacing w:before="6" w:after="0" w:line="240"/>
        <w:ind w:right="0" w:left="0" w:firstLine="0"/>
        <w:jc w:val="left"/>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Module code:LCBB4002</w:t>
      </w:r>
    </w:p>
    <w:p>
      <w:pPr>
        <w:spacing w:before="6" w:after="0" w:line="240"/>
        <w:ind w:right="0" w:left="0" w:firstLine="0"/>
        <w:jc w:val="left"/>
        <w:rPr>
          <w:rFonts w:ascii="Arial" w:hAnsi="Arial" w:cs="Arial" w:eastAsia="Arial"/>
          <w:b/>
          <w:color w:val="auto"/>
          <w:spacing w:val="0"/>
          <w:position w:val="0"/>
          <w:sz w:val="32"/>
          <w:shd w:fill="auto" w:val="clear"/>
        </w:rPr>
      </w:pPr>
    </w:p>
    <w:p>
      <w:pPr>
        <w:spacing w:before="6" w:after="0" w:line="240"/>
        <w:ind w:right="0" w:left="0" w:firstLine="0"/>
        <w:jc w:val="left"/>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Module Coordinator:Dr Olu Adegbite</w:t>
      </w:r>
    </w:p>
    <w:p>
      <w:pPr>
        <w:spacing w:before="6" w:after="0" w:line="240"/>
        <w:ind w:right="0" w:left="0" w:firstLine="0"/>
        <w:jc w:val="left"/>
        <w:rPr>
          <w:rFonts w:ascii="Arial" w:hAnsi="Arial" w:cs="Arial" w:eastAsia="Arial"/>
          <w:b/>
          <w:color w:val="auto"/>
          <w:spacing w:val="0"/>
          <w:position w:val="0"/>
          <w:sz w:val="32"/>
          <w:shd w:fill="auto" w:val="clear"/>
        </w:rPr>
      </w:pPr>
    </w:p>
    <w:p>
      <w:pPr>
        <w:spacing w:before="6" w:after="0" w:line="240"/>
        <w:ind w:right="0" w:left="0" w:firstLine="0"/>
        <w:jc w:val="left"/>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Assignment Title:Community Engagement </w:t>
      </w:r>
    </w:p>
    <w:p>
      <w:pPr>
        <w:spacing w:before="6" w:after="0" w:line="240"/>
        <w:ind w:right="0" w:left="0" w:firstLine="0"/>
        <w:jc w:val="left"/>
        <w:rPr>
          <w:rFonts w:ascii="Arial" w:hAnsi="Arial" w:cs="Arial" w:eastAsia="Arial"/>
          <w:b/>
          <w:color w:val="auto"/>
          <w:spacing w:val="0"/>
          <w:position w:val="0"/>
          <w:sz w:val="32"/>
          <w:shd w:fill="auto" w:val="clear"/>
        </w:rPr>
      </w:pPr>
    </w:p>
    <w:p>
      <w:pPr>
        <w:spacing w:before="6" w:after="0" w:line="240"/>
        <w:ind w:right="0" w:left="0" w:firstLine="0"/>
        <w:jc w:val="left"/>
        <w:rPr>
          <w:rFonts w:ascii="Arial" w:hAnsi="Arial" w:cs="Arial" w:eastAsia="Arial"/>
          <w:b/>
          <w:color w:val="auto"/>
          <w:spacing w:val="0"/>
          <w:position w:val="0"/>
          <w:sz w:val="32"/>
          <w:shd w:fill="auto" w:val="clear"/>
        </w:rPr>
      </w:pPr>
      <w:r>
        <w:rPr>
          <w:rFonts w:ascii="Arial" w:hAnsi="Arial" w:cs="Arial" w:eastAsia="Arial"/>
          <w:b/>
          <w:color w:val="auto"/>
          <w:spacing w:val="0"/>
          <w:position w:val="0"/>
          <w:sz w:val="32"/>
          <w:shd w:fill="auto" w:val="clear"/>
        </w:rPr>
        <w:t xml:space="preserve">Assignment 2-Reflective Report</w:t>
      </w:r>
    </w:p>
    <w:p>
      <w:pPr>
        <w:spacing w:before="0" w:after="160" w:line="360"/>
        <w:ind w:right="0" w:left="0" w:firstLine="0"/>
        <w:jc w:val="center"/>
        <w:rPr>
          <w:rFonts w:ascii="Arial" w:hAnsi="Arial" w:cs="Arial" w:eastAsia="Arial"/>
          <w:b/>
          <w:color w:val="auto"/>
          <w:spacing w:val="0"/>
          <w:position w:val="0"/>
          <w:sz w:val="24"/>
          <w:shd w:fill="auto" w:val="clear"/>
        </w:rPr>
      </w:pPr>
    </w:p>
    <w:p>
      <w:pPr>
        <w:spacing w:before="0" w:after="160" w:line="360"/>
        <w:ind w:right="0" w:left="0" w:firstLine="0"/>
        <w:jc w:val="both"/>
        <w:rPr>
          <w:rFonts w:ascii="Arial" w:hAnsi="Arial" w:cs="Arial" w:eastAsia="Arial"/>
          <w:b/>
          <w:color w:val="auto"/>
          <w:spacing w:val="0"/>
          <w:position w:val="0"/>
          <w:sz w:val="24"/>
          <w:shd w:fill="auto" w:val="clear"/>
        </w:rPr>
      </w:pPr>
    </w:p>
    <w:p>
      <w:pPr>
        <w:spacing w:before="0" w:after="160" w:line="360"/>
        <w:ind w:right="0" w:left="0" w:firstLine="0"/>
        <w:jc w:val="both"/>
        <w:rPr>
          <w:rFonts w:ascii="Arial" w:hAnsi="Arial" w:cs="Arial" w:eastAsia="Arial"/>
          <w:b/>
          <w:color w:val="auto"/>
          <w:spacing w:val="0"/>
          <w:position w:val="0"/>
          <w:sz w:val="24"/>
          <w:shd w:fill="auto" w:val="clear"/>
        </w:rPr>
      </w:pPr>
    </w:p>
    <w:p>
      <w:pPr>
        <w:spacing w:before="0" w:after="160" w:line="360"/>
        <w:ind w:right="0" w:left="0" w:firstLine="0"/>
        <w:jc w:val="both"/>
        <w:rPr>
          <w:rFonts w:ascii="Arial" w:hAnsi="Arial" w:cs="Arial" w:eastAsia="Arial"/>
          <w:b/>
          <w:color w:val="auto"/>
          <w:spacing w:val="0"/>
          <w:position w:val="0"/>
          <w:sz w:val="24"/>
          <w:shd w:fill="auto" w:val="clear"/>
        </w:rPr>
      </w:pPr>
    </w:p>
    <w:p>
      <w:pPr>
        <w:spacing w:before="0" w:after="160" w:line="360"/>
        <w:ind w:right="0" w:left="0" w:firstLine="0"/>
        <w:jc w:val="both"/>
        <w:rPr>
          <w:rFonts w:ascii="Arial" w:hAnsi="Arial" w:cs="Arial" w:eastAsia="Arial"/>
          <w:b/>
          <w:color w:val="auto"/>
          <w:spacing w:val="0"/>
          <w:position w:val="0"/>
          <w:sz w:val="24"/>
          <w:shd w:fill="auto" w:val="clear"/>
        </w:rPr>
      </w:pPr>
    </w:p>
    <w:p>
      <w:pPr>
        <w:spacing w:before="0" w:after="160" w:line="360"/>
        <w:ind w:right="0" w:left="0" w:firstLine="0"/>
        <w:jc w:val="center"/>
        <w:rPr>
          <w:rFonts w:ascii="Arial" w:hAnsi="Arial" w:cs="Arial" w:eastAsia="Arial"/>
          <w:b/>
          <w:color w:val="auto"/>
          <w:spacing w:val="0"/>
          <w:position w:val="0"/>
          <w:sz w:val="32"/>
          <w:shd w:fill="auto" w:val="clear"/>
        </w:rPr>
      </w:pPr>
    </w:p>
    <w:p>
      <w:pPr>
        <w:spacing w:before="0" w:after="160" w:line="360"/>
        <w:ind w:right="0" w:left="0" w:firstLine="0"/>
        <w:jc w:val="center"/>
        <w:rPr>
          <w:rFonts w:ascii="Arial" w:hAnsi="Arial" w:cs="Arial" w:eastAsia="Arial"/>
          <w:b/>
          <w:color w:val="auto"/>
          <w:spacing w:val="0"/>
          <w:position w:val="0"/>
          <w:sz w:val="32"/>
          <w:shd w:fill="auto" w:val="clear"/>
        </w:rPr>
      </w:pPr>
    </w:p>
    <w:p>
      <w:pPr>
        <w:spacing w:before="0" w:after="160" w:line="360"/>
        <w:ind w:right="0" w:left="0" w:firstLine="0"/>
        <w:jc w:val="center"/>
        <w:rPr>
          <w:rFonts w:ascii="Arial" w:hAnsi="Arial" w:cs="Arial" w:eastAsia="Arial"/>
          <w:b/>
          <w:color w:val="auto"/>
          <w:spacing w:val="0"/>
          <w:position w:val="0"/>
          <w:sz w:val="32"/>
          <w:shd w:fill="auto" w:val="clear"/>
        </w:rPr>
      </w:pPr>
    </w:p>
    <w:p>
      <w:pPr>
        <w:spacing w:before="0" w:after="160" w:line="360"/>
        <w:ind w:right="0" w:left="0" w:firstLine="0"/>
        <w:jc w:val="center"/>
        <w:rPr>
          <w:rFonts w:ascii="Arial" w:hAnsi="Arial" w:cs="Arial" w:eastAsia="Arial"/>
          <w:b/>
          <w:color w:val="auto"/>
          <w:spacing w:val="0"/>
          <w:position w:val="0"/>
          <w:sz w:val="32"/>
          <w:shd w:fill="auto" w:val="clear"/>
        </w:rPr>
      </w:pPr>
    </w:p>
    <w:p>
      <w:pPr>
        <w:spacing w:before="0" w:after="160" w:line="360"/>
        <w:ind w:right="0" w:left="0" w:firstLine="0"/>
        <w:jc w:val="center"/>
        <w:rPr>
          <w:rFonts w:ascii="Arial" w:hAnsi="Arial" w:cs="Arial" w:eastAsia="Arial"/>
          <w:b/>
          <w:color w:val="auto"/>
          <w:spacing w:val="0"/>
          <w:position w:val="0"/>
          <w:sz w:val="32"/>
          <w:shd w:fill="auto" w:val="clear"/>
        </w:rPr>
      </w:pPr>
    </w:p>
    <w:p>
      <w:pPr>
        <w:spacing w:before="0" w:after="160" w:line="360"/>
        <w:ind w:right="0" w:left="0" w:firstLine="0"/>
        <w:jc w:val="center"/>
        <w:rPr>
          <w:rFonts w:ascii="Arial" w:hAnsi="Arial" w:cs="Arial" w:eastAsia="Arial"/>
          <w:b/>
          <w:color w:val="auto"/>
          <w:spacing w:val="0"/>
          <w:position w:val="0"/>
          <w:sz w:val="24"/>
          <w:shd w:fill="auto" w:val="clear"/>
        </w:rPr>
      </w:pPr>
      <w:r>
        <w:rPr>
          <w:rFonts w:ascii="Arial" w:hAnsi="Arial" w:cs="Arial" w:eastAsia="Arial"/>
          <w:b/>
          <w:color w:val="auto"/>
          <w:spacing w:val="0"/>
          <w:position w:val="0"/>
          <w:sz w:val="32"/>
          <w:shd w:fill="auto" w:val="clear"/>
        </w:rPr>
        <w:t xml:space="preserve">Community Engagement Reflective Report</w:t>
      </w:r>
    </w:p>
    <w:p>
      <w:pPr>
        <w:spacing w:before="0" w:after="160" w:line="360"/>
        <w:ind w:right="0" w:left="0" w:firstLine="0"/>
        <w:jc w:val="both"/>
        <w:rPr>
          <w:rFonts w:ascii="Arial" w:hAnsi="Arial" w:cs="Arial" w:eastAsia="Arial"/>
          <w:b/>
          <w:color w:val="auto"/>
          <w:spacing w:val="0"/>
          <w:position w:val="0"/>
          <w:sz w:val="24"/>
          <w:shd w:fill="auto" w:val="clear"/>
        </w:rPr>
      </w:pPr>
    </w:p>
    <w:p>
      <w:pPr>
        <w:spacing w:before="0" w:after="160" w:line="360"/>
        <w:ind w:right="0" w:left="0" w:firstLine="0"/>
        <w:jc w:val="both"/>
        <w:rPr>
          <w:rFonts w:ascii="Arial" w:hAnsi="Arial" w:cs="Arial" w:eastAsia="Arial"/>
          <w:b/>
          <w:color w:val="auto"/>
          <w:spacing w:val="0"/>
          <w:position w:val="0"/>
          <w:sz w:val="24"/>
          <w:shd w:fill="auto" w:val="clear"/>
        </w:rPr>
      </w:pPr>
    </w:p>
    <w:p>
      <w:pPr>
        <w:spacing w:before="0" w:after="160" w:line="360"/>
        <w:ind w:right="0" w:left="0" w:firstLine="0"/>
        <w:jc w:val="both"/>
        <w:rPr>
          <w:rFonts w:ascii="Arial" w:hAnsi="Arial" w:cs="Arial" w:eastAsia="Arial"/>
          <w:b/>
          <w:color w:val="auto"/>
          <w:spacing w:val="0"/>
          <w:position w:val="0"/>
          <w:sz w:val="24"/>
          <w:shd w:fill="auto" w:val="clear"/>
        </w:rPr>
      </w:pPr>
    </w:p>
    <w:p>
      <w:pPr>
        <w:keepNext w:val="true"/>
        <w:keepLines w:val="true"/>
        <w:spacing w:before="240" w:after="0" w:line="259"/>
        <w:ind w:right="0" w:left="0" w:firstLine="0"/>
        <w:jc w:val="left"/>
        <w:rPr>
          <w:rFonts w:ascii="Arial" w:hAnsi="Arial" w:cs="Arial" w:eastAsia="Arial"/>
          <w:color w:val="2F5496"/>
          <w:spacing w:val="0"/>
          <w:position w:val="0"/>
          <w:sz w:val="22"/>
          <w:shd w:fill="auto" w:val="clear"/>
        </w:rPr>
      </w:pPr>
      <w:r>
        <w:rPr>
          <w:rFonts w:ascii="Arial" w:hAnsi="Arial" w:cs="Arial" w:eastAsia="Arial"/>
          <w:b/>
          <w:color w:val="auto"/>
          <w:spacing w:val="0"/>
          <w:position w:val="0"/>
          <w:sz w:val="24"/>
          <w:shd w:fill="auto" w:val="clear"/>
        </w:rPr>
        <w:t xml:space="preserve">Introduction</w:t>
      </w:r>
      <w:r>
        <w:rPr>
          <w:rFonts w:ascii="Arial" w:hAnsi="Arial" w:cs="Arial" w:eastAsia="Arial"/>
          <w:b/>
          <w:color w:val="2F5496"/>
          <w:spacing w:val="0"/>
          <w:position w:val="0"/>
          <w:sz w:val="24"/>
          <w:shd w:fill="auto" w:val="clear"/>
        </w:rPr>
        <w:t xml:space="preserv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Community engagement is a process of learning through collective working with people of similar interest, same geographic proximity or similar situation (Rashid, 2013). Through this type of learning student can get a chance of applying their knowledge and skills in an actual work environment or work setting (kapali, 2007).Learning new things and issues through working or real experiences and thus getting new insights of oneself is reflective practice (Finlay, 2008). According to the Gibbs reflective cycle theory, learning through experiences has six important stages by which one can clearly understood or get a new insight of his knowledge and experience. By critically overcome this stages one can easily acquire the ability to solve new problem very creatively.  </w:t>
      </w:r>
    </w:p>
    <w:p>
      <w:pPr>
        <w:spacing w:before="0" w:after="160" w:line="360"/>
        <w:ind w:right="0" w:left="0" w:firstLine="0"/>
        <w:jc w:val="both"/>
        <w:rPr>
          <w:rFonts w:ascii="Arial" w:hAnsi="Arial" w:cs="Arial" w:eastAsia="Arial"/>
          <w:color w:val="auto"/>
          <w:spacing w:val="0"/>
          <w:position w:val="0"/>
          <w:sz w:val="22"/>
          <w:shd w:fill="auto" w:val="clear"/>
        </w:rPr>
      </w:pPr>
    </w:p>
    <w:p>
      <w:pPr>
        <w:keepNext w:val="true"/>
        <w:keepLines w:val="true"/>
        <w:spacing w:before="200" w:after="0" w:line="259"/>
        <w:ind w:right="0" w:left="0" w:firstLine="0"/>
        <w:jc w:val="left"/>
        <w:rPr>
          <w:rFonts w:ascii="Arial" w:hAnsi="Arial" w:cs="Arial" w:eastAsia="Arial"/>
          <w:b/>
          <w:color w:val="4472C4"/>
          <w:spacing w:val="0"/>
          <w:position w:val="0"/>
          <w:sz w:val="22"/>
          <w:shd w:fill="auto" w:val="clear"/>
        </w:rPr>
      </w:pPr>
      <w:r>
        <w:rPr>
          <w:rFonts w:ascii="Arial" w:hAnsi="Arial" w:cs="Arial" w:eastAsia="Arial"/>
          <w:b/>
          <w:color w:val="auto"/>
          <w:spacing w:val="0"/>
          <w:position w:val="0"/>
          <w:sz w:val="24"/>
          <w:shd w:fill="auto" w:val="clear"/>
        </w:rPr>
        <w:t xml:space="preserve">Nature and purpose of Reflective practice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Reflective practice means a process of learning through experiences and thus earning new understanding and insights of oneself and his practice (Finlay,2008).Reflection is one of the most important part of learning and teaching. It tries to make oneself understand and more aware of your own professional skill, knowledge and action by challenging assumptions of daily exercise and critically assessing practitioners’ personal reaction to practice moment and situation (Finlay, 2008). The process of reflection encourages everyone to cooperate with colleagues and as he or she can uphold the best practice and stretch out others for corroboration. The ultimate goal of reflection is to assure all the students learn and gather knowledge and skills more effectively and accurately. In this part of the essay, I will try to find out the basics and important parts of reflective practice in depth. And for that reason, I will use at least one theoretical framework or model and I will try to discuss the benefits of reflective practice.</w:t>
      </w:r>
    </w:p>
    <w:p>
      <w:pPr>
        <w:keepNext w:val="true"/>
        <w:keepLines w:val="true"/>
        <w:spacing w:before="200" w:after="0" w:line="259"/>
        <w:ind w:right="0" w:left="0" w:firstLine="0"/>
        <w:jc w:val="left"/>
        <w:rPr>
          <w:rFonts w:ascii="Arial" w:hAnsi="Arial" w:cs="Arial" w:eastAsia="Arial"/>
          <w:b/>
          <w:color w:val="4472C4"/>
          <w:spacing w:val="0"/>
          <w:position w:val="0"/>
          <w:sz w:val="22"/>
          <w:shd w:fill="auto" w:val="clear"/>
        </w:rPr>
      </w:pPr>
      <w:r>
        <w:rPr>
          <w:rFonts w:ascii="Arial" w:hAnsi="Arial" w:cs="Arial" w:eastAsia="Arial"/>
          <w:b/>
          <w:color w:val="auto"/>
          <w:spacing w:val="0"/>
          <w:position w:val="0"/>
          <w:sz w:val="24"/>
          <w:shd w:fill="auto" w:val="clear"/>
        </w:rPr>
        <w:t xml:space="preserve">Gibbs' Reflective Cycle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Gibbs’ reflective cycle is one of the most used and cited models by academician and students. And this model has six stages through which it tries to explore the reflection of practice and these six parts are description, feelings, evaluation, analysis, conclusion and action plan.</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Graham Gibbs drawn and developed this reflective cycle in 1998 to give layout of learning through experiences. He drawn a layout for inquiring experiences, and because of its cyclic nature, it allows anyone to plan and learn at the same time from things that either went wrong or did go well. The cyclic six stages are: </w:t>
      </w:r>
    </w:p>
    <w:p>
      <w:pPr>
        <w:spacing w:before="100" w:after="100" w:line="360"/>
        <w:ind w:right="0" w:left="0" w:firstLine="0"/>
        <w:jc w:val="left"/>
        <w:rPr>
          <w:rFonts w:ascii="Arial" w:hAnsi="Arial" w:cs="Arial" w:eastAsia="Arial"/>
          <w:color w:val="auto"/>
          <w:spacing w:val="0"/>
          <w:position w:val="0"/>
          <w:sz w:val="22"/>
          <w:shd w:fill="auto" w:val="clear"/>
        </w:rPr>
      </w:pPr>
      <w:r>
        <w:object w:dxaOrig="7633" w:dyaOrig="3624">
          <v:rect xmlns:o="urn:schemas-microsoft-com:office:office" xmlns:v="urn:schemas-microsoft-com:vml" id="rectole0000000001" style="width:381.650000pt;height:181.2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r>
        <w:rPr>
          <w:rFonts w:ascii="Arial" w:hAnsi="Arial" w:cs="Arial" w:eastAsia="Arial"/>
          <w:color w:val="auto"/>
          <w:spacing w:val="0"/>
          <w:position w:val="0"/>
          <w:sz w:val="22"/>
          <w:shd w:fill="auto" w:val="clear"/>
        </w:rPr>
        <w:t xml:space="preserve">Experience is the key term of this model and it works through experience. This can be either frequently go through experience or a situation that is one time or stand alone, e.g.  a team meeting where you have to collaborate with members. Graham Gibbs basically advocated the repeated situations of experiences, but the principles and stages can be applied equally and well for the single experiences too. </w:t>
      </w:r>
    </w:p>
    <w:p>
      <w:pPr>
        <w:spacing w:before="0" w:after="160" w:line="360"/>
        <w:ind w:right="0" w:left="0" w:firstLine="0"/>
        <w:jc w:val="both"/>
        <w:rPr>
          <w:rFonts w:ascii="Arial" w:hAnsi="Arial" w:cs="Arial" w:eastAsia="Arial"/>
          <w:b/>
          <w:color w:val="auto"/>
          <w:spacing w:val="0"/>
          <w:position w:val="0"/>
          <w:sz w:val="22"/>
          <w:shd w:fill="auto" w:val="clear"/>
        </w:rPr>
      </w:pPr>
      <w:r>
        <w:rPr>
          <w:rFonts w:ascii="Arial" w:hAnsi="Arial" w:cs="Arial" w:eastAsia="Arial"/>
          <w:b/>
          <w:color w:val="auto"/>
          <w:spacing w:val="0"/>
          <w:position w:val="0"/>
          <w:sz w:val="24"/>
          <w:shd w:fill="auto" w:val="clear"/>
        </w:rPr>
        <w:t xml:space="preserve">My personal experiences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Here below I will try to depict my experiences through the stages of Graham Gibbs to provide a clear and detail reflection of reflective practice.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4"/>
          <w:shd w:fill="auto" w:val="clear"/>
        </w:rPr>
        <w:t xml:space="preserve">Description</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2"/>
          <w:shd w:fill="auto" w:val="clear"/>
        </w:rPr>
        <w:t xml:space="preserve">For the written group work assignment, I and our group combining four of my course mates decided to divide several parts of the given assignments so that we just had to research a single part each. We hoped we could only piece our assignment altogether in the evening just the day before the deadline, indicating that we even didn’t have to fix time to sit and write it together. Howsoever, when we sat down to complete the assignment it found it clearly that the sections were written through various different style. Then we had to write full assignment again to make the assignment a coherent and clear piece of work. We had got enough time to write the assignment individually before the deadline. But we didn’t have any backup plan to rewrite the whole assignment if something went wrong during the initial period of writing. So, all the members of our group had to drop out all the plans that evening just to finish and our assignment in time for the deadline.</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4"/>
          <w:shd w:fill="auto" w:val="clear"/>
        </w:rPr>
        <w:t xml:space="preserve">Feelings: </w:t>
      </w:r>
      <w:r>
        <w:rPr>
          <w:rFonts w:ascii="Arial" w:hAnsi="Arial" w:cs="Arial" w:eastAsia="Arial"/>
          <w:color w:val="auto"/>
          <w:spacing w:val="0"/>
          <w:position w:val="0"/>
          <w:sz w:val="22"/>
          <w:shd w:fill="auto" w:val="clear"/>
        </w:rPr>
        <w:t xml:space="preserve">Before the evening meeting where we come together to realize the work, I was very much happy and satisfied and I thought that we divided the work very smartly and our jobs would be considered the most fascinating one while submitted to and evaluated by our supervisor. When I realized that we even couldn’t handle the assignment the way we initially planned, I became very much frustrated and unhappy. Though I was very much certain it was going to work, I truly had very little motivation to complete the rewriting.  I started to feel very much guilty because the plan was mine and all negative credits went to me. That feeling of guiltiness encouraged and helped me for working very hard to complete the whole rewriting within a night and a half day. And being able to complete the work made me happy and satisfied enough.   </w:t>
      </w:r>
    </w:p>
    <w:p>
      <w:pPr>
        <w:spacing w:before="0" w:after="16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4"/>
          <w:shd w:fill="auto" w:val="clear"/>
        </w:rPr>
        <w:t xml:space="preserve">Evaluation</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2"/>
          <w:shd w:fill="auto" w:val="clear"/>
        </w:rPr>
        <w:t xml:space="preserve">The most fascinating aspects of the experience was that all the members of the group produced good and quality work in accordance with the assignment purpose. And the most thrilling and surprising part of the assignment is the fact that all of us didn’t rethink while cancelling all the plans of that evening just to rewrite the assignment accurate style and within the given deadline. That’s the fact motivated all of us particularly me to work hard and get the job done faster. What exactly did not work as accurately as we did fix first and the time table we planed and fixed completely failed.</w:t>
      </w:r>
    </w:p>
    <w:p>
      <w:pPr>
        <w:spacing w:before="100" w:after="10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4"/>
          <w:shd w:fill="auto" w:val="clear"/>
        </w:rPr>
        <w:t xml:space="preserve">Analysis</w:t>
      </w:r>
      <w:r>
        <w:rPr>
          <w:rFonts w:ascii="Arial" w:hAnsi="Arial" w:cs="Arial" w:eastAsia="Arial"/>
          <w:color w:val="auto"/>
          <w:spacing w:val="0"/>
          <w:position w:val="0"/>
          <w:sz w:val="24"/>
          <w:shd w:fill="auto" w:val="clear"/>
        </w:rPr>
        <w:t xml:space="preserve">: </w:t>
      </w:r>
      <w:r>
        <w:rPr>
          <w:rFonts w:ascii="Arial" w:hAnsi="Arial" w:cs="Arial" w:eastAsia="Arial"/>
          <w:color w:val="auto"/>
          <w:spacing w:val="0"/>
          <w:position w:val="0"/>
          <w:sz w:val="22"/>
          <w:shd w:fill="auto" w:val="clear"/>
        </w:rPr>
        <w:t xml:space="preserve">The reason why our primary division of the assignment went very well was we divided and imposed parts of the assignment in accordance with strengths and interest of our group members. That’s why they didn’t bore with the work and happily completed their work. I do have experience working like this before and this helped me to work with highest level of enjoying as the work completely matches my interests and strengths. </w:t>
      </w:r>
    </w:p>
    <w:p>
      <w:pPr>
        <w:spacing w:before="100" w:after="1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But we thought this approach would save our time while combining the section together at the end of the work, so we didn’t deeply evaluate this approach and considered it perfect. But in reality, this approach costed our much time far beyond we thought and it created stress very much on us. The reason of this situation as I think is the fact we didn’t have a plan how we were writing and forming the sections altogether. </w:t>
      </w:r>
    </w:p>
    <w:p>
      <w:pPr>
        <w:spacing w:before="100" w:after="1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I tried to figure out why such things happened and that’s why I googled on google scholar for some well-articulated and well researched paper or work on group work and I got two writings that help me understand the situation created. Beblin’s (2010) team works draws that each and every person has some strengths and weakness as well they fetch to a group. The way Beblin consider team and team members and the way we think our team members vary where we consider effective team output come from the various strengths of different people. </w:t>
      </w:r>
    </w:p>
    <w:p>
      <w:pPr>
        <w:spacing w:before="100" w:after="1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The other theories that explain our failure on the prediction we did when we fix our time schedule is ‘Groupthink’ (Janis, 1991). If in any group any particular opinion became dominant then the dissent members won’t express their dissent views as they didn’t want to see themselves like an outsider- as ‘Groupthink’ resonates. I now think that if anyone of us had challenged our assumed time frame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by actually analyze critically, we would probably then have reassumed our time frame and plan. Our illusion of invulnerability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we are all qualified and punctual students, so we couldn’t do anything wrong by any means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made our group more vulnerable.</w:t>
      </w:r>
    </w:p>
    <w:p>
      <w:pPr>
        <w:spacing w:before="100" w:after="1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Now I can conclude by saying this that being careful and   aware of groupthink in the future will be helpful in group work, and made us more qualified in terms of decisions making.</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4"/>
          <w:shd w:fill="auto" w:val="clear"/>
        </w:rPr>
        <w:t xml:space="preserve">Conclusion: </w:t>
      </w:r>
      <w:r>
        <w:rPr>
          <w:rFonts w:ascii="Arial" w:hAnsi="Arial" w:cs="Arial" w:eastAsia="Arial"/>
          <w:color w:val="auto"/>
          <w:spacing w:val="0"/>
          <w:position w:val="0"/>
          <w:sz w:val="22"/>
          <w:shd w:fill="auto" w:val="clear"/>
        </w:rPr>
        <w:t xml:space="preserve">I personally learned that we must have plan how we want every section to look when we start dividing the assignment into parts and distributing among the members. Thus, we will be able to piece the whole work without even any rewriting. And lastly, I learned that challenging the dominant opinion or view of the group is highly important to ensure the quality of the work and taking the accurate and necessary decisions. </w:t>
      </w:r>
    </w:p>
    <w:p>
      <w:pPr>
        <w:spacing w:before="0" w:after="0" w:line="360"/>
        <w:ind w:right="0" w:left="0" w:firstLine="0"/>
        <w:jc w:val="both"/>
        <w:rPr>
          <w:rFonts w:ascii="Arial" w:hAnsi="Arial" w:cs="Arial" w:eastAsia="Arial"/>
          <w:color w:val="auto"/>
          <w:spacing w:val="0"/>
          <w:position w:val="0"/>
          <w:sz w:val="22"/>
          <w:shd w:fill="auto" w:val="clear"/>
        </w:rPr>
      </w:pP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b/>
          <w:color w:val="auto"/>
          <w:spacing w:val="0"/>
          <w:position w:val="0"/>
          <w:sz w:val="24"/>
          <w:shd w:fill="auto" w:val="clear"/>
        </w:rPr>
        <w:t xml:space="preserve">Action plan: </w:t>
      </w:r>
      <w:r>
        <w:rPr>
          <w:rFonts w:ascii="Arial" w:hAnsi="Arial" w:cs="Arial" w:eastAsia="Arial"/>
          <w:color w:val="auto"/>
          <w:spacing w:val="0"/>
          <w:position w:val="0"/>
          <w:sz w:val="22"/>
          <w:shd w:fill="auto" w:val="clear"/>
        </w:rPr>
        <w:t xml:space="preserve">From now whenever I will work with group, I want to ask them their strengths and interests so that I can remember all the group members just from the first meeting. Then I will try to divide the work accordingly and we will outline a lay out or particular style which one should be used through our writing (Adeani, et,al.,2020). Now I am confident and can assure that this experience will be enough to handle all the future group work more accurately and more professionally. The most important thing I will surely raise is the necessary debate when taking any decisions means we will ensure an equal and level playing environment for all the members of the group.</w:t>
      </w:r>
    </w:p>
    <w:p>
      <w:pPr>
        <w:keepNext w:val="true"/>
        <w:keepLines w:val="true"/>
        <w:spacing w:before="200" w:after="0" w:line="259"/>
        <w:ind w:right="0" w:left="0" w:firstLine="0"/>
        <w:jc w:val="left"/>
        <w:rPr>
          <w:rFonts w:ascii="Arial" w:hAnsi="Arial" w:cs="Arial" w:eastAsia="Arial"/>
          <w:b/>
          <w:color w:val="4472C4"/>
          <w:spacing w:val="0"/>
          <w:position w:val="0"/>
          <w:sz w:val="22"/>
          <w:shd w:fill="auto" w:val="clear"/>
        </w:rPr>
      </w:pPr>
      <w:r>
        <w:rPr>
          <w:rFonts w:ascii="Arial" w:hAnsi="Arial" w:cs="Arial" w:eastAsia="Arial"/>
          <w:b/>
          <w:color w:val="auto"/>
          <w:spacing w:val="0"/>
          <w:position w:val="0"/>
          <w:sz w:val="24"/>
          <w:shd w:fill="auto" w:val="clear"/>
        </w:rPr>
        <w:t xml:space="preserve">Relationship between theory and experience in problem solving </w:t>
      </w:r>
    </w:p>
    <w:p>
      <w:pPr>
        <w:spacing w:before="100" w:after="100" w:line="360"/>
        <w:ind w:right="0" w:left="0" w:firstLine="0"/>
        <w:jc w:val="both"/>
        <w:rPr>
          <w:rFonts w:ascii="Arial" w:hAnsi="Arial" w:cs="Arial" w:eastAsia="Arial"/>
          <w:b/>
          <w:color w:val="auto"/>
          <w:spacing w:val="0"/>
          <w:position w:val="0"/>
          <w:sz w:val="22"/>
          <w:shd w:fill="auto" w:val="clear"/>
        </w:rPr>
      </w:pPr>
      <w:r>
        <w:rPr>
          <w:rFonts w:ascii="Arial" w:hAnsi="Arial" w:cs="Arial" w:eastAsia="Arial"/>
          <w:color w:val="auto"/>
          <w:spacing w:val="0"/>
          <w:position w:val="0"/>
          <w:sz w:val="22"/>
          <w:shd w:fill="auto" w:val="clear"/>
        </w:rPr>
        <w:t xml:space="preserve">Graham Gibbs theory of reflective practice is one of the most widely read and used theory in this field (Dempsey, 2010).  Here I will try to demonstrate my understanding how this theory would help me to solve new problem creatively and how that solving would be redefined during the actual action time. This theory covers six phases of a group work or problem solving. These stages are description, feelings, evaluation, analysis, and conclusion and action plan. All these stages cover or try to answer some basic questions which clearly identify the complexity or the simplicity of the problem.</w:t>
      </w:r>
    </w:p>
    <w:p>
      <w:pPr>
        <w:spacing w:before="100" w:after="1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And in this case of problem solving, the fourth stage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analysis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is very much important and helpful to understand the nature of the problem. This stage covers some very crucial question about the group work experience.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Why did things go well?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Why did things go wrong?</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w:t>
      </w:r>
      <w:r>
        <w:rPr>
          <w:rFonts w:ascii="Arial" w:hAnsi="Arial" w:cs="Arial" w:eastAsia="Arial"/>
          <w:color w:val="auto"/>
          <w:spacing w:val="0"/>
          <w:position w:val="0"/>
          <w:sz w:val="22"/>
          <w:shd w:fill="auto" w:val="clear"/>
        </w:rPr>
        <w:t xml:space="preserve">–</w:t>
      </w:r>
      <w:r>
        <w:rPr>
          <w:rFonts w:ascii="Arial" w:hAnsi="Arial" w:cs="Arial" w:eastAsia="Arial"/>
          <w:color w:val="auto"/>
          <w:spacing w:val="0"/>
          <w:position w:val="0"/>
          <w:sz w:val="22"/>
          <w:shd w:fill="auto" w:val="clear"/>
        </w:rPr>
        <w:t xml:space="preserve"> these types of question very clearly identify the nature of the problem and thus the solving of the problem become very easier and straightforward. </w:t>
      </w:r>
    </w:p>
    <w:p>
      <w:pPr>
        <w:keepNext w:val="true"/>
        <w:keepLines w:val="true"/>
        <w:spacing w:before="240" w:after="0" w:line="259"/>
        <w:ind w:right="0" w:left="0" w:firstLine="0"/>
        <w:jc w:val="left"/>
        <w:rPr>
          <w:rFonts w:ascii="Arial" w:hAnsi="Arial" w:cs="Arial" w:eastAsia="Arial"/>
          <w:color w:val="2F5496"/>
          <w:spacing w:val="0"/>
          <w:position w:val="0"/>
          <w:sz w:val="22"/>
          <w:shd w:fill="auto" w:val="clear"/>
        </w:rPr>
      </w:pPr>
      <w:r>
        <w:rPr>
          <w:rFonts w:ascii="Arial" w:hAnsi="Arial" w:cs="Arial" w:eastAsia="Arial"/>
          <w:b/>
          <w:color w:val="auto"/>
          <w:spacing w:val="0"/>
          <w:position w:val="0"/>
          <w:sz w:val="24"/>
          <w:shd w:fill="auto" w:val="clear"/>
        </w:rPr>
        <w:t xml:space="preserve">Conclusion</w:t>
      </w:r>
    </w:p>
    <w:p>
      <w:pPr>
        <w:spacing w:before="100" w:after="1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Community engagement refers to the process of learning by working and interacting with the people of same interest and similar context. Thus, students can acquire some transferable skills i.g. communication skill, problem solving skill, cooperative skill by which they can adapt the new and unfamiliar situation and can be able to overcome any circumstances. Theories also help the students to clearly understand the situations he will have to face. Graham Gibbs cycle theory is such a theory which helps student to easily and clearly understand and help them solve the problem with knowledge earned from experience.</w:t>
      </w:r>
    </w:p>
    <w:p>
      <w:pPr>
        <w:spacing w:before="100" w:after="100" w:line="360"/>
        <w:ind w:right="0" w:left="0" w:firstLine="0"/>
        <w:jc w:val="both"/>
        <w:rPr>
          <w:rFonts w:ascii="Arial" w:hAnsi="Arial" w:cs="Arial" w:eastAsia="Arial"/>
          <w:b/>
          <w:color w:val="auto"/>
          <w:spacing w:val="0"/>
          <w:position w:val="0"/>
          <w:sz w:val="22"/>
          <w:shd w:fill="auto" w:val="clear"/>
        </w:rPr>
      </w:pPr>
    </w:p>
    <w:p>
      <w:pPr>
        <w:spacing w:before="100" w:after="100" w:line="360"/>
        <w:ind w:right="0" w:left="0" w:firstLine="0"/>
        <w:jc w:val="both"/>
        <w:rPr>
          <w:rFonts w:ascii="Arial" w:hAnsi="Arial" w:cs="Arial" w:eastAsia="Arial"/>
          <w:b/>
          <w:color w:val="auto"/>
          <w:spacing w:val="0"/>
          <w:position w:val="0"/>
          <w:sz w:val="22"/>
          <w:shd w:fill="auto" w:val="clear"/>
        </w:rPr>
      </w:pPr>
    </w:p>
    <w:p>
      <w:pPr>
        <w:spacing w:before="100" w:after="100" w:line="360"/>
        <w:ind w:right="0" w:left="0" w:firstLine="0"/>
        <w:jc w:val="both"/>
        <w:rPr>
          <w:rFonts w:ascii="Arial" w:hAnsi="Arial" w:cs="Arial" w:eastAsia="Arial"/>
          <w:b/>
          <w:color w:val="auto"/>
          <w:spacing w:val="0"/>
          <w:position w:val="0"/>
          <w:sz w:val="22"/>
          <w:shd w:fill="auto" w:val="clear"/>
        </w:rPr>
      </w:pPr>
    </w:p>
    <w:p>
      <w:pPr>
        <w:keepNext w:val="true"/>
        <w:keepLines w:val="true"/>
        <w:spacing w:before="240" w:after="0" w:line="259"/>
        <w:ind w:right="0" w:left="0" w:firstLine="0"/>
        <w:jc w:val="left"/>
        <w:rPr>
          <w:rFonts w:ascii="Arial" w:hAnsi="Arial" w:cs="Arial" w:eastAsia="Arial"/>
          <w:color w:val="2F5496"/>
          <w:spacing w:val="0"/>
          <w:position w:val="0"/>
          <w:sz w:val="22"/>
          <w:shd w:fill="auto" w:val="clear"/>
        </w:rPr>
      </w:pPr>
      <w:r>
        <w:rPr>
          <w:rFonts w:ascii="Arial" w:hAnsi="Arial" w:cs="Arial" w:eastAsia="Arial"/>
          <w:b/>
          <w:color w:val="auto"/>
          <w:spacing w:val="0"/>
          <w:position w:val="0"/>
          <w:sz w:val="24"/>
          <w:shd w:fill="auto" w:val="clear"/>
        </w:rPr>
        <w:t xml:space="preserve">References </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Head, B.W., 2007. Community engagement: participation on whose terms?.Australian Journal of Political Science, 42(3), pp.441-454.</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Dempsey, S.E., 2010. Critiquing community engagement. Management Communication Quarterly, 24(3), pp.359-390.</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Bowen, F., Newenham-Kahindi, A. and Herremans, I., 2010. When suits meet roots: The antecedents and consequences of community engagement strategy. Journal of Business Ethics, 95(2), pp.297-318.</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Sergiovanni, T.J., 1987. The principalship: A reflective practice perspective. Publication Sales, Allyn and Bacon, Longwood Division, 7 Wells Avenue, Newton, MA 02159 (Order No. H88511; $34.95)..</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Jarvis, P., 1992. Reflective practice and nursing. Nurse education today, 12(3), pp.174-181.</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Adeani, I.S., Febriani, R.B. and Syafryadin, S., 2020. USING GIBBS’REFLECTIVE CYCLE IN MAKING REFLECTIONS OF LITERARY ANALYSIS. Indonesian EFL Journal, 6(2), pp.139-148.</w:t>
      </w:r>
    </w:p>
    <w:p>
      <w:pPr>
        <w:spacing w:before="100" w:after="100" w:line="360"/>
        <w:ind w:right="0" w:left="0" w:firstLine="0"/>
        <w:jc w:val="both"/>
        <w:rPr>
          <w:rFonts w:ascii="Arial" w:hAnsi="Arial" w:cs="Arial" w:eastAsia="Arial"/>
          <w:b/>
          <w:color w:val="auto"/>
          <w:spacing w:val="0"/>
          <w:position w:val="0"/>
          <w:sz w:val="22"/>
          <w:shd w:fill="auto" w:val="clear"/>
        </w:rPr>
      </w:pPr>
      <w:r>
        <w:rPr>
          <w:rFonts w:ascii="Arial" w:hAnsi="Arial" w:cs="Arial" w:eastAsia="Arial"/>
          <w:color w:val="auto"/>
          <w:spacing w:val="0"/>
          <w:position w:val="0"/>
          <w:sz w:val="22"/>
          <w:shd w:fill="auto" w:val="clear"/>
        </w:rPr>
        <w:t xml:space="preserve">Markkanen, P., Välimäki, M., Anttila, M. and Kuuskorpi, M., 2020. A reflective cycle: Understanding challenging situations in a school setting. Educational Research, 62(1), pp.46-62.</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Leithwood, K. and Steinbach, R., 1992. Improving the problem-solving expertise of school administrators: Theory and practice. Education and Urban Society, 24(3), pp.317-345.</w:t>
      </w:r>
    </w:p>
    <w:p>
      <w:pPr>
        <w:spacing w:before="0" w:after="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Denham, S.A. and Almeida, M.C., 1987. Children's social problem-solving skills, behavioral adjustment, and interventions: A meta-analysis evaluating theory and practice. Journal of applied developmental psychology, 8(4), pp.391-409.</w:t>
      </w:r>
    </w:p>
    <w:p>
      <w:pPr>
        <w:spacing w:before="100" w:after="100" w:line="360"/>
        <w:ind w:right="0" w:left="0" w:firstLine="0"/>
        <w:jc w:val="both"/>
        <w:rPr>
          <w:rFonts w:ascii="Arial" w:hAnsi="Arial" w:cs="Arial" w:eastAsia="Arial"/>
          <w:color w:val="auto"/>
          <w:spacing w:val="0"/>
          <w:position w:val="0"/>
          <w:sz w:val="22"/>
          <w:shd w:fill="auto" w:val="clear"/>
        </w:rPr>
      </w:pPr>
      <w:r>
        <w:rPr>
          <w:rFonts w:ascii="Arial" w:hAnsi="Arial" w:cs="Arial" w:eastAsia="Arial"/>
          <w:color w:val="auto"/>
          <w:spacing w:val="0"/>
          <w:position w:val="0"/>
          <w:sz w:val="22"/>
          <w:shd w:fill="auto" w:val="clear"/>
        </w:rPr>
        <w:t xml:space="preserve">Carson, J., 2007. A problem with problem solving: Teaching thinking without teaching knowledge. The mathematics educator, 17(2).</w:t>
      </w: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styles.xml" Id="docRId5"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numbering.xml" Id="docRId4" Type="http://schemas.openxmlformats.org/officeDocument/2006/relationships/numbering" /></Relationships>
</file>