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17CDDA" w14:textId="77777777" w:rsidR="00AF7BD9" w:rsidRPr="00AF7BD9" w:rsidRDefault="00AF7BD9" w:rsidP="00AF7BD9">
      <w:pPr>
        <w:pStyle w:val="paragraph"/>
        <w:spacing w:before="0" w:beforeAutospacing="0" w:after="0" w:afterAutospacing="0"/>
        <w:jc w:val="both"/>
        <w:textAlignment w:val="baseline"/>
        <w:rPr>
          <w:rStyle w:val="eop"/>
          <w:rFonts w:ascii="Arial" w:eastAsiaTheme="majorEastAsia" w:hAnsi="Arial" w:cs="Arial"/>
        </w:rPr>
      </w:pPr>
      <w:r w:rsidRPr="00AF7BD9">
        <w:rPr>
          <w:rStyle w:val="normaltextrun"/>
          <w:rFonts w:ascii="Arial" w:eastAsiaTheme="majorEastAsia" w:hAnsi="Arial" w:cs="Arial"/>
        </w:rPr>
        <w:t>Evaluating the efficacy of Media Health Campaigns: A Psychological Perspective.</w:t>
      </w:r>
      <w:r w:rsidRPr="00AF7BD9">
        <w:rPr>
          <w:rStyle w:val="eop"/>
          <w:rFonts w:ascii="Arial" w:eastAsiaTheme="majorEastAsia" w:hAnsi="Arial" w:cs="Arial"/>
        </w:rPr>
        <w:t> </w:t>
      </w:r>
    </w:p>
    <w:p w14:paraId="0401A4DE" w14:textId="77777777" w:rsidR="00AF7BD9" w:rsidRPr="00AF7BD9" w:rsidRDefault="00AF7BD9" w:rsidP="00AF7BD9">
      <w:pPr>
        <w:pStyle w:val="paragraph"/>
        <w:spacing w:before="0" w:beforeAutospacing="0" w:after="0" w:afterAutospacing="0"/>
        <w:jc w:val="both"/>
        <w:textAlignment w:val="baseline"/>
        <w:rPr>
          <w:rStyle w:val="eop"/>
          <w:rFonts w:ascii="Arial" w:eastAsiaTheme="majorEastAsia" w:hAnsi="Arial" w:cs="Arial"/>
        </w:rPr>
      </w:pPr>
    </w:p>
    <w:p w14:paraId="0209FACC" w14:textId="77777777" w:rsidR="00AF7BD9" w:rsidRPr="00AF7BD9" w:rsidRDefault="00AF7BD9" w:rsidP="00AF7BD9">
      <w:pPr>
        <w:pStyle w:val="paragraph"/>
        <w:spacing w:before="0" w:beforeAutospacing="0" w:after="0" w:afterAutospacing="0"/>
        <w:jc w:val="both"/>
        <w:textAlignment w:val="baseline"/>
        <w:rPr>
          <w:rFonts w:ascii="Arial" w:hAnsi="Arial" w:cs="Arial"/>
        </w:rPr>
      </w:pPr>
    </w:p>
    <w:p w14:paraId="284100F5" w14:textId="77777777" w:rsidR="00AF7BD9" w:rsidRPr="00AF7BD9" w:rsidRDefault="00AF7BD9" w:rsidP="00AF7BD9">
      <w:pPr>
        <w:pStyle w:val="paragraph"/>
        <w:spacing w:before="0" w:beforeAutospacing="0" w:after="0" w:afterAutospacing="0"/>
        <w:jc w:val="both"/>
        <w:textAlignment w:val="baseline"/>
        <w:rPr>
          <w:rFonts w:ascii="Arial" w:hAnsi="Arial" w:cs="Arial"/>
        </w:rPr>
      </w:pPr>
      <w:r w:rsidRPr="00AF7BD9">
        <w:rPr>
          <w:rStyle w:val="normaltextrun"/>
          <w:rFonts w:ascii="Arial" w:eastAsiaTheme="majorEastAsia" w:hAnsi="Arial" w:cs="Arial"/>
        </w:rPr>
        <w:t xml:space="preserve">This essay aims to consider the efficacy of health promotion campaigns within a variety of media sources using psychological theory and evidence. It will look at the impact of media health campaigns including how and why the campaign works. The media health campaigns to be discussed in this essay will include; The Rocket Fund by the Elton John AIDS Foundation, Tackle HIV led by Gareth Thomas in partnership with </w:t>
      </w:r>
      <w:proofErr w:type="spellStart"/>
      <w:r w:rsidRPr="00AF7BD9">
        <w:rPr>
          <w:rStyle w:val="normaltextrun"/>
          <w:rFonts w:ascii="Arial" w:eastAsiaTheme="majorEastAsia" w:hAnsi="Arial" w:cs="Arial"/>
        </w:rPr>
        <w:t>Viiv</w:t>
      </w:r>
      <w:proofErr w:type="spellEnd"/>
      <w:r w:rsidRPr="00AF7BD9">
        <w:rPr>
          <w:rStyle w:val="normaltextrun"/>
          <w:rFonts w:ascii="Arial" w:eastAsiaTheme="majorEastAsia" w:hAnsi="Arial" w:cs="Arial"/>
        </w:rPr>
        <w:t xml:space="preserve"> Healthcare and Terrance Higgins Trust, and 2030: HIV Time’ up! From the Terrance Higgins Trust.</w:t>
      </w:r>
      <w:r w:rsidRPr="00AF7BD9">
        <w:rPr>
          <w:rStyle w:val="eop"/>
          <w:rFonts w:ascii="Arial" w:eastAsiaTheme="majorEastAsia" w:hAnsi="Arial" w:cs="Arial"/>
        </w:rPr>
        <w:t> </w:t>
      </w:r>
    </w:p>
    <w:p w14:paraId="60CE8BE5" w14:textId="77777777" w:rsidR="00AF7BD9" w:rsidRPr="00AF7BD9" w:rsidRDefault="00AF7BD9" w:rsidP="00AF7BD9">
      <w:pPr>
        <w:pStyle w:val="paragraph"/>
        <w:spacing w:before="0" w:beforeAutospacing="0" w:after="0" w:afterAutospacing="0"/>
        <w:jc w:val="both"/>
        <w:textAlignment w:val="baseline"/>
        <w:rPr>
          <w:rFonts w:ascii="Arial" w:hAnsi="Arial" w:cs="Arial"/>
        </w:rPr>
      </w:pPr>
      <w:r w:rsidRPr="00AF7BD9">
        <w:rPr>
          <w:rStyle w:val="normaltextrun"/>
          <w:rFonts w:ascii="Arial" w:eastAsiaTheme="majorEastAsia" w:hAnsi="Arial" w:cs="Arial"/>
        </w:rPr>
        <w:t>Health promotion campaigns play a pivotal role in raising awareness and influencing behaviours related to various health issues. In recent years, media sources have become powerful tools for disseminating health-related information and promoting behaviour change.</w:t>
      </w:r>
      <w:r w:rsidRPr="00AF7BD9">
        <w:rPr>
          <w:rStyle w:val="eop"/>
          <w:rFonts w:ascii="Arial" w:eastAsiaTheme="majorEastAsia" w:hAnsi="Arial" w:cs="Arial"/>
        </w:rPr>
        <w:t> </w:t>
      </w:r>
    </w:p>
    <w:p w14:paraId="6ED9C8AC" w14:textId="77777777" w:rsidR="00AF7BD9" w:rsidRPr="00AF7BD9" w:rsidRDefault="00AF7BD9" w:rsidP="00AF7BD9">
      <w:pPr>
        <w:pStyle w:val="paragraph"/>
        <w:spacing w:before="0" w:beforeAutospacing="0" w:after="0" w:afterAutospacing="0"/>
        <w:jc w:val="both"/>
        <w:textAlignment w:val="baseline"/>
        <w:rPr>
          <w:rFonts w:ascii="Arial" w:hAnsi="Arial" w:cs="Arial"/>
        </w:rPr>
      </w:pPr>
      <w:r w:rsidRPr="00AF7BD9">
        <w:rPr>
          <w:rStyle w:val="normaltextrun"/>
          <w:rFonts w:ascii="Arial" w:eastAsiaTheme="majorEastAsia" w:hAnsi="Arial" w:cs="Arial"/>
        </w:rPr>
        <w:t xml:space="preserve">According to the World Health Organization, (2005), a health promotion campaign is a coordinated and strategic effort designed to raise awareness, educate, and motivate individuals and communities to adopt healthy behaviours, lifestyles and policies that contribute to improved health outcomes and well-being. </w:t>
      </w:r>
      <w:r w:rsidRPr="00AF7BD9">
        <w:rPr>
          <w:rStyle w:val="eop"/>
          <w:rFonts w:ascii="Arial" w:eastAsiaTheme="majorEastAsia" w:hAnsi="Arial" w:cs="Arial"/>
        </w:rPr>
        <w:t> </w:t>
      </w:r>
    </w:p>
    <w:p w14:paraId="33F471AF" w14:textId="77777777" w:rsidR="00AF7BD9" w:rsidRPr="00AF7BD9" w:rsidRDefault="00AF7BD9" w:rsidP="00AF7BD9">
      <w:pPr>
        <w:pStyle w:val="paragraph"/>
        <w:spacing w:before="0" w:beforeAutospacing="0" w:after="0" w:afterAutospacing="0"/>
        <w:jc w:val="both"/>
        <w:textAlignment w:val="baseline"/>
        <w:rPr>
          <w:rFonts w:ascii="Arial" w:hAnsi="Arial" w:cs="Arial"/>
        </w:rPr>
      </w:pPr>
      <w:r w:rsidRPr="00AF7BD9">
        <w:rPr>
          <w:rStyle w:val="normaltextrun"/>
          <w:rFonts w:ascii="Arial" w:eastAsiaTheme="majorEastAsia" w:hAnsi="Arial" w:cs="Arial"/>
        </w:rPr>
        <w:t>Psychological theories such as the Health Belief Model, Social Cognitive T</w:t>
      </w:r>
      <w:r w:rsidRPr="00AF7BD9">
        <w:rPr>
          <w:rStyle w:val="tabchar"/>
          <w:rFonts w:ascii="Arial" w:eastAsiaTheme="majorEastAsia" w:hAnsi="Arial" w:cs="Arial"/>
        </w:rPr>
        <w:tab/>
      </w:r>
      <w:proofErr w:type="spellStart"/>
      <w:r w:rsidRPr="00AF7BD9">
        <w:rPr>
          <w:rStyle w:val="normaltextrun"/>
          <w:rFonts w:ascii="Arial" w:eastAsiaTheme="majorEastAsia" w:hAnsi="Arial" w:cs="Arial"/>
        </w:rPr>
        <w:t>heory</w:t>
      </w:r>
      <w:proofErr w:type="spellEnd"/>
      <w:r w:rsidRPr="00AF7BD9">
        <w:rPr>
          <w:rStyle w:val="normaltextrun"/>
          <w:rFonts w:ascii="Arial" w:eastAsiaTheme="majorEastAsia" w:hAnsi="Arial" w:cs="Arial"/>
        </w:rPr>
        <w:t xml:space="preserve"> and the Transtheoretical Model provide frameworks for understanding individual behaviour change in response to health campaigns. According to the Health Belief Model, individuals are more likely to adopt health behaviours if they perceive themselves to be susceptible to a health threat, perceive the severity of the threat, believe in the efficacy of the recommended action, and perceive the barriers   to taking action as low. The Social Cognitive Theory emphasizes the role of observational learning, self-efficacy, and outcome expectations in behaviour change, while the Transtheoretical model proposes that behaviour change occurs through stages of pre-contemplation, contemplation, preparation, action and maintenance.</w:t>
      </w:r>
      <w:r w:rsidRPr="00AF7BD9">
        <w:rPr>
          <w:rStyle w:val="eop"/>
          <w:rFonts w:ascii="Arial" w:eastAsiaTheme="majorEastAsia" w:hAnsi="Arial" w:cs="Arial"/>
        </w:rPr>
        <w:t> </w:t>
      </w:r>
    </w:p>
    <w:p w14:paraId="43BA2283" w14:textId="77777777" w:rsidR="00AF7BD9" w:rsidRPr="00AF7BD9" w:rsidRDefault="00AF7BD9" w:rsidP="00AF7BD9">
      <w:pPr>
        <w:pStyle w:val="paragraph"/>
        <w:spacing w:before="0" w:beforeAutospacing="0" w:after="0" w:afterAutospacing="0"/>
        <w:jc w:val="both"/>
        <w:textAlignment w:val="baseline"/>
        <w:rPr>
          <w:rFonts w:ascii="Arial" w:hAnsi="Arial" w:cs="Arial"/>
        </w:rPr>
      </w:pPr>
      <w:r w:rsidRPr="00AF7BD9">
        <w:rPr>
          <w:rStyle w:val="normaltextrun"/>
          <w:rFonts w:ascii="Arial" w:eastAsiaTheme="majorEastAsia" w:hAnsi="Arial" w:cs="Arial"/>
        </w:rPr>
        <w:t>Noar and Zimmerman, (2005), studied various theories in relation to people’s behaviour and beliefs in regard to health. The Health Belief Model, the Theory of Reasoned Action, the Theory of Planned Behaviour, The Transtheoretical Model and Bandura’s Social Cognitive Theory were some of the theories that were studied. They considered how each theory assessed what people believe about their health, their confidence in their ability to make healthy choices, what is expected from others, how risks are perceived and how they feel emotionally.</w:t>
      </w:r>
      <w:r w:rsidRPr="00AF7BD9">
        <w:rPr>
          <w:rStyle w:val="eop"/>
          <w:rFonts w:ascii="Arial" w:eastAsiaTheme="majorEastAsia" w:hAnsi="Arial" w:cs="Arial"/>
        </w:rPr>
        <w:t> </w:t>
      </w:r>
    </w:p>
    <w:p w14:paraId="56CAD08F" w14:textId="77777777" w:rsidR="00AF7BD9" w:rsidRPr="00AF7BD9" w:rsidRDefault="00AF7BD9" w:rsidP="00AF7BD9">
      <w:pPr>
        <w:pStyle w:val="paragraph"/>
        <w:spacing w:before="0" w:beforeAutospacing="0" w:after="0" w:afterAutospacing="0"/>
        <w:jc w:val="both"/>
        <w:textAlignment w:val="baseline"/>
        <w:rPr>
          <w:rFonts w:ascii="Arial" w:hAnsi="Arial" w:cs="Arial"/>
        </w:rPr>
      </w:pPr>
      <w:r w:rsidRPr="00AF7BD9">
        <w:rPr>
          <w:rStyle w:val="normaltextrun"/>
          <w:rFonts w:ascii="Arial" w:eastAsiaTheme="majorEastAsia" w:hAnsi="Arial" w:cs="Arial"/>
        </w:rPr>
        <w:t>The theories were considered in terms of their components related to beliefs, self-efficacy, norms, risks, emotions, and intentions. Their analysis suggests that the Transtheoretical Model covers more aspects/components of behaviour change. The study found however that there were high levels of diversity within the research therefore creating uncertainty in deciding/concluding which theory is best for predicting or changing health behaviours. Noar and Zimmerman, (2005), suggested using an integrated approach in order to better understand and address public health challenges. </w:t>
      </w:r>
      <w:r w:rsidRPr="00AF7BD9">
        <w:rPr>
          <w:rStyle w:val="eop"/>
          <w:rFonts w:ascii="Arial" w:eastAsiaTheme="majorEastAsia" w:hAnsi="Arial" w:cs="Arial"/>
        </w:rPr>
        <w:t> </w:t>
      </w:r>
    </w:p>
    <w:p w14:paraId="3DAFD70A" w14:textId="77777777" w:rsidR="00AF7BD9" w:rsidRPr="00AF7BD9" w:rsidRDefault="00AF7BD9" w:rsidP="00AF7BD9">
      <w:pPr>
        <w:pStyle w:val="paragraph"/>
        <w:spacing w:before="0" w:beforeAutospacing="0" w:after="0" w:afterAutospacing="0"/>
        <w:jc w:val="both"/>
        <w:textAlignment w:val="baseline"/>
        <w:rPr>
          <w:rFonts w:ascii="Arial" w:hAnsi="Arial" w:cs="Arial"/>
        </w:rPr>
      </w:pPr>
      <w:r w:rsidRPr="00AF7BD9">
        <w:rPr>
          <w:rStyle w:val="normaltextrun"/>
          <w:rFonts w:ascii="Arial" w:eastAsiaTheme="majorEastAsia" w:hAnsi="Arial" w:cs="Arial"/>
        </w:rPr>
        <w:t xml:space="preserve">The Rocket Fund, launched by The Elton John AIDS Foundation, (2023), utilizes various media platforms to raise funds and awareness for HIV prevention and treatment efforts. The campaign employs emotional appeals, celebrity endorsements, and storytelling to engage audiences. By highlighting the human impact of HIV/AIDS and emphasizing the importance of support and resources, The Rocket Fund aims to reduce stigma, increase testing, and promote access to treatment. </w:t>
      </w:r>
      <w:r w:rsidRPr="00AF7BD9">
        <w:rPr>
          <w:rStyle w:val="eop"/>
          <w:rFonts w:ascii="Arial" w:eastAsiaTheme="majorEastAsia" w:hAnsi="Arial" w:cs="Arial"/>
        </w:rPr>
        <w:t> </w:t>
      </w:r>
    </w:p>
    <w:p w14:paraId="1DD9735A" w14:textId="77777777" w:rsidR="00AF7BD9" w:rsidRPr="00AF7BD9" w:rsidRDefault="00AF7BD9" w:rsidP="00AF7BD9">
      <w:pPr>
        <w:pStyle w:val="paragraph"/>
        <w:spacing w:before="0" w:beforeAutospacing="0" w:after="0" w:afterAutospacing="0"/>
        <w:jc w:val="both"/>
        <w:textAlignment w:val="baseline"/>
        <w:rPr>
          <w:rFonts w:ascii="Arial" w:hAnsi="Arial" w:cs="Arial"/>
        </w:rPr>
      </w:pPr>
      <w:r w:rsidRPr="00AF7BD9">
        <w:rPr>
          <w:rStyle w:val="normaltextrun"/>
          <w:rFonts w:ascii="Arial" w:eastAsiaTheme="majorEastAsia" w:hAnsi="Arial" w:cs="Arial"/>
        </w:rPr>
        <w:lastRenderedPageBreak/>
        <w:t>One strength of The Rocket Fund lies in its ability to leverage the influence of celebrities like Elton John to captivate audiences and gather support. Celebrity endorsements can enhance campaign visibility, and credibility, potentially reaching audiences who may not otherwise engage with HIV-related content. Additionally, the campaign’s focus on storytelling and personal narratives can evoke empathy and motivate behaviour change by humanizing the issue, (Escalas, 2007; Green &amp; Brock, 2000)..</w:t>
      </w:r>
      <w:r w:rsidRPr="00AF7BD9">
        <w:rPr>
          <w:rStyle w:val="eop"/>
          <w:rFonts w:ascii="Arial" w:eastAsiaTheme="majorEastAsia" w:hAnsi="Arial" w:cs="Arial"/>
        </w:rPr>
        <w:t> </w:t>
      </w:r>
    </w:p>
    <w:p w14:paraId="3A2AF992" w14:textId="77777777" w:rsidR="00AF7BD9" w:rsidRPr="00AF7BD9" w:rsidRDefault="00AF7BD9" w:rsidP="00AF7BD9">
      <w:pPr>
        <w:pStyle w:val="paragraph"/>
        <w:spacing w:before="0" w:beforeAutospacing="0" w:after="0" w:afterAutospacing="0"/>
        <w:jc w:val="both"/>
        <w:textAlignment w:val="baseline"/>
        <w:rPr>
          <w:rFonts w:ascii="Arial" w:hAnsi="Arial" w:cs="Arial"/>
        </w:rPr>
      </w:pPr>
      <w:r w:rsidRPr="00AF7BD9">
        <w:rPr>
          <w:rStyle w:val="normaltextrun"/>
          <w:rFonts w:ascii="Arial" w:eastAsiaTheme="majorEastAsia" w:hAnsi="Arial" w:cs="Arial"/>
        </w:rPr>
        <w:t>However, The Rocket Fund may face challenges in sustaining long-term engagement and behaviour change, (Baumeister, Vohs, &amp; Funder, 2007). While emotional appeals can evoke immediate responses, they may not always lead to lasting behaviour change. Furthermore, the campaigns reliance on celebrity endorsements may detract from the broader systematic issues underlying HIV/AIDS, such as healthcare access and social determinants of health, (</w:t>
      </w:r>
      <w:proofErr w:type="spellStart"/>
      <w:r w:rsidRPr="00AF7BD9">
        <w:rPr>
          <w:rStyle w:val="normaltextrun"/>
          <w:rFonts w:ascii="Arial" w:eastAsiaTheme="majorEastAsia" w:hAnsi="Arial" w:cs="Arial"/>
        </w:rPr>
        <w:t>Pirkis</w:t>
      </w:r>
      <w:proofErr w:type="spellEnd"/>
      <w:r w:rsidRPr="00AF7BD9">
        <w:rPr>
          <w:rStyle w:val="normaltextrun"/>
          <w:rFonts w:ascii="Arial" w:eastAsiaTheme="majorEastAsia" w:hAnsi="Arial" w:cs="Arial"/>
        </w:rPr>
        <w:t xml:space="preserve"> et al., 2018; Marmot, 2005).</w:t>
      </w:r>
      <w:r w:rsidRPr="00AF7BD9">
        <w:rPr>
          <w:rStyle w:val="eop"/>
          <w:rFonts w:ascii="Arial" w:eastAsiaTheme="majorEastAsia" w:hAnsi="Arial" w:cs="Arial"/>
        </w:rPr>
        <w:t> </w:t>
      </w:r>
    </w:p>
    <w:p w14:paraId="1DB52085" w14:textId="77777777" w:rsidR="00AF7BD9" w:rsidRPr="00AF7BD9" w:rsidRDefault="00AF7BD9" w:rsidP="00AF7BD9">
      <w:pPr>
        <w:pStyle w:val="paragraph"/>
        <w:spacing w:before="0" w:beforeAutospacing="0" w:after="0" w:afterAutospacing="0"/>
        <w:jc w:val="both"/>
        <w:textAlignment w:val="baseline"/>
        <w:rPr>
          <w:rFonts w:ascii="Arial" w:hAnsi="Arial" w:cs="Arial"/>
        </w:rPr>
      </w:pPr>
      <w:r w:rsidRPr="00AF7BD9">
        <w:rPr>
          <w:rStyle w:val="normaltextrun"/>
          <w:rFonts w:ascii="Arial" w:eastAsiaTheme="majorEastAsia" w:hAnsi="Arial" w:cs="Arial"/>
        </w:rPr>
        <w:t>Tackle HIV &amp; 2030:HIV Time’s Up!, campaigns by the Terrance Higgins Trust aim to end new HIV transmissions by 2030 through increased testing, treatment, and prevention efforts. These campaigns utilize a combination of social media, community events and educational resources to reach diverse audiences. By providing accurate information, challenging stigma and promoting HIV testing and treatment services, these campaigns seek to empower individuals to take control of their sexual health (Terrence Higgins Trust, 2023).</w:t>
      </w:r>
      <w:r w:rsidRPr="00AF7BD9">
        <w:rPr>
          <w:rStyle w:val="eop"/>
          <w:rFonts w:ascii="Arial" w:eastAsiaTheme="majorEastAsia" w:hAnsi="Arial" w:cs="Arial"/>
        </w:rPr>
        <w:t> </w:t>
      </w:r>
    </w:p>
    <w:p w14:paraId="48AD56EC" w14:textId="77777777" w:rsidR="00AF7BD9" w:rsidRPr="00AF7BD9" w:rsidRDefault="00AF7BD9" w:rsidP="00AF7BD9">
      <w:pPr>
        <w:pStyle w:val="paragraph"/>
        <w:spacing w:before="0" w:beforeAutospacing="0" w:after="0" w:afterAutospacing="0"/>
        <w:jc w:val="both"/>
        <w:textAlignment w:val="baseline"/>
        <w:rPr>
          <w:rFonts w:ascii="Arial" w:hAnsi="Arial" w:cs="Arial"/>
        </w:rPr>
      </w:pPr>
      <w:r w:rsidRPr="00AF7BD9">
        <w:rPr>
          <w:rStyle w:val="normaltextrun"/>
          <w:rFonts w:ascii="Arial" w:eastAsiaTheme="majorEastAsia" w:hAnsi="Arial" w:cs="Arial"/>
        </w:rPr>
        <w:t xml:space="preserve">A strength of these campaigns lies in their comprehensive approach to HIV prevention and treatment. By addressing multiple facets of the issue, including testing, treatment and stigma reduction, these campaigns offer a holistic perspective on HIV/AIDS and empower individuals to make informed decisions about their health, (UNAIDS, 2020; Goffman, 1963). Moreover, the campaigns emphasis on community engagement and peer support fosters a sense of solidarity and collective responsibility in combatting HIV/AIDS, (Campbell &amp; Cornish, 2010; Parker &amp; </w:t>
      </w:r>
      <w:proofErr w:type="spellStart"/>
      <w:r w:rsidRPr="00AF7BD9">
        <w:rPr>
          <w:rStyle w:val="normaltextrun"/>
          <w:rFonts w:ascii="Arial" w:eastAsiaTheme="majorEastAsia" w:hAnsi="Arial" w:cs="Arial"/>
        </w:rPr>
        <w:t>Aggleton</w:t>
      </w:r>
      <w:proofErr w:type="spellEnd"/>
      <w:r w:rsidRPr="00AF7BD9">
        <w:rPr>
          <w:rStyle w:val="normaltextrun"/>
          <w:rFonts w:ascii="Arial" w:eastAsiaTheme="majorEastAsia" w:hAnsi="Arial" w:cs="Arial"/>
        </w:rPr>
        <w:t>, 2003).</w:t>
      </w:r>
      <w:r w:rsidRPr="00AF7BD9">
        <w:rPr>
          <w:rStyle w:val="eop"/>
          <w:rFonts w:ascii="Arial" w:eastAsiaTheme="majorEastAsia" w:hAnsi="Arial" w:cs="Arial"/>
        </w:rPr>
        <w:t> </w:t>
      </w:r>
    </w:p>
    <w:p w14:paraId="3CEC75F3" w14:textId="77777777" w:rsidR="00AF7BD9" w:rsidRPr="00AF7BD9" w:rsidRDefault="00AF7BD9" w:rsidP="00AF7BD9">
      <w:pPr>
        <w:pStyle w:val="paragraph"/>
        <w:spacing w:before="0" w:beforeAutospacing="0" w:after="0" w:afterAutospacing="0"/>
        <w:jc w:val="both"/>
        <w:textAlignment w:val="baseline"/>
        <w:rPr>
          <w:rFonts w:ascii="Arial" w:hAnsi="Arial" w:cs="Arial"/>
        </w:rPr>
      </w:pPr>
      <w:r w:rsidRPr="00AF7BD9">
        <w:rPr>
          <w:rStyle w:val="normaltextrun"/>
          <w:rFonts w:ascii="Arial" w:eastAsiaTheme="majorEastAsia" w:hAnsi="Arial" w:cs="Arial"/>
        </w:rPr>
        <w:t>These campaigns may encounter challenges in reaching marginalized populations who face barriers to healthcare access and information. Despite efforts to promote inclusivity certain groups, such as ethnic minorities and LGBTQ+ individuals, may still experience disparities in HIV-related outcomes, (Arnold et al., 2014; Millett et al., 2012). Additionally, the effectiveness of social media campaigns in eliciting behaviour change may vary depending on factors such as audience demographics and engagement levels, (Noar et al., 2012; Vance, Howe, &amp; Dellavalle, 2009).</w:t>
      </w:r>
      <w:r w:rsidRPr="00AF7BD9">
        <w:rPr>
          <w:rStyle w:val="eop"/>
          <w:rFonts w:ascii="Arial" w:eastAsiaTheme="majorEastAsia" w:hAnsi="Arial" w:cs="Arial"/>
        </w:rPr>
        <w:t> </w:t>
      </w:r>
    </w:p>
    <w:p w14:paraId="5675B96D" w14:textId="77777777" w:rsidR="00AF7BD9" w:rsidRPr="00AF7BD9" w:rsidRDefault="00AF7BD9" w:rsidP="00AF7BD9">
      <w:pPr>
        <w:pStyle w:val="paragraph"/>
        <w:spacing w:before="0" w:beforeAutospacing="0" w:after="0" w:afterAutospacing="0"/>
        <w:jc w:val="both"/>
        <w:textAlignment w:val="baseline"/>
        <w:rPr>
          <w:rFonts w:ascii="Arial" w:hAnsi="Arial" w:cs="Arial"/>
        </w:rPr>
      </w:pPr>
      <w:r w:rsidRPr="00AF7BD9">
        <w:rPr>
          <w:rStyle w:val="normaltextrun"/>
          <w:rFonts w:ascii="Arial" w:eastAsiaTheme="majorEastAsia" w:hAnsi="Arial" w:cs="Arial"/>
        </w:rPr>
        <w:t xml:space="preserve">Both The Rocket Fund (2023), and Tackle HIV (2023), have made significant strides in raising awareness and promoting behaviour change related to HIV/AIDS. However, the success of these campaigns ultimately depends on their ability to translate awareness into tangible action and outcomes. Future evaluations should assess not only short-term outcomes, such as increases in testing rates and fundraising efforts, but also long-term indications of behaviour change and public health impact, (Fishbein &amp; </w:t>
      </w:r>
      <w:proofErr w:type="spellStart"/>
      <w:r w:rsidRPr="00AF7BD9">
        <w:rPr>
          <w:rStyle w:val="normaltextrun"/>
          <w:rFonts w:ascii="Arial" w:eastAsiaTheme="majorEastAsia" w:hAnsi="Arial" w:cs="Arial"/>
        </w:rPr>
        <w:t>Yzer</w:t>
      </w:r>
      <w:proofErr w:type="spellEnd"/>
      <w:r w:rsidRPr="00AF7BD9">
        <w:rPr>
          <w:rStyle w:val="normaltextrun"/>
          <w:rFonts w:ascii="Arial" w:eastAsiaTheme="majorEastAsia" w:hAnsi="Arial" w:cs="Arial"/>
        </w:rPr>
        <w:t>, 2003; Noar, 2006; Glanz &amp; Bishop, 2010).</w:t>
      </w:r>
      <w:r w:rsidRPr="00AF7BD9">
        <w:rPr>
          <w:rStyle w:val="eop"/>
          <w:rFonts w:ascii="Arial" w:eastAsiaTheme="majorEastAsia" w:hAnsi="Arial" w:cs="Arial"/>
        </w:rPr>
        <w:t> </w:t>
      </w:r>
    </w:p>
    <w:p w14:paraId="7D5775BE" w14:textId="77777777" w:rsidR="00AF7BD9" w:rsidRPr="00AF7BD9" w:rsidRDefault="00AF7BD9" w:rsidP="00AF7BD9">
      <w:pPr>
        <w:pStyle w:val="paragraph"/>
        <w:spacing w:before="0" w:beforeAutospacing="0" w:after="0" w:afterAutospacing="0"/>
        <w:jc w:val="both"/>
        <w:textAlignment w:val="baseline"/>
        <w:rPr>
          <w:rFonts w:ascii="Arial" w:hAnsi="Arial" w:cs="Arial"/>
        </w:rPr>
      </w:pPr>
      <w:r w:rsidRPr="00AF7BD9">
        <w:rPr>
          <w:rStyle w:val="normaltextrun"/>
          <w:rFonts w:ascii="Arial" w:eastAsiaTheme="majorEastAsia" w:hAnsi="Arial" w:cs="Arial"/>
        </w:rPr>
        <w:t>In conclusion, media health campaigns play a crucial role in promoting awareness and behaviour change related to HIV/AIDS and other health issues. By drawing on psychological theory and evidence, campaigns like The Rocket Fund, (2023), and Tackle HIV (2023), can effectively engage audiences, challenge stigma and promote positive health behaviours. However, ongoing evaluation and adaptations 2</w:t>
      </w:r>
      <w:r w:rsidRPr="00AF7BD9">
        <w:rPr>
          <w:rStyle w:val="normaltextrun"/>
          <w:rFonts w:ascii="Arial" w:eastAsiaTheme="majorEastAsia" w:hAnsi="Arial" w:cs="Arial"/>
          <w:vertAlign w:val="superscript"/>
        </w:rPr>
        <w:t>nd</w:t>
      </w:r>
      <w:r w:rsidRPr="00AF7BD9">
        <w:rPr>
          <w:rStyle w:val="normaltextrun"/>
          <w:rFonts w:ascii="Arial" w:eastAsiaTheme="majorEastAsia" w:hAnsi="Arial" w:cs="Arial"/>
        </w:rPr>
        <w:t xml:space="preserve"> adaptions are essential to ensure the long-term success and impact of these campaigns in addressing complex health challenges, (Noar, &amp; Zimmerman. 2005).</w:t>
      </w:r>
      <w:r w:rsidRPr="00AF7BD9">
        <w:rPr>
          <w:rStyle w:val="eop"/>
          <w:rFonts w:ascii="Arial" w:eastAsiaTheme="majorEastAsia" w:hAnsi="Arial" w:cs="Arial"/>
        </w:rPr>
        <w:t> </w:t>
      </w:r>
    </w:p>
    <w:p w14:paraId="1F4CF07D" w14:textId="77777777" w:rsidR="00AF7BD9" w:rsidRPr="00AF7BD9" w:rsidRDefault="00AF7BD9" w:rsidP="00AF7BD9">
      <w:pPr>
        <w:pStyle w:val="paragraph"/>
        <w:spacing w:before="0" w:beforeAutospacing="0" w:after="0" w:afterAutospacing="0"/>
        <w:jc w:val="both"/>
        <w:textAlignment w:val="baseline"/>
        <w:rPr>
          <w:rFonts w:ascii="Arial" w:hAnsi="Arial" w:cs="Arial"/>
        </w:rPr>
      </w:pPr>
      <w:r w:rsidRPr="00AF7BD9">
        <w:rPr>
          <w:rStyle w:val="eop"/>
          <w:rFonts w:ascii="Arial" w:eastAsiaTheme="majorEastAsia" w:hAnsi="Arial" w:cs="Arial"/>
        </w:rPr>
        <w:t> </w:t>
      </w:r>
    </w:p>
    <w:p w14:paraId="65B2A5A1" w14:textId="77777777" w:rsidR="00AF7BD9" w:rsidRPr="00AF7BD9" w:rsidRDefault="00AF7BD9" w:rsidP="00AF7BD9">
      <w:pPr>
        <w:pStyle w:val="paragraph"/>
        <w:spacing w:before="0" w:beforeAutospacing="0" w:after="0" w:afterAutospacing="0"/>
        <w:jc w:val="both"/>
        <w:textAlignment w:val="baseline"/>
        <w:rPr>
          <w:rFonts w:ascii="Arial" w:hAnsi="Arial" w:cs="Arial"/>
        </w:rPr>
      </w:pPr>
      <w:r w:rsidRPr="00AF7BD9">
        <w:rPr>
          <w:rStyle w:val="eop"/>
          <w:rFonts w:ascii="Arial" w:eastAsiaTheme="majorEastAsia" w:hAnsi="Arial" w:cs="Arial"/>
        </w:rPr>
        <w:t> </w:t>
      </w:r>
    </w:p>
    <w:p w14:paraId="1188F080" w14:textId="77777777" w:rsidR="00AF7BD9" w:rsidRPr="00AF7BD9" w:rsidRDefault="00AF7BD9" w:rsidP="00AF7BD9">
      <w:pPr>
        <w:pStyle w:val="paragraph"/>
        <w:spacing w:before="0" w:beforeAutospacing="0" w:after="0" w:afterAutospacing="0"/>
        <w:jc w:val="both"/>
        <w:textAlignment w:val="baseline"/>
        <w:rPr>
          <w:rFonts w:ascii="Arial" w:hAnsi="Arial" w:cs="Arial"/>
        </w:rPr>
      </w:pPr>
      <w:r w:rsidRPr="00AF7BD9">
        <w:rPr>
          <w:rStyle w:val="eop"/>
          <w:rFonts w:ascii="Arial" w:eastAsiaTheme="majorEastAsia" w:hAnsi="Arial" w:cs="Arial"/>
        </w:rPr>
        <w:lastRenderedPageBreak/>
        <w:t> </w:t>
      </w:r>
    </w:p>
    <w:p w14:paraId="4D7F1E43" w14:textId="77777777" w:rsidR="00AF7BD9" w:rsidRPr="00AF7BD9" w:rsidRDefault="00AF7BD9" w:rsidP="00AF7BD9">
      <w:pPr>
        <w:pStyle w:val="paragraph"/>
        <w:spacing w:before="0" w:beforeAutospacing="0" w:after="0" w:afterAutospacing="0"/>
        <w:jc w:val="both"/>
        <w:textAlignment w:val="baseline"/>
        <w:rPr>
          <w:rFonts w:ascii="Arial" w:hAnsi="Arial" w:cs="Arial"/>
        </w:rPr>
      </w:pPr>
      <w:r w:rsidRPr="00AF7BD9">
        <w:rPr>
          <w:rStyle w:val="eop"/>
          <w:rFonts w:ascii="Arial" w:eastAsiaTheme="majorEastAsia" w:hAnsi="Arial" w:cs="Arial"/>
        </w:rPr>
        <w:t> </w:t>
      </w:r>
    </w:p>
    <w:p w14:paraId="20B8E049" w14:textId="77777777" w:rsidR="00AF7BD9" w:rsidRPr="00AF7BD9" w:rsidRDefault="00AF7BD9" w:rsidP="00AF7BD9">
      <w:pPr>
        <w:pStyle w:val="paragraph"/>
        <w:spacing w:before="0" w:beforeAutospacing="0" w:after="0" w:afterAutospacing="0"/>
        <w:jc w:val="both"/>
        <w:textAlignment w:val="baseline"/>
        <w:rPr>
          <w:rFonts w:ascii="Arial" w:hAnsi="Arial" w:cs="Arial"/>
        </w:rPr>
      </w:pPr>
      <w:r w:rsidRPr="00AF7BD9">
        <w:rPr>
          <w:rStyle w:val="eop"/>
          <w:rFonts w:ascii="Arial" w:eastAsiaTheme="majorEastAsia" w:hAnsi="Arial" w:cs="Arial"/>
        </w:rPr>
        <w:t> </w:t>
      </w:r>
    </w:p>
    <w:p w14:paraId="6F81123B" w14:textId="77777777" w:rsidR="00AF7BD9" w:rsidRPr="00AF7BD9" w:rsidRDefault="00AF7BD9" w:rsidP="00AF7BD9">
      <w:pPr>
        <w:pStyle w:val="paragraph"/>
        <w:spacing w:before="0" w:beforeAutospacing="0" w:after="0" w:afterAutospacing="0"/>
        <w:jc w:val="both"/>
        <w:textAlignment w:val="baseline"/>
        <w:rPr>
          <w:rFonts w:ascii="Arial" w:hAnsi="Arial" w:cs="Arial"/>
        </w:rPr>
      </w:pPr>
      <w:r w:rsidRPr="00AF7BD9">
        <w:rPr>
          <w:rStyle w:val="eop"/>
          <w:rFonts w:ascii="Arial" w:eastAsiaTheme="majorEastAsia" w:hAnsi="Arial" w:cs="Arial"/>
        </w:rPr>
        <w:t> </w:t>
      </w:r>
    </w:p>
    <w:p w14:paraId="45A546BD" w14:textId="77777777" w:rsidR="00AF7BD9" w:rsidRPr="00AF7BD9" w:rsidRDefault="00AF7BD9" w:rsidP="00AF7BD9">
      <w:pPr>
        <w:pStyle w:val="paragraph"/>
        <w:spacing w:before="0" w:beforeAutospacing="0" w:after="0" w:afterAutospacing="0"/>
        <w:jc w:val="both"/>
        <w:textAlignment w:val="baseline"/>
        <w:rPr>
          <w:rFonts w:ascii="Arial" w:hAnsi="Arial" w:cs="Arial"/>
        </w:rPr>
      </w:pPr>
      <w:r w:rsidRPr="00AF7BD9">
        <w:rPr>
          <w:rStyle w:val="eop"/>
          <w:rFonts w:ascii="Arial" w:eastAsiaTheme="majorEastAsia" w:hAnsi="Arial" w:cs="Arial"/>
        </w:rPr>
        <w:t> </w:t>
      </w:r>
    </w:p>
    <w:p w14:paraId="70978A50" w14:textId="77777777" w:rsidR="00AF7BD9" w:rsidRPr="00AF7BD9" w:rsidRDefault="00AF7BD9" w:rsidP="00AF7BD9">
      <w:pPr>
        <w:pStyle w:val="paragraph"/>
        <w:spacing w:before="0" w:beforeAutospacing="0" w:after="0" w:afterAutospacing="0"/>
        <w:jc w:val="both"/>
        <w:textAlignment w:val="baseline"/>
        <w:rPr>
          <w:rFonts w:ascii="Arial" w:hAnsi="Arial" w:cs="Arial"/>
        </w:rPr>
      </w:pPr>
      <w:r w:rsidRPr="00AF7BD9">
        <w:rPr>
          <w:rStyle w:val="eop"/>
          <w:rFonts w:ascii="Arial" w:eastAsiaTheme="majorEastAsia" w:hAnsi="Arial" w:cs="Arial"/>
        </w:rPr>
        <w:t> </w:t>
      </w:r>
    </w:p>
    <w:p w14:paraId="00A20E1C" w14:textId="77777777" w:rsidR="00AF7BD9" w:rsidRPr="00AF7BD9" w:rsidRDefault="00AF7BD9" w:rsidP="00AF7BD9">
      <w:pPr>
        <w:pStyle w:val="paragraph"/>
        <w:spacing w:before="0" w:beforeAutospacing="0" w:after="0" w:afterAutospacing="0"/>
        <w:jc w:val="both"/>
        <w:textAlignment w:val="baseline"/>
        <w:rPr>
          <w:rFonts w:ascii="Arial" w:hAnsi="Arial" w:cs="Arial"/>
        </w:rPr>
      </w:pPr>
      <w:r w:rsidRPr="00AF7BD9">
        <w:rPr>
          <w:rStyle w:val="eop"/>
          <w:rFonts w:ascii="Arial" w:eastAsiaTheme="majorEastAsia" w:hAnsi="Arial" w:cs="Arial"/>
        </w:rPr>
        <w:t> </w:t>
      </w:r>
    </w:p>
    <w:p w14:paraId="64040323" w14:textId="77777777" w:rsidR="00AF7BD9" w:rsidRPr="00AF7BD9" w:rsidRDefault="00AF7BD9" w:rsidP="00AF7BD9">
      <w:pPr>
        <w:pStyle w:val="paragraph"/>
        <w:spacing w:before="0" w:beforeAutospacing="0" w:after="0" w:afterAutospacing="0"/>
        <w:jc w:val="both"/>
        <w:textAlignment w:val="baseline"/>
        <w:rPr>
          <w:rFonts w:ascii="Arial" w:hAnsi="Arial" w:cs="Arial"/>
        </w:rPr>
      </w:pPr>
      <w:r w:rsidRPr="00AF7BD9">
        <w:rPr>
          <w:rStyle w:val="eop"/>
          <w:rFonts w:ascii="Arial" w:eastAsiaTheme="majorEastAsia" w:hAnsi="Arial" w:cs="Arial"/>
        </w:rPr>
        <w:t> </w:t>
      </w:r>
    </w:p>
    <w:p w14:paraId="08F9540C" w14:textId="77777777" w:rsidR="00AF7BD9" w:rsidRPr="00AF7BD9" w:rsidRDefault="00AF7BD9" w:rsidP="00AF7BD9">
      <w:pPr>
        <w:pStyle w:val="paragraph"/>
        <w:spacing w:before="0" w:beforeAutospacing="0" w:after="0" w:afterAutospacing="0"/>
        <w:jc w:val="both"/>
        <w:textAlignment w:val="baseline"/>
        <w:rPr>
          <w:rFonts w:ascii="Arial" w:hAnsi="Arial" w:cs="Arial"/>
        </w:rPr>
      </w:pPr>
      <w:r w:rsidRPr="00AF7BD9">
        <w:rPr>
          <w:rStyle w:val="eop"/>
          <w:rFonts w:ascii="Arial" w:eastAsiaTheme="majorEastAsia" w:hAnsi="Arial" w:cs="Arial"/>
        </w:rPr>
        <w:t> </w:t>
      </w:r>
    </w:p>
    <w:p w14:paraId="601A18BD" w14:textId="77777777" w:rsidR="00AF7BD9" w:rsidRPr="00AF7BD9" w:rsidRDefault="00AF7BD9" w:rsidP="00AF7BD9">
      <w:pPr>
        <w:pStyle w:val="paragraph"/>
        <w:spacing w:before="0" w:beforeAutospacing="0" w:after="0" w:afterAutospacing="0"/>
        <w:jc w:val="both"/>
        <w:textAlignment w:val="baseline"/>
        <w:rPr>
          <w:rFonts w:ascii="Arial" w:hAnsi="Arial" w:cs="Arial"/>
        </w:rPr>
      </w:pPr>
      <w:r w:rsidRPr="00AF7BD9">
        <w:rPr>
          <w:rStyle w:val="eop"/>
          <w:rFonts w:ascii="Arial" w:eastAsiaTheme="majorEastAsia" w:hAnsi="Arial" w:cs="Arial"/>
        </w:rPr>
        <w:t> </w:t>
      </w:r>
    </w:p>
    <w:p w14:paraId="6433F655" w14:textId="77777777" w:rsidR="00AF7BD9" w:rsidRPr="00AF7BD9" w:rsidRDefault="00AF7BD9" w:rsidP="00AF7BD9">
      <w:pPr>
        <w:pStyle w:val="paragraph"/>
        <w:spacing w:before="0" w:beforeAutospacing="0" w:after="0" w:afterAutospacing="0"/>
        <w:jc w:val="both"/>
        <w:textAlignment w:val="baseline"/>
        <w:rPr>
          <w:rFonts w:ascii="Arial" w:hAnsi="Arial" w:cs="Arial"/>
        </w:rPr>
      </w:pPr>
      <w:r w:rsidRPr="00AF7BD9">
        <w:rPr>
          <w:rStyle w:val="eop"/>
          <w:rFonts w:ascii="Arial" w:eastAsiaTheme="majorEastAsia" w:hAnsi="Arial" w:cs="Arial"/>
        </w:rPr>
        <w:t> </w:t>
      </w:r>
    </w:p>
    <w:p w14:paraId="387DF565" w14:textId="77777777" w:rsidR="00AF7BD9" w:rsidRPr="00AF7BD9" w:rsidRDefault="00AF7BD9" w:rsidP="00AF7BD9">
      <w:pPr>
        <w:pStyle w:val="paragraph"/>
        <w:spacing w:before="0" w:beforeAutospacing="0" w:after="0" w:afterAutospacing="0"/>
        <w:jc w:val="both"/>
        <w:textAlignment w:val="baseline"/>
        <w:rPr>
          <w:rFonts w:ascii="Arial" w:hAnsi="Arial" w:cs="Arial"/>
        </w:rPr>
      </w:pPr>
      <w:r w:rsidRPr="00AF7BD9">
        <w:rPr>
          <w:rStyle w:val="eop"/>
          <w:rFonts w:ascii="Arial" w:eastAsiaTheme="majorEastAsia" w:hAnsi="Arial" w:cs="Arial"/>
        </w:rPr>
        <w:t> </w:t>
      </w:r>
    </w:p>
    <w:p w14:paraId="533BE75A" w14:textId="77777777" w:rsidR="00AF7BD9" w:rsidRPr="00AF7BD9" w:rsidRDefault="00AF7BD9" w:rsidP="00AF7BD9">
      <w:pPr>
        <w:pStyle w:val="paragraph"/>
        <w:spacing w:before="0" w:beforeAutospacing="0" w:after="0" w:afterAutospacing="0"/>
        <w:jc w:val="both"/>
        <w:textAlignment w:val="baseline"/>
        <w:rPr>
          <w:rFonts w:ascii="Arial" w:hAnsi="Arial" w:cs="Arial"/>
        </w:rPr>
      </w:pPr>
      <w:r w:rsidRPr="00AF7BD9">
        <w:rPr>
          <w:rStyle w:val="eop"/>
          <w:rFonts w:ascii="Arial" w:eastAsiaTheme="majorEastAsia" w:hAnsi="Arial" w:cs="Arial"/>
        </w:rPr>
        <w:t> </w:t>
      </w:r>
    </w:p>
    <w:p w14:paraId="3C27425C" w14:textId="77777777" w:rsidR="00AF7BD9" w:rsidRPr="00AF7BD9" w:rsidRDefault="00AF7BD9" w:rsidP="00AF7BD9">
      <w:pPr>
        <w:pStyle w:val="paragraph"/>
        <w:spacing w:before="0" w:beforeAutospacing="0" w:after="0" w:afterAutospacing="0"/>
        <w:jc w:val="both"/>
        <w:textAlignment w:val="baseline"/>
        <w:rPr>
          <w:rFonts w:ascii="Arial" w:hAnsi="Arial" w:cs="Arial"/>
        </w:rPr>
      </w:pPr>
      <w:r w:rsidRPr="00AF7BD9">
        <w:rPr>
          <w:rStyle w:val="eop"/>
          <w:rFonts w:ascii="Arial" w:eastAsiaTheme="majorEastAsia" w:hAnsi="Arial" w:cs="Arial"/>
        </w:rPr>
        <w:t> </w:t>
      </w:r>
    </w:p>
    <w:p w14:paraId="49299505" w14:textId="77777777" w:rsidR="00AF7BD9" w:rsidRPr="00AF7BD9" w:rsidRDefault="00AF7BD9" w:rsidP="00AF7BD9">
      <w:pPr>
        <w:pStyle w:val="paragraph"/>
        <w:spacing w:before="0" w:beforeAutospacing="0" w:after="0" w:afterAutospacing="0"/>
        <w:jc w:val="both"/>
        <w:textAlignment w:val="baseline"/>
        <w:rPr>
          <w:rFonts w:ascii="Arial" w:hAnsi="Arial" w:cs="Arial"/>
        </w:rPr>
      </w:pPr>
      <w:r w:rsidRPr="00AF7BD9">
        <w:rPr>
          <w:rStyle w:val="eop"/>
          <w:rFonts w:ascii="Arial" w:eastAsiaTheme="majorEastAsia" w:hAnsi="Arial" w:cs="Arial"/>
        </w:rPr>
        <w:t> </w:t>
      </w:r>
    </w:p>
    <w:p w14:paraId="5B46B33C" w14:textId="77777777" w:rsidR="00AF7BD9" w:rsidRPr="00AF7BD9" w:rsidRDefault="00AF7BD9" w:rsidP="00AF7BD9">
      <w:pPr>
        <w:pStyle w:val="paragraph"/>
        <w:spacing w:before="0" w:beforeAutospacing="0" w:after="0" w:afterAutospacing="0"/>
        <w:jc w:val="both"/>
        <w:textAlignment w:val="baseline"/>
        <w:rPr>
          <w:rFonts w:ascii="Arial" w:hAnsi="Arial" w:cs="Arial"/>
        </w:rPr>
      </w:pPr>
      <w:r w:rsidRPr="00AF7BD9">
        <w:rPr>
          <w:rStyle w:val="eop"/>
          <w:rFonts w:ascii="Arial" w:eastAsiaTheme="majorEastAsia" w:hAnsi="Arial" w:cs="Arial"/>
        </w:rPr>
        <w:t> </w:t>
      </w:r>
    </w:p>
    <w:p w14:paraId="4256FD82" w14:textId="77777777" w:rsidR="00AF7BD9" w:rsidRPr="00AF7BD9" w:rsidRDefault="00AF7BD9" w:rsidP="00AF7BD9">
      <w:pPr>
        <w:pStyle w:val="paragraph"/>
        <w:spacing w:before="0" w:beforeAutospacing="0" w:after="0" w:afterAutospacing="0"/>
        <w:jc w:val="both"/>
        <w:textAlignment w:val="baseline"/>
        <w:rPr>
          <w:rFonts w:ascii="Arial" w:hAnsi="Arial" w:cs="Arial"/>
        </w:rPr>
      </w:pPr>
      <w:r w:rsidRPr="00AF7BD9">
        <w:rPr>
          <w:rStyle w:val="eop"/>
          <w:rFonts w:ascii="Arial" w:eastAsiaTheme="majorEastAsia" w:hAnsi="Arial" w:cs="Arial"/>
        </w:rPr>
        <w:t> </w:t>
      </w:r>
    </w:p>
    <w:p w14:paraId="1E482F9B" w14:textId="77777777" w:rsidR="00AF7BD9" w:rsidRPr="00AF7BD9" w:rsidRDefault="00AF7BD9" w:rsidP="00AF7BD9">
      <w:pPr>
        <w:pStyle w:val="paragraph"/>
        <w:spacing w:before="0" w:beforeAutospacing="0" w:after="0" w:afterAutospacing="0"/>
        <w:jc w:val="both"/>
        <w:textAlignment w:val="baseline"/>
        <w:rPr>
          <w:rFonts w:ascii="Arial" w:hAnsi="Arial" w:cs="Arial"/>
        </w:rPr>
      </w:pPr>
      <w:r w:rsidRPr="00AF7BD9">
        <w:rPr>
          <w:rStyle w:val="eop"/>
          <w:rFonts w:ascii="Arial" w:eastAsiaTheme="majorEastAsia" w:hAnsi="Arial" w:cs="Arial"/>
        </w:rPr>
        <w:t> </w:t>
      </w:r>
    </w:p>
    <w:p w14:paraId="52571CCF" w14:textId="77777777" w:rsidR="00AF7BD9" w:rsidRPr="00AF7BD9" w:rsidRDefault="00AF7BD9" w:rsidP="00AF7BD9">
      <w:pPr>
        <w:pStyle w:val="paragraph"/>
        <w:spacing w:before="0" w:beforeAutospacing="0" w:after="0" w:afterAutospacing="0"/>
        <w:jc w:val="both"/>
        <w:textAlignment w:val="baseline"/>
        <w:rPr>
          <w:rFonts w:ascii="Arial" w:hAnsi="Arial" w:cs="Arial"/>
        </w:rPr>
      </w:pPr>
      <w:r w:rsidRPr="00AF7BD9">
        <w:rPr>
          <w:rStyle w:val="eop"/>
          <w:rFonts w:ascii="Arial" w:eastAsiaTheme="majorEastAsia" w:hAnsi="Arial" w:cs="Arial"/>
        </w:rPr>
        <w:t> </w:t>
      </w:r>
    </w:p>
    <w:p w14:paraId="72F90052" w14:textId="77777777" w:rsidR="00AF7BD9" w:rsidRPr="00AF7BD9" w:rsidRDefault="00AF7BD9" w:rsidP="00AF7BD9">
      <w:pPr>
        <w:pStyle w:val="paragraph"/>
        <w:spacing w:before="0" w:beforeAutospacing="0" w:after="0" w:afterAutospacing="0"/>
        <w:jc w:val="both"/>
        <w:textAlignment w:val="baseline"/>
        <w:rPr>
          <w:rFonts w:ascii="Arial" w:hAnsi="Arial" w:cs="Arial"/>
        </w:rPr>
      </w:pPr>
      <w:r w:rsidRPr="00AF7BD9">
        <w:rPr>
          <w:rStyle w:val="normaltextrun"/>
          <w:rFonts w:ascii="Arial" w:eastAsiaTheme="majorEastAsia" w:hAnsi="Arial" w:cs="Arial"/>
        </w:rPr>
        <w:t>References</w:t>
      </w:r>
      <w:r w:rsidRPr="00AF7BD9">
        <w:rPr>
          <w:rStyle w:val="eop"/>
          <w:rFonts w:ascii="Arial" w:eastAsiaTheme="majorEastAsia" w:hAnsi="Arial" w:cs="Arial"/>
        </w:rPr>
        <w:t> </w:t>
      </w:r>
    </w:p>
    <w:p w14:paraId="558E42CC" w14:textId="77777777" w:rsidR="00AF7BD9" w:rsidRPr="00AF7BD9" w:rsidRDefault="00AF7BD9" w:rsidP="00AF7BD9">
      <w:pPr>
        <w:pStyle w:val="paragraph"/>
        <w:spacing w:before="0" w:beforeAutospacing="0" w:after="0" w:afterAutospacing="0"/>
        <w:jc w:val="both"/>
        <w:textAlignment w:val="baseline"/>
        <w:rPr>
          <w:rFonts w:ascii="Arial" w:hAnsi="Arial" w:cs="Arial"/>
        </w:rPr>
      </w:pPr>
      <w:r w:rsidRPr="00AF7BD9">
        <w:rPr>
          <w:rStyle w:val="normaltextrun"/>
          <w:rFonts w:ascii="Arial" w:eastAsiaTheme="majorEastAsia" w:hAnsi="Arial" w:cs="Arial"/>
        </w:rPr>
        <w:t xml:space="preserve">Arnold, E. A., </w:t>
      </w:r>
      <w:proofErr w:type="spellStart"/>
      <w:r w:rsidRPr="00AF7BD9">
        <w:rPr>
          <w:rStyle w:val="normaltextrun"/>
          <w:rFonts w:ascii="Arial" w:eastAsiaTheme="majorEastAsia" w:hAnsi="Arial" w:cs="Arial"/>
        </w:rPr>
        <w:t>Rebchook</w:t>
      </w:r>
      <w:proofErr w:type="spellEnd"/>
      <w:r w:rsidRPr="00AF7BD9">
        <w:rPr>
          <w:rStyle w:val="normaltextrun"/>
          <w:rFonts w:ascii="Arial" w:eastAsiaTheme="majorEastAsia" w:hAnsi="Arial" w:cs="Arial"/>
        </w:rPr>
        <w:t xml:space="preserve">, G. M., &amp; </w:t>
      </w:r>
      <w:proofErr w:type="spellStart"/>
      <w:r w:rsidRPr="00AF7BD9">
        <w:rPr>
          <w:rStyle w:val="normaltextrun"/>
          <w:rFonts w:ascii="Arial" w:eastAsiaTheme="majorEastAsia" w:hAnsi="Arial" w:cs="Arial"/>
        </w:rPr>
        <w:t>Kegeles</w:t>
      </w:r>
      <w:proofErr w:type="spellEnd"/>
      <w:r w:rsidRPr="00AF7BD9">
        <w:rPr>
          <w:rStyle w:val="normaltextrun"/>
          <w:rFonts w:ascii="Arial" w:eastAsiaTheme="majorEastAsia" w:hAnsi="Arial" w:cs="Arial"/>
        </w:rPr>
        <w:t xml:space="preserve">, S. M. (2014). 'Triply cursed': Racism, homophobia and HIV-related stigma are barriers to regular HIV testing, treatment adherence, and disclosure among young Black gay men. </w:t>
      </w:r>
      <w:r w:rsidRPr="00AF7BD9">
        <w:rPr>
          <w:rStyle w:val="normaltextrun"/>
          <w:rFonts w:ascii="Arial" w:eastAsiaTheme="majorEastAsia" w:hAnsi="Arial" w:cs="Arial"/>
          <w:i/>
          <w:iCs/>
        </w:rPr>
        <w:t>Culture, Health &amp; Sexuality</w:t>
      </w:r>
      <w:r w:rsidRPr="00AF7BD9">
        <w:rPr>
          <w:rStyle w:val="normaltextrun"/>
          <w:rFonts w:ascii="Arial" w:eastAsiaTheme="majorEastAsia" w:hAnsi="Arial" w:cs="Arial"/>
        </w:rPr>
        <w:t xml:space="preserve">, 16(6), 710-722. </w:t>
      </w:r>
      <w:hyperlink r:id="rId4" w:tgtFrame="_blank" w:history="1">
        <w:r w:rsidRPr="00AF7BD9">
          <w:rPr>
            <w:rStyle w:val="normaltextrun"/>
            <w:rFonts w:ascii="Arial" w:eastAsiaTheme="majorEastAsia" w:hAnsi="Arial" w:cs="Arial"/>
            <w:color w:val="467886"/>
            <w:u w:val="single"/>
          </w:rPr>
          <w:t>https://doi.org/10.1080/13691058.2014.905706</w:t>
        </w:r>
      </w:hyperlink>
      <w:r w:rsidRPr="00AF7BD9">
        <w:rPr>
          <w:rStyle w:val="eop"/>
          <w:rFonts w:ascii="Arial" w:eastAsiaTheme="majorEastAsia" w:hAnsi="Arial" w:cs="Arial"/>
        </w:rPr>
        <w:t> </w:t>
      </w:r>
    </w:p>
    <w:p w14:paraId="4DA5736F" w14:textId="77777777" w:rsidR="00AF7BD9" w:rsidRPr="00AF7BD9" w:rsidRDefault="00AF7BD9" w:rsidP="00AF7BD9">
      <w:pPr>
        <w:pStyle w:val="paragraph"/>
        <w:spacing w:before="0" w:beforeAutospacing="0" w:after="0" w:afterAutospacing="0"/>
        <w:jc w:val="both"/>
        <w:textAlignment w:val="baseline"/>
        <w:rPr>
          <w:rFonts w:ascii="Arial" w:hAnsi="Arial" w:cs="Arial"/>
        </w:rPr>
      </w:pPr>
      <w:r w:rsidRPr="00AF7BD9">
        <w:rPr>
          <w:rStyle w:val="normaltextrun"/>
          <w:rFonts w:ascii="Arial" w:eastAsiaTheme="majorEastAsia" w:hAnsi="Arial" w:cs="Arial"/>
        </w:rPr>
        <w:t xml:space="preserve">Baumeister, R. F., Vohs, K. D., &amp; Funder, D. C. (2007). Psychology as the science of self-reports and finger movements: Whatever happened to actual </w:t>
      </w:r>
      <w:proofErr w:type="spellStart"/>
      <w:r w:rsidRPr="00AF7BD9">
        <w:rPr>
          <w:rStyle w:val="normaltextrun"/>
          <w:rFonts w:ascii="Arial" w:eastAsiaTheme="majorEastAsia" w:hAnsi="Arial" w:cs="Arial"/>
        </w:rPr>
        <w:t>behavior</w:t>
      </w:r>
      <w:proofErr w:type="spellEnd"/>
      <w:r w:rsidRPr="00AF7BD9">
        <w:rPr>
          <w:rStyle w:val="normaltextrun"/>
          <w:rFonts w:ascii="Arial" w:eastAsiaTheme="majorEastAsia" w:hAnsi="Arial" w:cs="Arial"/>
        </w:rPr>
        <w:t xml:space="preserve">? </w:t>
      </w:r>
      <w:r w:rsidRPr="00AF7BD9">
        <w:rPr>
          <w:rStyle w:val="normaltextrun"/>
          <w:rFonts w:ascii="Arial" w:eastAsiaTheme="majorEastAsia" w:hAnsi="Arial" w:cs="Arial"/>
          <w:i/>
          <w:iCs/>
        </w:rPr>
        <w:t>Perspectives on Psychological Science</w:t>
      </w:r>
      <w:r w:rsidRPr="00AF7BD9">
        <w:rPr>
          <w:rStyle w:val="normaltextrun"/>
          <w:rFonts w:ascii="Arial" w:eastAsiaTheme="majorEastAsia" w:hAnsi="Arial" w:cs="Arial"/>
        </w:rPr>
        <w:t xml:space="preserve">, 2(4), 396-403. </w:t>
      </w:r>
      <w:hyperlink r:id="rId5" w:tgtFrame="_blank" w:history="1">
        <w:r w:rsidRPr="00AF7BD9">
          <w:rPr>
            <w:rStyle w:val="normaltextrun"/>
            <w:rFonts w:ascii="Arial" w:eastAsiaTheme="majorEastAsia" w:hAnsi="Arial" w:cs="Arial"/>
            <w:color w:val="467886"/>
            <w:u w:val="single"/>
          </w:rPr>
          <w:t>https://doi.org/10.1111/j.1745-6916.2007.00051.x</w:t>
        </w:r>
      </w:hyperlink>
      <w:r w:rsidRPr="00AF7BD9">
        <w:rPr>
          <w:rStyle w:val="eop"/>
          <w:rFonts w:ascii="Arial" w:eastAsiaTheme="majorEastAsia" w:hAnsi="Arial" w:cs="Arial"/>
        </w:rPr>
        <w:t> </w:t>
      </w:r>
    </w:p>
    <w:p w14:paraId="5F4A55AB" w14:textId="77777777" w:rsidR="00AF7BD9" w:rsidRPr="00AF7BD9" w:rsidRDefault="00AF7BD9" w:rsidP="00AF7BD9">
      <w:pPr>
        <w:pStyle w:val="paragraph"/>
        <w:spacing w:before="0" w:beforeAutospacing="0" w:after="0" w:afterAutospacing="0"/>
        <w:jc w:val="both"/>
        <w:textAlignment w:val="baseline"/>
        <w:rPr>
          <w:rFonts w:ascii="Arial" w:hAnsi="Arial" w:cs="Arial"/>
        </w:rPr>
      </w:pPr>
      <w:r w:rsidRPr="00AF7BD9">
        <w:rPr>
          <w:rStyle w:val="normaltextrun"/>
          <w:rFonts w:ascii="Arial" w:eastAsiaTheme="majorEastAsia" w:hAnsi="Arial" w:cs="Arial"/>
        </w:rPr>
        <w:t xml:space="preserve">Campbell, C., &amp; Cornish, F. (2010). Towards a 'fourth generation' of approaches to HIV/AIDS management: Creating contexts for effective community mobilisation. </w:t>
      </w:r>
      <w:r w:rsidRPr="00AF7BD9">
        <w:rPr>
          <w:rStyle w:val="normaltextrun"/>
          <w:rFonts w:ascii="Arial" w:eastAsiaTheme="majorEastAsia" w:hAnsi="Arial" w:cs="Arial"/>
          <w:i/>
          <w:iCs/>
        </w:rPr>
        <w:t>AIDS Care</w:t>
      </w:r>
      <w:r w:rsidRPr="00AF7BD9">
        <w:rPr>
          <w:rStyle w:val="normaltextrun"/>
          <w:rFonts w:ascii="Arial" w:eastAsiaTheme="majorEastAsia" w:hAnsi="Arial" w:cs="Arial"/>
        </w:rPr>
        <w:t xml:space="preserve">, 22(sup2), 1569-1579. </w:t>
      </w:r>
      <w:hyperlink r:id="rId6" w:tgtFrame="_blank" w:history="1">
        <w:r w:rsidRPr="00AF7BD9">
          <w:rPr>
            <w:rStyle w:val="normaltextrun"/>
            <w:rFonts w:ascii="Arial" w:eastAsiaTheme="majorEastAsia" w:hAnsi="Arial" w:cs="Arial"/>
            <w:color w:val="467886"/>
            <w:u w:val="single"/>
          </w:rPr>
          <w:t>https://doi.org/10.1080/09540121.2010.525812</w:t>
        </w:r>
      </w:hyperlink>
      <w:r w:rsidRPr="00AF7BD9">
        <w:rPr>
          <w:rStyle w:val="eop"/>
          <w:rFonts w:ascii="Arial" w:eastAsiaTheme="majorEastAsia" w:hAnsi="Arial" w:cs="Arial"/>
        </w:rPr>
        <w:t> </w:t>
      </w:r>
    </w:p>
    <w:p w14:paraId="41C573FD" w14:textId="77777777" w:rsidR="00AF7BD9" w:rsidRPr="00AF7BD9" w:rsidRDefault="00AF7BD9" w:rsidP="00AF7BD9">
      <w:pPr>
        <w:pStyle w:val="paragraph"/>
        <w:spacing w:before="0" w:beforeAutospacing="0" w:after="0" w:afterAutospacing="0"/>
        <w:jc w:val="both"/>
        <w:textAlignment w:val="baseline"/>
        <w:rPr>
          <w:rFonts w:ascii="Arial" w:hAnsi="Arial" w:cs="Arial"/>
        </w:rPr>
      </w:pPr>
      <w:r w:rsidRPr="00AF7BD9">
        <w:rPr>
          <w:rStyle w:val="normaltextrun"/>
          <w:rFonts w:ascii="Arial" w:eastAsiaTheme="majorEastAsia" w:hAnsi="Arial" w:cs="Arial"/>
        </w:rPr>
        <w:t xml:space="preserve">Elton John AIDS Foundation. (2023). Sir Elton John joins forces with Donatella Versace and other notable philanthropists to announce $125 million Rocket Fund to end AIDS for all. Retrieved from </w:t>
      </w:r>
      <w:hyperlink r:id="rId7" w:tgtFrame="_blank" w:history="1">
        <w:r w:rsidRPr="00AF7BD9">
          <w:rPr>
            <w:rStyle w:val="normaltextrun"/>
            <w:rFonts w:ascii="Arial" w:eastAsiaTheme="majorEastAsia" w:hAnsi="Arial" w:cs="Arial"/>
            <w:color w:val="467886"/>
            <w:u w:val="single"/>
          </w:rPr>
          <w:t>https://www.eltonjohnaidsfoundation.org/news/sir-elton-john-joins-forces-with-donatella-versace-and-other-notable-philanthropists-to-announce-125-million-rocket-fund-to-end-aids-for-all/</w:t>
        </w:r>
      </w:hyperlink>
      <w:r w:rsidRPr="00AF7BD9">
        <w:rPr>
          <w:rStyle w:val="eop"/>
          <w:rFonts w:ascii="Arial" w:eastAsiaTheme="majorEastAsia" w:hAnsi="Arial" w:cs="Arial"/>
        </w:rPr>
        <w:t> </w:t>
      </w:r>
    </w:p>
    <w:p w14:paraId="4EFF75D8" w14:textId="77777777" w:rsidR="00AF7BD9" w:rsidRPr="00AF7BD9" w:rsidRDefault="00AF7BD9" w:rsidP="00AF7BD9">
      <w:pPr>
        <w:pStyle w:val="paragraph"/>
        <w:spacing w:before="0" w:beforeAutospacing="0" w:after="0" w:afterAutospacing="0"/>
        <w:jc w:val="both"/>
        <w:textAlignment w:val="baseline"/>
        <w:rPr>
          <w:rFonts w:ascii="Arial" w:hAnsi="Arial" w:cs="Arial"/>
        </w:rPr>
      </w:pPr>
      <w:r w:rsidRPr="00AF7BD9">
        <w:rPr>
          <w:rStyle w:val="normaltextrun"/>
          <w:rFonts w:ascii="Arial" w:eastAsiaTheme="majorEastAsia" w:hAnsi="Arial" w:cs="Arial"/>
        </w:rPr>
        <w:t xml:space="preserve">Escalas, J. E. (2007). Self-referencing and persuasion: Narrative transportation versus analytical elaboration. </w:t>
      </w:r>
      <w:r w:rsidRPr="00AF7BD9">
        <w:rPr>
          <w:rStyle w:val="normaltextrun"/>
          <w:rFonts w:ascii="Arial" w:eastAsiaTheme="majorEastAsia" w:hAnsi="Arial" w:cs="Arial"/>
          <w:i/>
          <w:iCs/>
        </w:rPr>
        <w:t>Journal of Consumer Research</w:t>
      </w:r>
      <w:r w:rsidRPr="00AF7BD9">
        <w:rPr>
          <w:rStyle w:val="normaltextrun"/>
          <w:rFonts w:ascii="Arial" w:eastAsiaTheme="majorEastAsia" w:hAnsi="Arial" w:cs="Arial"/>
        </w:rPr>
        <w:t xml:space="preserve">, 33(4), 421-429. </w:t>
      </w:r>
      <w:hyperlink r:id="rId8" w:tgtFrame="_blank" w:history="1">
        <w:r w:rsidRPr="00AF7BD9">
          <w:rPr>
            <w:rStyle w:val="normaltextrun"/>
            <w:rFonts w:ascii="Arial" w:eastAsiaTheme="majorEastAsia" w:hAnsi="Arial" w:cs="Arial"/>
            <w:color w:val="467886"/>
            <w:u w:val="single"/>
          </w:rPr>
          <w:t>https://doi.org/10.1086/510216</w:t>
        </w:r>
      </w:hyperlink>
      <w:r w:rsidRPr="00AF7BD9">
        <w:rPr>
          <w:rStyle w:val="eop"/>
          <w:rFonts w:ascii="Arial" w:eastAsiaTheme="majorEastAsia" w:hAnsi="Arial" w:cs="Arial"/>
        </w:rPr>
        <w:t> </w:t>
      </w:r>
    </w:p>
    <w:p w14:paraId="3958BD81" w14:textId="77777777" w:rsidR="00AF7BD9" w:rsidRPr="00AF7BD9" w:rsidRDefault="00AF7BD9" w:rsidP="00AF7BD9">
      <w:pPr>
        <w:pStyle w:val="paragraph"/>
        <w:spacing w:before="0" w:beforeAutospacing="0" w:after="0" w:afterAutospacing="0"/>
        <w:jc w:val="both"/>
        <w:textAlignment w:val="baseline"/>
        <w:rPr>
          <w:rFonts w:ascii="Arial" w:hAnsi="Arial" w:cs="Arial"/>
        </w:rPr>
      </w:pPr>
      <w:r w:rsidRPr="00AF7BD9">
        <w:rPr>
          <w:rStyle w:val="normaltextrun"/>
          <w:rFonts w:ascii="Arial" w:eastAsiaTheme="majorEastAsia" w:hAnsi="Arial" w:cs="Arial"/>
        </w:rPr>
        <w:t xml:space="preserve">Fishbein, M., &amp; </w:t>
      </w:r>
      <w:proofErr w:type="spellStart"/>
      <w:r w:rsidRPr="00AF7BD9">
        <w:rPr>
          <w:rStyle w:val="normaltextrun"/>
          <w:rFonts w:ascii="Arial" w:eastAsiaTheme="majorEastAsia" w:hAnsi="Arial" w:cs="Arial"/>
        </w:rPr>
        <w:t>Yzer</w:t>
      </w:r>
      <w:proofErr w:type="spellEnd"/>
      <w:r w:rsidRPr="00AF7BD9">
        <w:rPr>
          <w:rStyle w:val="normaltextrun"/>
          <w:rFonts w:ascii="Arial" w:eastAsiaTheme="majorEastAsia" w:hAnsi="Arial" w:cs="Arial"/>
        </w:rPr>
        <w:t xml:space="preserve">, M. C. (2003). Using theory to design effective health </w:t>
      </w:r>
      <w:proofErr w:type="spellStart"/>
      <w:r w:rsidRPr="00AF7BD9">
        <w:rPr>
          <w:rStyle w:val="normaltextrun"/>
          <w:rFonts w:ascii="Arial" w:eastAsiaTheme="majorEastAsia" w:hAnsi="Arial" w:cs="Arial"/>
        </w:rPr>
        <w:t>behavior</w:t>
      </w:r>
      <w:proofErr w:type="spellEnd"/>
      <w:r w:rsidRPr="00AF7BD9">
        <w:rPr>
          <w:rStyle w:val="normaltextrun"/>
          <w:rFonts w:ascii="Arial" w:eastAsiaTheme="majorEastAsia" w:hAnsi="Arial" w:cs="Arial"/>
        </w:rPr>
        <w:t xml:space="preserve"> interventions. </w:t>
      </w:r>
      <w:r w:rsidRPr="00AF7BD9">
        <w:rPr>
          <w:rStyle w:val="normaltextrun"/>
          <w:rFonts w:ascii="Arial" w:eastAsiaTheme="majorEastAsia" w:hAnsi="Arial" w:cs="Arial"/>
          <w:i/>
          <w:iCs/>
        </w:rPr>
        <w:t>Communication Theory</w:t>
      </w:r>
      <w:r w:rsidRPr="00AF7BD9">
        <w:rPr>
          <w:rStyle w:val="normaltextrun"/>
          <w:rFonts w:ascii="Arial" w:eastAsiaTheme="majorEastAsia" w:hAnsi="Arial" w:cs="Arial"/>
        </w:rPr>
        <w:t xml:space="preserve">, 13(2), 164-183. </w:t>
      </w:r>
      <w:hyperlink r:id="rId9" w:tgtFrame="_blank" w:history="1">
        <w:r w:rsidRPr="00AF7BD9">
          <w:rPr>
            <w:rStyle w:val="normaltextrun"/>
            <w:rFonts w:ascii="Arial" w:eastAsiaTheme="majorEastAsia" w:hAnsi="Arial" w:cs="Arial"/>
            <w:color w:val="467886"/>
            <w:u w:val="single"/>
          </w:rPr>
          <w:t>https://doi.org/10.1111/j.1468-2885.2003.tb00287.x</w:t>
        </w:r>
      </w:hyperlink>
      <w:r w:rsidRPr="00AF7BD9">
        <w:rPr>
          <w:rStyle w:val="eop"/>
          <w:rFonts w:ascii="Arial" w:eastAsiaTheme="majorEastAsia" w:hAnsi="Arial" w:cs="Arial"/>
        </w:rPr>
        <w:t> </w:t>
      </w:r>
    </w:p>
    <w:p w14:paraId="1C6AD622" w14:textId="77777777" w:rsidR="00AF7BD9" w:rsidRPr="00AF7BD9" w:rsidRDefault="00AF7BD9" w:rsidP="00AF7BD9">
      <w:pPr>
        <w:pStyle w:val="paragraph"/>
        <w:spacing w:before="0" w:beforeAutospacing="0" w:after="0" w:afterAutospacing="0"/>
        <w:jc w:val="both"/>
        <w:textAlignment w:val="baseline"/>
        <w:rPr>
          <w:rFonts w:ascii="Arial" w:hAnsi="Arial" w:cs="Arial"/>
        </w:rPr>
      </w:pPr>
      <w:r w:rsidRPr="00AF7BD9">
        <w:rPr>
          <w:rStyle w:val="normaltextrun"/>
          <w:rFonts w:ascii="Arial" w:eastAsiaTheme="majorEastAsia" w:hAnsi="Arial" w:cs="Arial"/>
        </w:rPr>
        <w:t xml:space="preserve">Glanz, K., &amp; Bishop, D. B. (2010). The role of </w:t>
      </w:r>
      <w:proofErr w:type="spellStart"/>
      <w:r w:rsidRPr="00AF7BD9">
        <w:rPr>
          <w:rStyle w:val="normaltextrun"/>
          <w:rFonts w:ascii="Arial" w:eastAsiaTheme="majorEastAsia" w:hAnsi="Arial" w:cs="Arial"/>
        </w:rPr>
        <w:t>behavioral</w:t>
      </w:r>
      <w:proofErr w:type="spellEnd"/>
      <w:r w:rsidRPr="00AF7BD9">
        <w:rPr>
          <w:rStyle w:val="normaltextrun"/>
          <w:rFonts w:ascii="Arial" w:eastAsiaTheme="majorEastAsia" w:hAnsi="Arial" w:cs="Arial"/>
        </w:rPr>
        <w:t xml:space="preserve"> science theory in development and implementation of public health interventions. </w:t>
      </w:r>
      <w:r w:rsidRPr="00AF7BD9">
        <w:rPr>
          <w:rStyle w:val="normaltextrun"/>
          <w:rFonts w:ascii="Arial" w:eastAsiaTheme="majorEastAsia" w:hAnsi="Arial" w:cs="Arial"/>
          <w:i/>
          <w:iCs/>
        </w:rPr>
        <w:t>Annual Review of Public Health</w:t>
      </w:r>
      <w:r w:rsidRPr="00AF7BD9">
        <w:rPr>
          <w:rStyle w:val="normaltextrun"/>
          <w:rFonts w:ascii="Arial" w:eastAsiaTheme="majorEastAsia" w:hAnsi="Arial" w:cs="Arial"/>
        </w:rPr>
        <w:t xml:space="preserve">, 31, 399-418. </w:t>
      </w:r>
      <w:hyperlink r:id="rId10" w:tgtFrame="_blank" w:history="1">
        <w:r w:rsidRPr="00AF7BD9">
          <w:rPr>
            <w:rStyle w:val="normaltextrun"/>
            <w:rFonts w:ascii="Arial" w:eastAsiaTheme="majorEastAsia" w:hAnsi="Arial" w:cs="Arial"/>
            <w:color w:val="467886"/>
            <w:u w:val="single"/>
          </w:rPr>
          <w:t>https://doi.org/10.1146/annurev.publhealth.012809.103604</w:t>
        </w:r>
      </w:hyperlink>
      <w:r w:rsidRPr="00AF7BD9">
        <w:rPr>
          <w:rStyle w:val="eop"/>
          <w:rFonts w:ascii="Arial" w:eastAsiaTheme="majorEastAsia" w:hAnsi="Arial" w:cs="Arial"/>
        </w:rPr>
        <w:t> </w:t>
      </w:r>
    </w:p>
    <w:p w14:paraId="49A588C7" w14:textId="77777777" w:rsidR="00AF7BD9" w:rsidRPr="00AF7BD9" w:rsidRDefault="00AF7BD9" w:rsidP="00AF7BD9">
      <w:pPr>
        <w:pStyle w:val="paragraph"/>
        <w:spacing w:before="0" w:beforeAutospacing="0" w:after="0" w:afterAutospacing="0"/>
        <w:jc w:val="both"/>
        <w:textAlignment w:val="baseline"/>
        <w:rPr>
          <w:rFonts w:ascii="Arial" w:hAnsi="Arial" w:cs="Arial"/>
        </w:rPr>
      </w:pPr>
      <w:r w:rsidRPr="00AF7BD9">
        <w:rPr>
          <w:rStyle w:val="normaltextrun"/>
          <w:rFonts w:ascii="Arial" w:eastAsiaTheme="majorEastAsia" w:hAnsi="Arial" w:cs="Arial"/>
        </w:rPr>
        <w:t xml:space="preserve">Goffman, E. (1963). </w:t>
      </w:r>
      <w:r w:rsidRPr="00AF7BD9">
        <w:rPr>
          <w:rStyle w:val="normaltextrun"/>
          <w:rFonts w:ascii="Arial" w:eastAsiaTheme="majorEastAsia" w:hAnsi="Arial" w:cs="Arial"/>
          <w:i/>
          <w:iCs/>
        </w:rPr>
        <w:t>Stigma: Notes on the Management of Spoiled Identity</w:t>
      </w:r>
      <w:r w:rsidRPr="00AF7BD9">
        <w:rPr>
          <w:rStyle w:val="normaltextrun"/>
          <w:rFonts w:ascii="Arial" w:eastAsiaTheme="majorEastAsia" w:hAnsi="Arial" w:cs="Arial"/>
        </w:rPr>
        <w:t>. Prentice-Hall.</w:t>
      </w:r>
      <w:r w:rsidRPr="00AF7BD9">
        <w:rPr>
          <w:rStyle w:val="eop"/>
          <w:rFonts w:ascii="Arial" w:eastAsiaTheme="majorEastAsia" w:hAnsi="Arial" w:cs="Arial"/>
        </w:rPr>
        <w:t> </w:t>
      </w:r>
    </w:p>
    <w:p w14:paraId="6E7D1D7F" w14:textId="77777777" w:rsidR="00AF7BD9" w:rsidRPr="00AF7BD9" w:rsidRDefault="00AF7BD9" w:rsidP="00AF7BD9">
      <w:pPr>
        <w:pStyle w:val="paragraph"/>
        <w:spacing w:before="0" w:beforeAutospacing="0" w:after="0" w:afterAutospacing="0"/>
        <w:jc w:val="both"/>
        <w:textAlignment w:val="baseline"/>
        <w:rPr>
          <w:rFonts w:ascii="Arial" w:hAnsi="Arial" w:cs="Arial"/>
        </w:rPr>
      </w:pPr>
      <w:r w:rsidRPr="00AF7BD9">
        <w:rPr>
          <w:rStyle w:val="normaltextrun"/>
          <w:rFonts w:ascii="Arial" w:eastAsiaTheme="majorEastAsia" w:hAnsi="Arial" w:cs="Arial"/>
        </w:rPr>
        <w:lastRenderedPageBreak/>
        <w:t xml:space="preserve">Green, M. C., &amp; Brock, T. C. (2000). The role of transportation in the persuasiveness of public narratives. </w:t>
      </w:r>
      <w:r w:rsidRPr="00AF7BD9">
        <w:rPr>
          <w:rStyle w:val="normaltextrun"/>
          <w:rFonts w:ascii="Arial" w:eastAsiaTheme="majorEastAsia" w:hAnsi="Arial" w:cs="Arial"/>
          <w:i/>
          <w:iCs/>
        </w:rPr>
        <w:t>Journal of Personality and Social Psychology</w:t>
      </w:r>
      <w:r w:rsidRPr="00AF7BD9">
        <w:rPr>
          <w:rStyle w:val="normaltextrun"/>
          <w:rFonts w:ascii="Arial" w:eastAsiaTheme="majorEastAsia" w:hAnsi="Arial" w:cs="Arial"/>
        </w:rPr>
        <w:t xml:space="preserve">, 79(5), 701-721. </w:t>
      </w:r>
      <w:hyperlink r:id="rId11" w:tgtFrame="_blank" w:history="1">
        <w:r w:rsidRPr="00AF7BD9">
          <w:rPr>
            <w:rStyle w:val="normaltextrun"/>
            <w:rFonts w:ascii="Arial" w:eastAsiaTheme="majorEastAsia" w:hAnsi="Arial" w:cs="Arial"/>
            <w:color w:val="467886"/>
            <w:u w:val="single"/>
          </w:rPr>
          <w:t>https://doi.org/10.1037/0022-3514.79.5.701</w:t>
        </w:r>
      </w:hyperlink>
      <w:r w:rsidRPr="00AF7BD9">
        <w:rPr>
          <w:rStyle w:val="eop"/>
          <w:rFonts w:ascii="Arial" w:eastAsiaTheme="majorEastAsia" w:hAnsi="Arial" w:cs="Arial"/>
        </w:rPr>
        <w:t> </w:t>
      </w:r>
    </w:p>
    <w:p w14:paraId="50E17DDB" w14:textId="77777777" w:rsidR="00AF7BD9" w:rsidRPr="00AF7BD9" w:rsidRDefault="00AF7BD9" w:rsidP="00AF7BD9">
      <w:pPr>
        <w:pStyle w:val="paragraph"/>
        <w:spacing w:before="0" w:beforeAutospacing="0" w:after="0" w:afterAutospacing="0"/>
        <w:jc w:val="both"/>
        <w:textAlignment w:val="baseline"/>
        <w:rPr>
          <w:rFonts w:ascii="Arial" w:hAnsi="Arial" w:cs="Arial"/>
        </w:rPr>
      </w:pPr>
      <w:r w:rsidRPr="00AF7BD9">
        <w:rPr>
          <w:rStyle w:val="normaltextrun"/>
          <w:rFonts w:ascii="Arial" w:eastAsiaTheme="majorEastAsia" w:hAnsi="Arial" w:cs="Arial"/>
        </w:rPr>
        <w:t xml:space="preserve">Marmot, M. (2005). Social determinants of health inequalities. </w:t>
      </w:r>
      <w:r w:rsidRPr="00AF7BD9">
        <w:rPr>
          <w:rStyle w:val="normaltextrun"/>
          <w:rFonts w:ascii="Arial" w:eastAsiaTheme="majorEastAsia" w:hAnsi="Arial" w:cs="Arial"/>
          <w:i/>
          <w:iCs/>
        </w:rPr>
        <w:t>The Lancet</w:t>
      </w:r>
      <w:r w:rsidRPr="00AF7BD9">
        <w:rPr>
          <w:rStyle w:val="normaltextrun"/>
          <w:rFonts w:ascii="Arial" w:eastAsiaTheme="majorEastAsia" w:hAnsi="Arial" w:cs="Arial"/>
        </w:rPr>
        <w:t xml:space="preserve">, 365(9464), 1099-1104. </w:t>
      </w:r>
      <w:hyperlink r:id="rId12" w:tgtFrame="_blank" w:history="1">
        <w:r w:rsidRPr="00AF7BD9">
          <w:rPr>
            <w:rStyle w:val="normaltextrun"/>
            <w:rFonts w:ascii="Arial" w:eastAsiaTheme="majorEastAsia" w:hAnsi="Arial" w:cs="Arial"/>
            <w:color w:val="467886"/>
            <w:u w:val="single"/>
          </w:rPr>
          <w:t>https://doi.org/10.1016/S0140-6736(05)71146-6</w:t>
        </w:r>
      </w:hyperlink>
      <w:r w:rsidRPr="00AF7BD9">
        <w:rPr>
          <w:rStyle w:val="eop"/>
          <w:rFonts w:ascii="Arial" w:eastAsiaTheme="majorEastAsia" w:hAnsi="Arial" w:cs="Arial"/>
        </w:rPr>
        <w:t> </w:t>
      </w:r>
    </w:p>
    <w:p w14:paraId="75A629F9" w14:textId="77777777" w:rsidR="00AF7BD9" w:rsidRPr="00AF7BD9" w:rsidRDefault="00AF7BD9" w:rsidP="00AF7BD9">
      <w:pPr>
        <w:pStyle w:val="paragraph"/>
        <w:spacing w:before="0" w:beforeAutospacing="0" w:after="0" w:afterAutospacing="0"/>
        <w:jc w:val="both"/>
        <w:textAlignment w:val="baseline"/>
        <w:rPr>
          <w:rFonts w:ascii="Arial" w:hAnsi="Arial" w:cs="Arial"/>
        </w:rPr>
      </w:pPr>
      <w:r w:rsidRPr="00AF7BD9">
        <w:rPr>
          <w:rStyle w:val="normaltextrun"/>
          <w:rFonts w:ascii="Arial" w:eastAsiaTheme="majorEastAsia" w:hAnsi="Arial" w:cs="Arial"/>
        </w:rPr>
        <w:t xml:space="preserve">Millett, G. A., Peterson, J. L., Flores, S. A., Hart, T. A., Jeffries IV, W. L., Wilson, P. A., ... &amp; Remis, R. S. (2012). Comparisons of disparities and risks of HIV infection in Black and other men who have sex with men in Canada, UK, and USA: A meta-analysis. </w:t>
      </w:r>
      <w:r w:rsidRPr="00AF7BD9">
        <w:rPr>
          <w:rStyle w:val="normaltextrun"/>
          <w:rFonts w:ascii="Arial" w:eastAsiaTheme="majorEastAsia" w:hAnsi="Arial" w:cs="Arial"/>
          <w:i/>
          <w:iCs/>
        </w:rPr>
        <w:t>The Lancet</w:t>
      </w:r>
      <w:r w:rsidRPr="00AF7BD9">
        <w:rPr>
          <w:rStyle w:val="normaltextrun"/>
          <w:rFonts w:ascii="Arial" w:eastAsiaTheme="majorEastAsia" w:hAnsi="Arial" w:cs="Arial"/>
        </w:rPr>
        <w:t xml:space="preserve">, 380(9839), 341-348. </w:t>
      </w:r>
      <w:hyperlink r:id="rId13" w:tgtFrame="_blank" w:history="1">
        <w:r w:rsidRPr="00AF7BD9">
          <w:rPr>
            <w:rStyle w:val="normaltextrun"/>
            <w:rFonts w:ascii="Arial" w:eastAsiaTheme="majorEastAsia" w:hAnsi="Arial" w:cs="Arial"/>
            <w:color w:val="467886"/>
            <w:u w:val="single"/>
          </w:rPr>
          <w:t>https://doi.org/10.1016/S0140-6736(12)60899-X</w:t>
        </w:r>
      </w:hyperlink>
      <w:r w:rsidRPr="00AF7BD9">
        <w:rPr>
          <w:rStyle w:val="eop"/>
          <w:rFonts w:ascii="Arial" w:eastAsiaTheme="majorEastAsia" w:hAnsi="Arial" w:cs="Arial"/>
        </w:rPr>
        <w:t> </w:t>
      </w:r>
    </w:p>
    <w:p w14:paraId="02A5397C" w14:textId="77777777" w:rsidR="00AF7BD9" w:rsidRPr="00AF7BD9" w:rsidRDefault="00AF7BD9" w:rsidP="00AF7BD9">
      <w:pPr>
        <w:pStyle w:val="paragraph"/>
        <w:spacing w:before="0" w:beforeAutospacing="0" w:after="0" w:afterAutospacing="0"/>
        <w:jc w:val="both"/>
        <w:textAlignment w:val="baseline"/>
        <w:rPr>
          <w:rFonts w:ascii="Arial" w:hAnsi="Arial" w:cs="Arial"/>
        </w:rPr>
      </w:pPr>
      <w:r w:rsidRPr="00AF7BD9">
        <w:rPr>
          <w:rStyle w:val="normaltextrun"/>
          <w:rFonts w:ascii="Arial" w:eastAsiaTheme="majorEastAsia" w:hAnsi="Arial" w:cs="Arial"/>
        </w:rPr>
        <w:t xml:space="preserve">Noar, S. M., &amp; Zimmerman, R. S. (2005). Health </w:t>
      </w:r>
      <w:proofErr w:type="spellStart"/>
      <w:r w:rsidRPr="00AF7BD9">
        <w:rPr>
          <w:rStyle w:val="normaltextrun"/>
          <w:rFonts w:ascii="Arial" w:eastAsiaTheme="majorEastAsia" w:hAnsi="Arial" w:cs="Arial"/>
        </w:rPr>
        <w:t>Behavior</w:t>
      </w:r>
      <w:proofErr w:type="spellEnd"/>
      <w:r w:rsidRPr="00AF7BD9">
        <w:rPr>
          <w:rStyle w:val="normaltextrun"/>
          <w:rFonts w:ascii="Arial" w:eastAsiaTheme="majorEastAsia" w:hAnsi="Arial" w:cs="Arial"/>
        </w:rPr>
        <w:t xml:space="preserve"> Theory and cumulative knowledge regarding health </w:t>
      </w:r>
      <w:proofErr w:type="spellStart"/>
      <w:r w:rsidRPr="00AF7BD9">
        <w:rPr>
          <w:rStyle w:val="normaltextrun"/>
          <w:rFonts w:ascii="Arial" w:eastAsiaTheme="majorEastAsia" w:hAnsi="Arial" w:cs="Arial"/>
        </w:rPr>
        <w:t>behaviors</w:t>
      </w:r>
      <w:proofErr w:type="spellEnd"/>
      <w:r w:rsidRPr="00AF7BD9">
        <w:rPr>
          <w:rStyle w:val="normaltextrun"/>
          <w:rFonts w:ascii="Arial" w:eastAsiaTheme="majorEastAsia" w:hAnsi="Arial" w:cs="Arial"/>
        </w:rPr>
        <w:t xml:space="preserve">: Are we moving in the right direction? </w:t>
      </w:r>
      <w:r w:rsidRPr="00AF7BD9">
        <w:rPr>
          <w:rStyle w:val="normaltextrun"/>
          <w:rFonts w:ascii="Arial" w:eastAsiaTheme="majorEastAsia" w:hAnsi="Arial" w:cs="Arial"/>
          <w:i/>
          <w:iCs/>
        </w:rPr>
        <w:t>Health Education Research</w:t>
      </w:r>
      <w:r w:rsidRPr="00AF7BD9">
        <w:rPr>
          <w:rStyle w:val="normaltextrun"/>
          <w:rFonts w:ascii="Arial" w:eastAsiaTheme="majorEastAsia" w:hAnsi="Arial" w:cs="Arial"/>
        </w:rPr>
        <w:t xml:space="preserve">, 20(3), 275-290. </w:t>
      </w:r>
      <w:hyperlink r:id="rId14" w:tgtFrame="_blank" w:history="1">
        <w:r w:rsidRPr="00AF7BD9">
          <w:rPr>
            <w:rStyle w:val="normaltextrun"/>
            <w:rFonts w:ascii="Arial" w:eastAsiaTheme="majorEastAsia" w:hAnsi="Arial" w:cs="Arial"/>
            <w:color w:val="467886"/>
            <w:u w:val="single"/>
          </w:rPr>
          <w:t>https://doi.org/10.1093/her/cyg113</w:t>
        </w:r>
      </w:hyperlink>
      <w:r w:rsidRPr="00AF7BD9">
        <w:rPr>
          <w:rStyle w:val="eop"/>
          <w:rFonts w:ascii="Arial" w:eastAsiaTheme="majorEastAsia" w:hAnsi="Arial" w:cs="Arial"/>
        </w:rPr>
        <w:t> </w:t>
      </w:r>
    </w:p>
    <w:p w14:paraId="179AFFA0" w14:textId="77777777" w:rsidR="00AF7BD9" w:rsidRPr="00AF7BD9" w:rsidRDefault="00AF7BD9" w:rsidP="00AF7BD9">
      <w:pPr>
        <w:pStyle w:val="paragraph"/>
        <w:spacing w:before="0" w:beforeAutospacing="0" w:after="0" w:afterAutospacing="0"/>
        <w:jc w:val="both"/>
        <w:textAlignment w:val="baseline"/>
        <w:rPr>
          <w:rFonts w:ascii="Arial" w:hAnsi="Arial" w:cs="Arial"/>
        </w:rPr>
      </w:pPr>
      <w:r w:rsidRPr="00AF7BD9">
        <w:rPr>
          <w:rStyle w:val="normaltextrun"/>
          <w:rFonts w:ascii="Arial" w:eastAsiaTheme="majorEastAsia" w:hAnsi="Arial" w:cs="Arial"/>
        </w:rPr>
        <w:t xml:space="preserve">Noar, S. M. (2006). A 10-year retrospective of research in health mass media campaigns: Where do we go from here? </w:t>
      </w:r>
      <w:r w:rsidRPr="00AF7BD9">
        <w:rPr>
          <w:rStyle w:val="normaltextrun"/>
          <w:rFonts w:ascii="Arial" w:eastAsiaTheme="majorEastAsia" w:hAnsi="Arial" w:cs="Arial"/>
          <w:i/>
          <w:iCs/>
        </w:rPr>
        <w:t>Journal of Health Communication</w:t>
      </w:r>
      <w:r w:rsidRPr="00AF7BD9">
        <w:rPr>
          <w:rStyle w:val="normaltextrun"/>
          <w:rFonts w:ascii="Arial" w:eastAsiaTheme="majorEastAsia" w:hAnsi="Arial" w:cs="Arial"/>
        </w:rPr>
        <w:t xml:space="preserve">, 11(1), 21-42. </w:t>
      </w:r>
      <w:hyperlink r:id="rId15" w:tgtFrame="_blank" w:history="1">
        <w:r w:rsidRPr="00AF7BD9">
          <w:rPr>
            <w:rStyle w:val="normaltextrun"/>
            <w:rFonts w:ascii="Arial" w:eastAsiaTheme="majorEastAsia" w:hAnsi="Arial" w:cs="Arial"/>
            <w:color w:val="467886"/>
            <w:u w:val="single"/>
          </w:rPr>
          <w:t>https://doi.org/10.1080/10810730500461059</w:t>
        </w:r>
      </w:hyperlink>
      <w:r w:rsidRPr="00AF7BD9">
        <w:rPr>
          <w:rStyle w:val="eop"/>
          <w:rFonts w:ascii="Arial" w:eastAsiaTheme="majorEastAsia" w:hAnsi="Arial" w:cs="Arial"/>
        </w:rPr>
        <w:t> </w:t>
      </w:r>
    </w:p>
    <w:p w14:paraId="304D4BBC" w14:textId="77777777" w:rsidR="00AF7BD9" w:rsidRPr="00AF7BD9" w:rsidRDefault="00AF7BD9" w:rsidP="00AF7BD9">
      <w:pPr>
        <w:pStyle w:val="paragraph"/>
        <w:spacing w:before="0" w:beforeAutospacing="0" w:after="0" w:afterAutospacing="0"/>
        <w:jc w:val="both"/>
        <w:textAlignment w:val="baseline"/>
        <w:rPr>
          <w:rFonts w:ascii="Arial" w:hAnsi="Arial" w:cs="Arial"/>
        </w:rPr>
      </w:pPr>
      <w:r w:rsidRPr="00AF7BD9">
        <w:rPr>
          <w:rStyle w:val="normaltextrun"/>
          <w:rFonts w:ascii="Arial" w:eastAsiaTheme="majorEastAsia" w:hAnsi="Arial" w:cs="Arial"/>
        </w:rPr>
        <w:t xml:space="preserve">Noar, S. M., Harrington, N. G., &amp; Van Stee, S. K. (2012). Tailored health communication to change lifestyle </w:t>
      </w:r>
      <w:proofErr w:type="spellStart"/>
      <w:r w:rsidRPr="00AF7BD9">
        <w:rPr>
          <w:rStyle w:val="normaltextrun"/>
          <w:rFonts w:ascii="Arial" w:eastAsiaTheme="majorEastAsia" w:hAnsi="Arial" w:cs="Arial"/>
        </w:rPr>
        <w:t>behaviors</w:t>
      </w:r>
      <w:proofErr w:type="spellEnd"/>
      <w:r w:rsidRPr="00AF7BD9">
        <w:rPr>
          <w:rStyle w:val="normaltextrun"/>
          <w:rFonts w:ascii="Arial" w:eastAsiaTheme="majorEastAsia" w:hAnsi="Arial" w:cs="Arial"/>
        </w:rPr>
        <w:t xml:space="preserve">. </w:t>
      </w:r>
      <w:r w:rsidRPr="00AF7BD9">
        <w:rPr>
          <w:rStyle w:val="normaltextrun"/>
          <w:rFonts w:ascii="Arial" w:eastAsiaTheme="majorEastAsia" w:hAnsi="Arial" w:cs="Arial"/>
          <w:i/>
          <w:iCs/>
        </w:rPr>
        <w:t>American Journal of Lifestyle Medicine</w:t>
      </w:r>
      <w:r w:rsidRPr="00AF7BD9">
        <w:rPr>
          <w:rStyle w:val="normaltextrun"/>
          <w:rFonts w:ascii="Arial" w:eastAsiaTheme="majorEastAsia" w:hAnsi="Arial" w:cs="Arial"/>
        </w:rPr>
        <w:t xml:space="preserve">, 5(2), 112-122. </w:t>
      </w:r>
      <w:hyperlink r:id="rId16" w:tgtFrame="_blank" w:history="1">
        <w:r w:rsidRPr="00AF7BD9">
          <w:rPr>
            <w:rStyle w:val="normaltextrun"/>
            <w:rFonts w:ascii="Arial" w:eastAsiaTheme="majorEastAsia" w:hAnsi="Arial" w:cs="Arial"/>
            <w:color w:val="467886"/>
            <w:u w:val="single"/>
          </w:rPr>
          <w:t>https://doi.org/10.1177/1559827610387255</w:t>
        </w:r>
      </w:hyperlink>
      <w:r w:rsidRPr="00AF7BD9">
        <w:rPr>
          <w:rStyle w:val="eop"/>
          <w:rFonts w:ascii="Arial" w:eastAsiaTheme="majorEastAsia" w:hAnsi="Arial" w:cs="Arial"/>
        </w:rPr>
        <w:t> </w:t>
      </w:r>
    </w:p>
    <w:p w14:paraId="205F3507" w14:textId="77777777" w:rsidR="00AF7BD9" w:rsidRPr="00AF7BD9" w:rsidRDefault="00AF7BD9" w:rsidP="00AF7BD9">
      <w:pPr>
        <w:pStyle w:val="paragraph"/>
        <w:spacing w:before="0" w:beforeAutospacing="0" w:after="0" w:afterAutospacing="0"/>
        <w:jc w:val="both"/>
        <w:textAlignment w:val="baseline"/>
        <w:rPr>
          <w:rFonts w:ascii="Arial" w:hAnsi="Arial" w:cs="Arial"/>
        </w:rPr>
      </w:pPr>
      <w:r w:rsidRPr="00AF7BD9">
        <w:rPr>
          <w:rStyle w:val="normaltextrun"/>
          <w:rFonts w:ascii="Arial" w:eastAsiaTheme="majorEastAsia" w:hAnsi="Arial" w:cs="Arial"/>
        </w:rPr>
        <w:t xml:space="preserve">Parker, R., &amp; </w:t>
      </w:r>
      <w:proofErr w:type="spellStart"/>
      <w:r w:rsidRPr="00AF7BD9">
        <w:rPr>
          <w:rStyle w:val="normaltextrun"/>
          <w:rFonts w:ascii="Arial" w:eastAsiaTheme="majorEastAsia" w:hAnsi="Arial" w:cs="Arial"/>
        </w:rPr>
        <w:t>Aggleton</w:t>
      </w:r>
      <w:proofErr w:type="spellEnd"/>
      <w:r w:rsidRPr="00AF7BD9">
        <w:rPr>
          <w:rStyle w:val="normaltextrun"/>
          <w:rFonts w:ascii="Arial" w:eastAsiaTheme="majorEastAsia" w:hAnsi="Arial" w:cs="Arial"/>
        </w:rPr>
        <w:t xml:space="preserve">, P. (2003). HIV and AIDS-related stigma and discrimination: A conceptual framework and implications for action. </w:t>
      </w:r>
      <w:r w:rsidRPr="00AF7BD9">
        <w:rPr>
          <w:rStyle w:val="normaltextrun"/>
          <w:rFonts w:ascii="Arial" w:eastAsiaTheme="majorEastAsia" w:hAnsi="Arial" w:cs="Arial"/>
          <w:i/>
          <w:iCs/>
        </w:rPr>
        <w:t>Social Science &amp; Medicine</w:t>
      </w:r>
      <w:r w:rsidRPr="00AF7BD9">
        <w:rPr>
          <w:rStyle w:val="normaltextrun"/>
          <w:rFonts w:ascii="Arial" w:eastAsiaTheme="majorEastAsia" w:hAnsi="Arial" w:cs="Arial"/>
        </w:rPr>
        <w:t xml:space="preserve">, 57(1), 13-24. </w:t>
      </w:r>
      <w:hyperlink r:id="rId17" w:tgtFrame="_blank" w:history="1">
        <w:r w:rsidRPr="00AF7BD9">
          <w:rPr>
            <w:rStyle w:val="normaltextrun"/>
            <w:rFonts w:ascii="Arial" w:eastAsiaTheme="majorEastAsia" w:hAnsi="Arial" w:cs="Arial"/>
            <w:color w:val="467886"/>
            <w:u w:val="single"/>
          </w:rPr>
          <w:t>https://doi.org/10.1016/S0277-9536(02)00304-0</w:t>
        </w:r>
      </w:hyperlink>
      <w:r w:rsidRPr="00AF7BD9">
        <w:rPr>
          <w:rStyle w:val="eop"/>
          <w:rFonts w:ascii="Arial" w:eastAsiaTheme="majorEastAsia" w:hAnsi="Arial" w:cs="Arial"/>
        </w:rPr>
        <w:t> </w:t>
      </w:r>
    </w:p>
    <w:p w14:paraId="7F821D30" w14:textId="77777777" w:rsidR="00AF7BD9" w:rsidRPr="00AF7BD9" w:rsidRDefault="00AF7BD9" w:rsidP="00AF7BD9">
      <w:pPr>
        <w:pStyle w:val="paragraph"/>
        <w:spacing w:before="0" w:beforeAutospacing="0" w:after="0" w:afterAutospacing="0"/>
        <w:jc w:val="both"/>
        <w:textAlignment w:val="baseline"/>
        <w:rPr>
          <w:rFonts w:ascii="Arial" w:hAnsi="Arial" w:cs="Arial"/>
        </w:rPr>
      </w:pPr>
      <w:proofErr w:type="spellStart"/>
      <w:r w:rsidRPr="00AF7BD9">
        <w:rPr>
          <w:rStyle w:val="normaltextrun"/>
          <w:rFonts w:ascii="Arial" w:eastAsiaTheme="majorEastAsia" w:hAnsi="Arial" w:cs="Arial"/>
        </w:rPr>
        <w:t>Pirkis</w:t>
      </w:r>
      <w:proofErr w:type="spellEnd"/>
      <w:r w:rsidRPr="00AF7BD9">
        <w:rPr>
          <w:rStyle w:val="normaltextrun"/>
          <w:rFonts w:ascii="Arial" w:eastAsiaTheme="majorEastAsia" w:hAnsi="Arial" w:cs="Arial"/>
        </w:rPr>
        <w:t xml:space="preserve">, J., Blood, R. W., </w:t>
      </w:r>
      <w:proofErr w:type="spellStart"/>
      <w:r w:rsidRPr="00AF7BD9">
        <w:rPr>
          <w:rStyle w:val="normaltextrun"/>
          <w:rFonts w:ascii="Arial" w:eastAsiaTheme="majorEastAsia" w:hAnsi="Arial" w:cs="Arial"/>
        </w:rPr>
        <w:t>Beautrais</w:t>
      </w:r>
      <w:proofErr w:type="spellEnd"/>
      <w:r w:rsidRPr="00AF7BD9">
        <w:rPr>
          <w:rStyle w:val="normaltextrun"/>
          <w:rFonts w:ascii="Arial" w:eastAsiaTheme="majorEastAsia" w:hAnsi="Arial" w:cs="Arial"/>
        </w:rPr>
        <w:t xml:space="preserve">, A., Burgess, P., &amp; Skehan, J. (2018). The case for media studies of suicide prevention. </w:t>
      </w:r>
      <w:r w:rsidRPr="00AF7BD9">
        <w:rPr>
          <w:rStyle w:val="normaltextrun"/>
          <w:rFonts w:ascii="Arial" w:eastAsiaTheme="majorEastAsia" w:hAnsi="Arial" w:cs="Arial"/>
          <w:i/>
          <w:iCs/>
        </w:rPr>
        <w:t xml:space="preserve">American </w:t>
      </w:r>
      <w:proofErr w:type="spellStart"/>
      <w:r w:rsidRPr="00AF7BD9">
        <w:rPr>
          <w:rStyle w:val="normaltextrun"/>
          <w:rFonts w:ascii="Arial" w:eastAsiaTheme="majorEastAsia" w:hAnsi="Arial" w:cs="Arial"/>
          <w:i/>
          <w:iCs/>
        </w:rPr>
        <w:t>Behavioral</w:t>
      </w:r>
      <w:proofErr w:type="spellEnd"/>
      <w:r w:rsidRPr="00AF7BD9">
        <w:rPr>
          <w:rStyle w:val="normaltextrun"/>
          <w:rFonts w:ascii="Arial" w:eastAsiaTheme="majorEastAsia" w:hAnsi="Arial" w:cs="Arial"/>
          <w:i/>
          <w:iCs/>
        </w:rPr>
        <w:t xml:space="preserve"> Scientist</w:t>
      </w:r>
      <w:r w:rsidRPr="00AF7BD9">
        <w:rPr>
          <w:rStyle w:val="normaltextrun"/>
          <w:rFonts w:ascii="Arial" w:eastAsiaTheme="majorEastAsia" w:hAnsi="Arial" w:cs="Arial"/>
        </w:rPr>
        <w:t xml:space="preserve">, 46(9), 1211-1229. </w:t>
      </w:r>
      <w:hyperlink r:id="rId18" w:tgtFrame="_blank" w:history="1">
        <w:r w:rsidRPr="00AF7BD9">
          <w:rPr>
            <w:rStyle w:val="normaltextrun"/>
            <w:rFonts w:ascii="Arial" w:eastAsiaTheme="majorEastAsia" w:hAnsi="Arial" w:cs="Arial"/>
            <w:color w:val="467886"/>
            <w:u w:val="single"/>
          </w:rPr>
          <w:t>https://doi.org/10.1177/0002764202046009006</w:t>
        </w:r>
      </w:hyperlink>
      <w:r w:rsidRPr="00AF7BD9">
        <w:rPr>
          <w:rStyle w:val="eop"/>
          <w:rFonts w:ascii="Arial" w:eastAsiaTheme="majorEastAsia" w:hAnsi="Arial" w:cs="Arial"/>
        </w:rPr>
        <w:t> </w:t>
      </w:r>
    </w:p>
    <w:p w14:paraId="3DA6BDDD" w14:textId="77777777" w:rsidR="00AF7BD9" w:rsidRPr="00AF7BD9" w:rsidRDefault="00AF7BD9" w:rsidP="00AF7BD9">
      <w:pPr>
        <w:pStyle w:val="paragraph"/>
        <w:spacing w:before="0" w:beforeAutospacing="0" w:after="0" w:afterAutospacing="0"/>
        <w:jc w:val="both"/>
        <w:textAlignment w:val="baseline"/>
        <w:rPr>
          <w:rFonts w:ascii="Arial" w:hAnsi="Arial" w:cs="Arial"/>
        </w:rPr>
      </w:pPr>
      <w:r w:rsidRPr="00AF7BD9">
        <w:rPr>
          <w:rStyle w:val="normaltextrun"/>
          <w:rFonts w:ascii="Arial" w:eastAsiaTheme="majorEastAsia" w:hAnsi="Arial" w:cs="Arial"/>
        </w:rPr>
        <w:t xml:space="preserve">Terrence Higgins Trust. (2023). Time is ticking to end new HIV cases in the UK. Retrieved from </w:t>
      </w:r>
      <w:hyperlink r:id="rId19" w:tgtFrame="_blank" w:history="1">
        <w:r w:rsidRPr="00AF7BD9">
          <w:rPr>
            <w:rStyle w:val="normaltextrun"/>
            <w:rFonts w:ascii="Arial" w:eastAsiaTheme="majorEastAsia" w:hAnsi="Arial" w:cs="Arial"/>
            <w:color w:val="467886"/>
            <w:u w:val="single"/>
          </w:rPr>
          <w:t>https://www.tht.org.uk/news/time-ticking-end-new-hiv-cases-uk</w:t>
        </w:r>
      </w:hyperlink>
      <w:r w:rsidRPr="00AF7BD9">
        <w:rPr>
          <w:rStyle w:val="eop"/>
          <w:rFonts w:ascii="Arial" w:eastAsiaTheme="majorEastAsia" w:hAnsi="Arial" w:cs="Arial"/>
        </w:rPr>
        <w:t> </w:t>
      </w:r>
    </w:p>
    <w:p w14:paraId="40CE91D7" w14:textId="77777777" w:rsidR="00AF7BD9" w:rsidRPr="00AF7BD9" w:rsidRDefault="00AF7BD9" w:rsidP="00AF7BD9">
      <w:pPr>
        <w:pStyle w:val="paragraph"/>
        <w:spacing w:before="0" w:beforeAutospacing="0" w:after="0" w:afterAutospacing="0"/>
        <w:jc w:val="both"/>
        <w:textAlignment w:val="baseline"/>
        <w:rPr>
          <w:rFonts w:ascii="Arial" w:hAnsi="Arial" w:cs="Arial"/>
        </w:rPr>
      </w:pPr>
      <w:r w:rsidRPr="00AF7BD9">
        <w:rPr>
          <w:rStyle w:val="normaltextrun"/>
          <w:rFonts w:ascii="Arial" w:eastAsiaTheme="majorEastAsia" w:hAnsi="Arial" w:cs="Arial"/>
        </w:rPr>
        <w:t xml:space="preserve">UNAIDS. (2020). Global HIV &amp; AIDS statistics — 2020 fact sheet. Retrieved from </w:t>
      </w:r>
      <w:hyperlink r:id="rId20" w:tgtFrame="_blank" w:history="1">
        <w:r w:rsidRPr="00AF7BD9">
          <w:rPr>
            <w:rStyle w:val="normaltextrun"/>
            <w:rFonts w:ascii="Arial" w:eastAsiaTheme="majorEastAsia" w:hAnsi="Arial" w:cs="Arial"/>
            <w:color w:val="467886"/>
            <w:u w:val="single"/>
          </w:rPr>
          <w:t>https://www.unaids.org/en/resources/fact-sheet</w:t>
        </w:r>
      </w:hyperlink>
      <w:r w:rsidRPr="00AF7BD9">
        <w:rPr>
          <w:rStyle w:val="eop"/>
          <w:rFonts w:ascii="Arial" w:eastAsiaTheme="majorEastAsia" w:hAnsi="Arial" w:cs="Arial"/>
        </w:rPr>
        <w:t> </w:t>
      </w:r>
    </w:p>
    <w:p w14:paraId="4FBDB4AE" w14:textId="77777777" w:rsidR="00AF7BD9" w:rsidRPr="00AF7BD9" w:rsidRDefault="00AF7BD9" w:rsidP="00AF7BD9">
      <w:pPr>
        <w:pStyle w:val="paragraph"/>
        <w:spacing w:before="0" w:beforeAutospacing="0" w:after="0" w:afterAutospacing="0"/>
        <w:jc w:val="both"/>
        <w:textAlignment w:val="baseline"/>
        <w:rPr>
          <w:rFonts w:ascii="Arial" w:hAnsi="Arial" w:cs="Arial"/>
        </w:rPr>
      </w:pPr>
      <w:r w:rsidRPr="00AF7BD9">
        <w:rPr>
          <w:rStyle w:val="normaltextrun"/>
          <w:rFonts w:ascii="Arial" w:eastAsiaTheme="majorEastAsia" w:hAnsi="Arial" w:cs="Arial"/>
        </w:rPr>
        <w:t xml:space="preserve">Vance, K., Howe, W., &amp; Dellavalle, R. P. (2009). Social internet sites as a source of public health information. </w:t>
      </w:r>
      <w:r w:rsidRPr="00AF7BD9">
        <w:rPr>
          <w:rStyle w:val="normaltextrun"/>
          <w:rFonts w:ascii="Arial" w:eastAsiaTheme="majorEastAsia" w:hAnsi="Arial" w:cs="Arial"/>
          <w:i/>
          <w:iCs/>
        </w:rPr>
        <w:t>Dermatologic Clinics</w:t>
      </w:r>
      <w:r w:rsidRPr="00AF7BD9">
        <w:rPr>
          <w:rStyle w:val="normaltextrun"/>
          <w:rFonts w:ascii="Arial" w:eastAsiaTheme="majorEastAsia" w:hAnsi="Arial" w:cs="Arial"/>
        </w:rPr>
        <w:t xml:space="preserve">, 27(2), 133-136. </w:t>
      </w:r>
      <w:hyperlink r:id="rId21" w:tgtFrame="_blank" w:history="1">
        <w:r w:rsidRPr="00AF7BD9">
          <w:rPr>
            <w:rStyle w:val="normaltextrun"/>
            <w:rFonts w:ascii="Arial" w:eastAsiaTheme="majorEastAsia" w:hAnsi="Arial" w:cs="Arial"/>
            <w:color w:val="467886"/>
            <w:u w:val="single"/>
          </w:rPr>
          <w:t>https://doi.org/10.1016/j.det.2008.11.010</w:t>
        </w:r>
      </w:hyperlink>
      <w:r w:rsidRPr="00AF7BD9">
        <w:rPr>
          <w:rStyle w:val="eop"/>
          <w:rFonts w:ascii="Arial" w:eastAsiaTheme="majorEastAsia" w:hAnsi="Arial" w:cs="Arial"/>
        </w:rPr>
        <w:t> </w:t>
      </w:r>
    </w:p>
    <w:p w14:paraId="3BC94D4E" w14:textId="77777777" w:rsidR="00AF7BD9" w:rsidRPr="00AF7BD9" w:rsidRDefault="00AF7BD9" w:rsidP="00AF7BD9">
      <w:pPr>
        <w:pStyle w:val="paragraph"/>
        <w:spacing w:before="0" w:beforeAutospacing="0" w:after="0" w:afterAutospacing="0"/>
        <w:jc w:val="both"/>
        <w:textAlignment w:val="baseline"/>
        <w:rPr>
          <w:rFonts w:ascii="Arial" w:hAnsi="Arial" w:cs="Arial"/>
        </w:rPr>
      </w:pPr>
      <w:r w:rsidRPr="00AF7BD9">
        <w:rPr>
          <w:rStyle w:val="eop"/>
          <w:rFonts w:ascii="Arial" w:eastAsiaTheme="majorEastAsia" w:hAnsi="Arial" w:cs="Arial"/>
        </w:rPr>
        <w:t> </w:t>
      </w:r>
    </w:p>
    <w:p w14:paraId="4E99294F" w14:textId="77777777" w:rsidR="00AF7BD9" w:rsidRPr="00AF7BD9" w:rsidRDefault="00AF7BD9" w:rsidP="00AF7BD9">
      <w:pPr>
        <w:jc w:val="both"/>
        <w:rPr>
          <w:rFonts w:ascii="Arial" w:hAnsi="Arial" w:cs="Arial"/>
        </w:rPr>
      </w:pPr>
    </w:p>
    <w:sectPr w:rsidR="00AF7BD9" w:rsidRPr="00AF7BD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7BD9"/>
    <w:rsid w:val="00AF7BD9"/>
    <w:rsid w:val="00B20DCA"/>
    <w:rsid w:val="00DE090C"/>
    <w:rsid w:val="00FF4F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3D846B"/>
  <w15:chartTrackingRefBased/>
  <w15:docId w15:val="{DBEB47FF-F948-4E0D-A831-E284AC2D30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F7B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F7B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F7B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F7B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F7B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F7B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F7B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F7B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F7B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7B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F7B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F7B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F7B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F7B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F7B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F7B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F7B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F7BD9"/>
    <w:rPr>
      <w:rFonts w:eastAsiaTheme="majorEastAsia" w:cstheme="majorBidi"/>
      <w:color w:val="272727" w:themeColor="text1" w:themeTint="D8"/>
    </w:rPr>
  </w:style>
  <w:style w:type="paragraph" w:styleId="Title">
    <w:name w:val="Title"/>
    <w:basedOn w:val="Normal"/>
    <w:next w:val="Normal"/>
    <w:link w:val="TitleChar"/>
    <w:uiPriority w:val="10"/>
    <w:qFormat/>
    <w:rsid w:val="00AF7BD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F7BD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F7BD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F7BD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F7BD9"/>
    <w:pPr>
      <w:spacing w:before="160"/>
      <w:jc w:val="center"/>
    </w:pPr>
    <w:rPr>
      <w:i/>
      <w:iCs/>
      <w:color w:val="404040" w:themeColor="text1" w:themeTint="BF"/>
    </w:rPr>
  </w:style>
  <w:style w:type="character" w:customStyle="1" w:styleId="QuoteChar">
    <w:name w:val="Quote Char"/>
    <w:basedOn w:val="DefaultParagraphFont"/>
    <w:link w:val="Quote"/>
    <w:uiPriority w:val="29"/>
    <w:rsid w:val="00AF7BD9"/>
    <w:rPr>
      <w:i/>
      <w:iCs/>
      <w:color w:val="404040" w:themeColor="text1" w:themeTint="BF"/>
    </w:rPr>
  </w:style>
  <w:style w:type="paragraph" w:styleId="ListParagraph">
    <w:name w:val="List Paragraph"/>
    <w:basedOn w:val="Normal"/>
    <w:uiPriority w:val="34"/>
    <w:qFormat/>
    <w:rsid w:val="00AF7BD9"/>
    <w:pPr>
      <w:ind w:left="720"/>
      <w:contextualSpacing/>
    </w:pPr>
  </w:style>
  <w:style w:type="character" w:styleId="IntenseEmphasis">
    <w:name w:val="Intense Emphasis"/>
    <w:basedOn w:val="DefaultParagraphFont"/>
    <w:uiPriority w:val="21"/>
    <w:qFormat/>
    <w:rsid w:val="00AF7BD9"/>
    <w:rPr>
      <w:i/>
      <w:iCs/>
      <w:color w:val="0F4761" w:themeColor="accent1" w:themeShade="BF"/>
    </w:rPr>
  </w:style>
  <w:style w:type="paragraph" w:styleId="IntenseQuote">
    <w:name w:val="Intense Quote"/>
    <w:basedOn w:val="Normal"/>
    <w:next w:val="Normal"/>
    <w:link w:val="IntenseQuoteChar"/>
    <w:uiPriority w:val="30"/>
    <w:qFormat/>
    <w:rsid w:val="00AF7BD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F7BD9"/>
    <w:rPr>
      <w:i/>
      <w:iCs/>
      <w:color w:val="0F4761" w:themeColor="accent1" w:themeShade="BF"/>
    </w:rPr>
  </w:style>
  <w:style w:type="character" w:styleId="IntenseReference">
    <w:name w:val="Intense Reference"/>
    <w:basedOn w:val="DefaultParagraphFont"/>
    <w:uiPriority w:val="32"/>
    <w:qFormat/>
    <w:rsid w:val="00AF7BD9"/>
    <w:rPr>
      <w:b/>
      <w:bCs/>
      <w:smallCaps/>
      <w:color w:val="0F4761" w:themeColor="accent1" w:themeShade="BF"/>
      <w:spacing w:val="5"/>
    </w:rPr>
  </w:style>
  <w:style w:type="paragraph" w:customStyle="1" w:styleId="paragraph">
    <w:name w:val="paragraph"/>
    <w:basedOn w:val="Normal"/>
    <w:rsid w:val="00AF7BD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AF7BD9"/>
  </w:style>
  <w:style w:type="character" w:customStyle="1" w:styleId="eop">
    <w:name w:val="eop"/>
    <w:basedOn w:val="DefaultParagraphFont"/>
    <w:rsid w:val="00AF7BD9"/>
  </w:style>
  <w:style w:type="character" w:customStyle="1" w:styleId="tabchar">
    <w:name w:val="tabchar"/>
    <w:basedOn w:val="DefaultParagraphFont"/>
    <w:rsid w:val="00AF7B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01211823">
      <w:bodyDiv w:val="1"/>
      <w:marLeft w:val="0"/>
      <w:marRight w:val="0"/>
      <w:marTop w:val="0"/>
      <w:marBottom w:val="0"/>
      <w:divBdr>
        <w:top w:val="none" w:sz="0" w:space="0" w:color="auto"/>
        <w:left w:val="none" w:sz="0" w:space="0" w:color="auto"/>
        <w:bottom w:val="none" w:sz="0" w:space="0" w:color="auto"/>
        <w:right w:val="none" w:sz="0" w:space="0" w:color="auto"/>
      </w:divBdr>
      <w:divsChild>
        <w:div w:id="731465528">
          <w:marLeft w:val="0"/>
          <w:marRight w:val="0"/>
          <w:marTop w:val="0"/>
          <w:marBottom w:val="0"/>
          <w:divBdr>
            <w:top w:val="none" w:sz="0" w:space="0" w:color="auto"/>
            <w:left w:val="none" w:sz="0" w:space="0" w:color="auto"/>
            <w:bottom w:val="none" w:sz="0" w:space="0" w:color="auto"/>
            <w:right w:val="none" w:sz="0" w:space="0" w:color="auto"/>
          </w:divBdr>
        </w:div>
        <w:div w:id="1571768243">
          <w:marLeft w:val="0"/>
          <w:marRight w:val="0"/>
          <w:marTop w:val="0"/>
          <w:marBottom w:val="0"/>
          <w:divBdr>
            <w:top w:val="none" w:sz="0" w:space="0" w:color="auto"/>
            <w:left w:val="none" w:sz="0" w:space="0" w:color="auto"/>
            <w:bottom w:val="none" w:sz="0" w:space="0" w:color="auto"/>
            <w:right w:val="none" w:sz="0" w:space="0" w:color="auto"/>
          </w:divBdr>
        </w:div>
        <w:div w:id="1041249440">
          <w:marLeft w:val="0"/>
          <w:marRight w:val="0"/>
          <w:marTop w:val="0"/>
          <w:marBottom w:val="0"/>
          <w:divBdr>
            <w:top w:val="none" w:sz="0" w:space="0" w:color="auto"/>
            <w:left w:val="none" w:sz="0" w:space="0" w:color="auto"/>
            <w:bottom w:val="none" w:sz="0" w:space="0" w:color="auto"/>
            <w:right w:val="none" w:sz="0" w:space="0" w:color="auto"/>
          </w:divBdr>
        </w:div>
        <w:div w:id="84345829">
          <w:marLeft w:val="0"/>
          <w:marRight w:val="0"/>
          <w:marTop w:val="0"/>
          <w:marBottom w:val="0"/>
          <w:divBdr>
            <w:top w:val="none" w:sz="0" w:space="0" w:color="auto"/>
            <w:left w:val="none" w:sz="0" w:space="0" w:color="auto"/>
            <w:bottom w:val="none" w:sz="0" w:space="0" w:color="auto"/>
            <w:right w:val="none" w:sz="0" w:space="0" w:color="auto"/>
          </w:divBdr>
        </w:div>
        <w:div w:id="1757556496">
          <w:marLeft w:val="0"/>
          <w:marRight w:val="0"/>
          <w:marTop w:val="0"/>
          <w:marBottom w:val="0"/>
          <w:divBdr>
            <w:top w:val="none" w:sz="0" w:space="0" w:color="auto"/>
            <w:left w:val="none" w:sz="0" w:space="0" w:color="auto"/>
            <w:bottom w:val="none" w:sz="0" w:space="0" w:color="auto"/>
            <w:right w:val="none" w:sz="0" w:space="0" w:color="auto"/>
          </w:divBdr>
        </w:div>
        <w:div w:id="267349114">
          <w:marLeft w:val="0"/>
          <w:marRight w:val="0"/>
          <w:marTop w:val="0"/>
          <w:marBottom w:val="0"/>
          <w:divBdr>
            <w:top w:val="none" w:sz="0" w:space="0" w:color="auto"/>
            <w:left w:val="none" w:sz="0" w:space="0" w:color="auto"/>
            <w:bottom w:val="none" w:sz="0" w:space="0" w:color="auto"/>
            <w:right w:val="none" w:sz="0" w:space="0" w:color="auto"/>
          </w:divBdr>
        </w:div>
        <w:div w:id="994261130">
          <w:marLeft w:val="0"/>
          <w:marRight w:val="0"/>
          <w:marTop w:val="0"/>
          <w:marBottom w:val="0"/>
          <w:divBdr>
            <w:top w:val="none" w:sz="0" w:space="0" w:color="auto"/>
            <w:left w:val="none" w:sz="0" w:space="0" w:color="auto"/>
            <w:bottom w:val="none" w:sz="0" w:space="0" w:color="auto"/>
            <w:right w:val="none" w:sz="0" w:space="0" w:color="auto"/>
          </w:divBdr>
        </w:div>
        <w:div w:id="238492017">
          <w:marLeft w:val="0"/>
          <w:marRight w:val="0"/>
          <w:marTop w:val="0"/>
          <w:marBottom w:val="0"/>
          <w:divBdr>
            <w:top w:val="none" w:sz="0" w:space="0" w:color="auto"/>
            <w:left w:val="none" w:sz="0" w:space="0" w:color="auto"/>
            <w:bottom w:val="none" w:sz="0" w:space="0" w:color="auto"/>
            <w:right w:val="none" w:sz="0" w:space="0" w:color="auto"/>
          </w:divBdr>
        </w:div>
        <w:div w:id="369304759">
          <w:marLeft w:val="0"/>
          <w:marRight w:val="0"/>
          <w:marTop w:val="0"/>
          <w:marBottom w:val="0"/>
          <w:divBdr>
            <w:top w:val="none" w:sz="0" w:space="0" w:color="auto"/>
            <w:left w:val="none" w:sz="0" w:space="0" w:color="auto"/>
            <w:bottom w:val="none" w:sz="0" w:space="0" w:color="auto"/>
            <w:right w:val="none" w:sz="0" w:space="0" w:color="auto"/>
          </w:divBdr>
        </w:div>
        <w:div w:id="637800967">
          <w:marLeft w:val="0"/>
          <w:marRight w:val="0"/>
          <w:marTop w:val="0"/>
          <w:marBottom w:val="0"/>
          <w:divBdr>
            <w:top w:val="none" w:sz="0" w:space="0" w:color="auto"/>
            <w:left w:val="none" w:sz="0" w:space="0" w:color="auto"/>
            <w:bottom w:val="none" w:sz="0" w:space="0" w:color="auto"/>
            <w:right w:val="none" w:sz="0" w:space="0" w:color="auto"/>
          </w:divBdr>
        </w:div>
        <w:div w:id="489713511">
          <w:marLeft w:val="0"/>
          <w:marRight w:val="0"/>
          <w:marTop w:val="0"/>
          <w:marBottom w:val="0"/>
          <w:divBdr>
            <w:top w:val="none" w:sz="0" w:space="0" w:color="auto"/>
            <w:left w:val="none" w:sz="0" w:space="0" w:color="auto"/>
            <w:bottom w:val="none" w:sz="0" w:space="0" w:color="auto"/>
            <w:right w:val="none" w:sz="0" w:space="0" w:color="auto"/>
          </w:divBdr>
        </w:div>
        <w:div w:id="1517578383">
          <w:marLeft w:val="0"/>
          <w:marRight w:val="0"/>
          <w:marTop w:val="0"/>
          <w:marBottom w:val="0"/>
          <w:divBdr>
            <w:top w:val="none" w:sz="0" w:space="0" w:color="auto"/>
            <w:left w:val="none" w:sz="0" w:space="0" w:color="auto"/>
            <w:bottom w:val="none" w:sz="0" w:space="0" w:color="auto"/>
            <w:right w:val="none" w:sz="0" w:space="0" w:color="auto"/>
          </w:divBdr>
        </w:div>
        <w:div w:id="1439907411">
          <w:marLeft w:val="0"/>
          <w:marRight w:val="0"/>
          <w:marTop w:val="0"/>
          <w:marBottom w:val="0"/>
          <w:divBdr>
            <w:top w:val="none" w:sz="0" w:space="0" w:color="auto"/>
            <w:left w:val="none" w:sz="0" w:space="0" w:color="auto"/>
            <w:bottom w:val="none" w:sz="0" w:space="0" w:color="auto"/>
            <w:right w:val="none" w:sz="0" w:space="0" w:color="auto"/>
          </w:divBdr>
        </w:div>
        <w:div w:id="2134247512">
          <w:marLeft w:val="0"/>
          <w:marRight w:val="0"/>
          <w:marTop w:val="0"/>
          <w:marBottom w:val="0"/>
          <w:divBdr>
            <w:top w:val="none" w:sz="0" w:space="0" w:color="auto"/>
            <w:left w:val="none" w:sz="0" w:space="0" w:color="auto"/>
            <w:bottom w:val="none" w:sz="0" w:space="0" w:color="auto"/>
            <w:right w:val="none" w:sz="0" w:space="0" w:color="auto"/>
          </w:divBdr>
        </w:div>
        <w:div w:id="304047952">
          <w:marLeft w:val="0"/>
          <w:marRight w:val="0"/>
          <w:marTop w:val="0"/>
          <w:marBottom w:val="0"/>
          <w:divBdr>
            <w:top w:val="none" w:sz="0" w:space="0" w:color="auto"/>
            <w:left w:val="none" w:sz="0" w:space="0" w:color="auto"/>
            <w:bottom w:val="none" w:sz="0" w:space="0" w:color="auto"/>
            <w:right w:val="none" w:sz="0" w:space="0" w:color="auto"/>
          </w:divBdr>
        </w:div>
        <w:div w:id="142743899">
          <w:marLeft w:val="0"/>
          <w:marRight w:val="0"/>
          <w:marTop w:val="0"/>
          <w:marBottom w:val="0"/>
          <w:divBdr>
            <w:top w:val="none" w:sz="0" w:space="0" w:color="auto"/>
            <w:left w:val="none" w:sz="0" w:space="0" w:color="auto"/>
            <w:bottom w:val="none" w:sz="0" w:space="0" w:color="auto"/>
            <w:right w:val="none" w:sz="0" w:space="0" w:color="auto"/>
          </w:divBdr>
        </w:div>
        <w:div w:id="1423331299">
          <w:marLeft w:val="0"/>
          <w:marRight w:val="0"/>
          <w:marTop w:val="0"/>
          <w:marBottom w:val="0"/>
          <w:divBdr>
            <w:top w:val="none" w:sz="0" w:space="0" w:color="auto"/>
            <w:left w:val="none" w:sz="0" w:space="0" w:color="auto"/>
            <w:bottom w:val="none" w:sz="0" w:space="0" w:color="auto"/>
            <w:right w:val="none" w:sz="0" w:space="0" w:color="auto"/>
          </w:divBdr>
        </w:div>
        <w:div w:id="1592884122">
          <w:marLeft w:val="0"/>
          <w:marRight w:val="0"/>
          <w:marTop w:val="0"/>
          <w:marBottom w:val="0"/>
          <w:divBdr>
            <w:top w:val="none" w:sz="0" w:space="0" w:color="auto"/>
            <w:left w:val="none" w:sz="0" w:space="0" w:color="auto"/>
            <w:bottom w:val="none" w:sz="0" w:space="0" w:color="auto"/>
            <w:right w:val="none" w:sz="0" w:space="0" w:color="auto"/>
          </w:divBdr>
        </w:div>
        <w:div w:id="2006199297">
          <w:marLeft w:val="0"/>
          <w:marRight w:val="0"/>
          <w:marTop w:val="0"/>
          <w:marBottom w:val="0"/>
          <w:divBdr>
            <w:top w:val="none" w:sz="0" w:space="0" w:color="auto"/>
            <w:left w:val="none" w:sz="0" w:space="0" w:color="auto"/>
            <w:bottom w:val="none" w:sz="0" w:space="0" w:color="auto"/>
            <w:right w:val="none" w:sz="0" w:space="0" w:color="auto"/>
          </w:divBdr>
        </w:div>
        <w:div w:id="877011519">
          <w:marLeft w:val="0"/>
          <w:marRight w:val="0"/>
          <w:marTop w:val="0"/>
          <w:marBottom w:val="0"/>
          <w:divBdr>
            <w:top w:val="none" w:sz="0" w:space="0" w:color="auto"/>
            <w:left w:val="none" w:sz="0" w:space="0" w:color="auto"/>
            <w:bottom w:val="none" w:sz="0" w:space="0" w:color="auto"/>
            <w:right w:val="none" w:sz="0" w:space="0" w:color="auto"/>
          </w:divBdr>
        </w:div>
        <w:div w:id="1866404992">
          <w:marLeft w:val="0"/>
          <w:marRight w:val="0"/>
          <w:marTop w:val="0"/>
          <w:marBottom w:val="0"/>
          <w:divBdr>
            <w:top w:val="none" w:sz="0" w:space="0" w:color="auto"/>
            <w:left w:val="none" w:sz="0" w:space="0" w:color="auto"/>
            <w:bottom w:val="none" w:sz="0" w:space="0" w:color="auto"/>
            <w:right w:val="none" w:sz="0" w:space="0" w:color="auto"/>
          </w:divBdr>
        </w:div>
        <w:div w:id="1992638076">
          <w:marLeft w:val="0"/>
          <w:marRight w:val="0"/>
          <w:marTop w:val="0"/>
          <w:marBottom w:val="0"/>
          <w:divBdr>
            <w:top w:val="none" w:sz="0" w:space="0" w:color="auto"/>
            <w:left w:val="none" w:sz="0" w:space="0" w:color="auto"/>
            <w:bottom w:val="none" w:sz="0" w:space="0" w:color="auto"/>
            <w:right w:val="none" w:sz="0" w:space="0" w:color="auto"/>
          </w:divBdr>
        </w:div>
        <w:div w:id="742947429">
          <w:marLeft w:val="0"/>
          <w:marRight w:val="0"/>
          <w:marTop w:val="0"/>
          <w:marBottom w:val="0"/>
          <w:divBdr>
            <w:top w:val="none" w:sz="0" w:space="0" w:color="auto"/>
            <w:left w:val="none" w:sz="0" w:space="0" w:color="auto"/>
            <w:bottom w:val="none" w:sz="0" w:space="0" w:color="auto"/>
            <w:right w:val="none" w:sz="0" w:space="0" w:color="auto"/>
          </w:divBdr>
        </w:div>
        <w:div w:id="525292593">
          <w:marLeft w:val="0"/>
          <w:marRight w:val="0"/>
          <w:marTop w:val="0"/>
          <w:marBottom w:val="0"/>
          <w:divBdr>
            <w:top w:val="none" w:sz="0" w:space="0" w:color="auto"/>
            <w:left w:val="none" w:sz="0" w:space="0" w:color="auto"/>
            <w:bottom w:val="none" w:sz="0" w:space="0" w:color="auto"/>
            <w:right w:val="none" w:sz="0" w:space="0" w:color="auto"/>
          </w:divBdr>
        </w:div>
        <w:div w:id="76439218">
          <w:marLeft w:val="0"/>
          <w:marRight w:val="0"/>
          <w:marTop w:val="0"/>
          <w:marBottom w:val="0"/>
          <w:divBdr>
            <w:top w:val="none" w:sz="0" w:space="0" w:color="auto"/>
            <w:left w:val="none" w:sz="0" w:space="0" w:color="auto"/>
            <w:bottom w:val="none" w:sz="0" w:space="0" w:color="auto"/>
            <w:right w:val="none" w:sz="0" w:space="0" w:color="auto"/>
          </w:divBdr>
        </w:div>
        <w:div w:id="1733624590">
          <w:marLeft w:val="0"/>
          <w:marRight w:val="0"/>
          <w:marTop w:val="0"/>
          <w:marBottom w:val="0"/>
          <w:divBdr>
            <w:top w:val="none" w:sz="0" w:space="0" w:color="auto"/>
            <w:left w:val="none" w:sz="0" w:space="0" w:color="auto"/>
            <w:bottom w:val="none" w:sz="0" w:space="0" w:color="auto"/>
            <w:right w:val="none" w:sz="0" w:space="0" w:color="auto"/>
          </w:divBdr>
        </w:div>
        <w:div w:id="700202166">
          <w:marLeft w:val="0"/>
          <w:marRight w:val="0"/>
          <w:marTop w:val="0"/>
          <w:marBottom w:val="0"/>
          <w:divBdr>
            <w:top w:val="none" w:sz="0" w:space="0" w:color="auto"/>
            <w:left w:val="none" w:sz="0" w:space="0" w:color="auto"/>
            <w:bottom w:val="none" w:sz="0" w:space="0" w:color="auto"/>
            <w:right w:val="none" w:sz="0" w:space="0" w:color="auto"/>
          </w:divBdr>
        </w:div>
        <w:div w:id="588930142">
          <w:marLeft w:val="0"/>
          <w:marRight w:val="0"/>
          <w:marTop w:val="0"/>
          <w:marBottom w:val="0"/>
          <w:divBdr>
            <w:top w:val="none" w:sz="0" w:space="0" w:color="auto"/>
            <w:left w:val="none" w:sz="0" w:space="0" w:color="auto"/>
            <w:bottom w:val="none" w:sz="0" w:space="0" w:color="auto"/>
            <w:right w:val="none" w:sz="0" w:space="0" w:color="auto"/>
          </w:divBdr>
        </w:div>
        <w:div w:id="550309041">
          <w:marLeft w:val="0"/>
          <w:marRight w:val="0"/>
          <w:marTop w:val="0"/>
          <w:marBottom w:val="0"/>
          <w:divBdr>
            <w:top w:val="none" w:sz="0" w:space="0" w:color="auto"/>
            <w:left w:val="none" w:sz="0" w:space="0" w:color="auto"/>
            <w:bottom w:val="none" w:sz="0" w:space="0" w:color="auto"/>
            <w:right w:val="none" w:sz="0" w:space="0" w:color="auto"/>
          </w:divBdr>
        </w:div>
        <w:div w:id="1532109093">
          <w:marLeft w:val="0"/>
          <w:marRight w:val="0"/>
          <w:marTop w:val="0"/>
          <w:marBottom w:val="0"/>
          <w:divBdr>
            <w:top w:val="none" w:sz="0" w:space="0" w:color="auto"/>
            <w:left w:val="none" w:sz="0" w:space="0" w:color="auto"/>
            <w:bottom w:val="none" w:sz="0" w:space="0" w:color="auto"/>
            <w:right w:val="none" w:sz="0" w:space="0" w:color="auto"/>
          </w:divBdr>
        </w:div>
        <w:div w:id="721440613">
          <w:marLeft w:val="0"/>
          <w:marRight w:val="0"/>
          <w:marTop w:val="0"/>
          <w:marBottom w:val="0"/>
          <w:divBdr>
            <w:top w:val="none" w:sz="0" w:space="0" w:color="auto"/>
            <w:left w:val="none" w:sz="0" w:space="0" w:color="auto"/>
            <w:bottom w:val="none" w:sz="0" w:space="0" w:color="auto"/>
            <w:right w:val="none" w:sz="0" w:space="0" w:color="auto"/>
          </w:divBdr>
        </w:div>
        <w:div w:id="1756050331">
          <w:marLeft w:val="0"/>
          <w:marRight w:val="0"/>
          <w:marTop w:val="0"/>
          <w:marBottom w:val="0"/>
          <w:divBdr>
            <w:top w:val="none" w:sz="0" w:space="0" w:color="auto"/>
            <w:left w:val="none" w:sz="0" w:space="0" w:color="auto"/>
            <w:bottom w:val="none" w:sz="0" w:space="0" w:color="auto"/>
            <w:right w:val="none" w:sz="0" w:space="0" w:color="auto"/>
          </w:divBdr>
        </w:div>
        <w:div w:id="1752892575">
          <w:marLeft w:val="0"/>
          <w:marRight w:val="0"/>
          <w:marTop w:val="0"/>
          <w:marBottom w:val="0"/>
          <w:divBdr>
            <w:top w:val="none" w:sz="0" w:space="0" w:color="auto"/>
            <w:left w:val="none" w:sz="0" w:space="0" w:color="auto"/>
            <w:bottom w:val="none" w:sz="0" w:space="0" w:color="auto"/>
            <w:right w:val="none" w:sz="0" w:space="0" w:color="auto"/>
          </w:divBdr>
        </w:div>
        <w:div w:id="1374579296">
          <w:marLeft w:val="0"/>
          <w:marRight w:val="0"/>
          <w:marTop w:val="0"/>
          <w:marBottom w:val="0"/>
          <w:divBdr>
            <w:top w:val="none" w:sz="0" w:space="0" w:color="auto"/>
            <w:left w:val="none" w:sz="0" w:space="0" w:color="auto"/>
            <w:bottom w:val="none" w:sz="0" w:space="0" w:color="auto"/>
            <w:right w:val="none" w:sz="0" w:space="0" w:color="auto"/>
          </w:divBdr>
        </w:div>
        <w:div w:id="385684942">
          <w:marLeft w:val="0"/>
          <w:marRight w:val="0"/>
          <w:marTop w:val="0"/>
          <w:marBottom w:val="0"/>
          <w:divBdr>
            <w:top w:val="none" w:sz="0" w:space="0" w:color="auto"/>
            <w:left w:val="none" w:sz="0" w:space="0" w:color="auto"/>
            <w:bottom w:val="none" w:sz="0" w:space="0" w:color="auto"/>
            <w:right w:val="none" w:sz="0" w:space="0" w:color="auto"/>
          </w:divBdr>
        </w:div>
        <w:div w:id="443810949">
          <w:marLeft w:val="0"/>
          <w:marRight w:val="0"/>
          <w:marTop w:val="0"/>
          <w:marBottom w:val="0"/>
          <w:divBdr>
            <w:top w:val="none" w:sz="0" w:space="0" w:color="auto"/>
            <w:left w:val="none" w:sz="0" w:space="0" w:color="auto"/>
            <w:bottom w:val="none" w:sz="0" w:space="0" w:color="auto"/>
            <w:right w:val="none" w:sz="0" w:space="0" w:color="auto"/>
          </w:divBdr>
        </w:div>
        <w:div w:id="1774281533">
          <w:marLeft w:val="0"/>
          <w:marRight w:val="0"/>
          <w:marTop w:val="0"/>
          <w:marBottom w:val="0"/>
          <w:divBdr>
            <w:top w:val="none" w:sz="0" w:space="0" w:color="auto"/>
            <w:left w:val="none" w:sz="0" w:space="0" w:color="auto"/>
            <w:bottom w:val="none" w:sz="0" w:space="0" w:color="auto"/>
            <w:right w:val="none" w:sz="0" w:space="0" w:color="auto"/>
          </w:divBdr>
        </w:div>
        <w:div w:id="1139568376">
          <w:marLeft w:val="0"/>
          <w:marRight w:val="0"/>
          <w:marTop w:val="0"/>
          <w:marBottom w:val="0"/>
          <w:divBdr>
            <w:top w:val="none" w:sz="0" w:space="0" w:color="auto"/>
            <w:left w:val="none" w:sz="0" w:space="0" w:color="auto"/>
            <w:bottom w:val="none" w:sz="0" w:space="0" w:color="auto"/>
            <w:right w:val="none" w:sz="0" w:space="0" w:color="auto"/>
          </w:divBdr>
        </w:div>
        <w:div w:id="1453208023">
          <w:marLeft w:val="0"/>
          <w:marRight w:val="0"/>
          <w:marTop w:val="0"/>
          <w:marBottom w:val="0"/>
          <w:divBdr>
            <w:top w:val="none" w:sz="0" w:space="0" w:color="auto"/>
            <w:left w:val="none" w:sz="0" w:space="0" w:color="auto"/>
            <w:bottom w:val="none" w:sz="0" w:space="0" w:color="auto"/>
            <w:right w:val="none" w:sz="0" w:space="0" w:color="auto"/>
          </w:divBdr>
        </w:div>
        <w:div w:id="691301258">
          <w:marLeft w:val="0"/>
          <w:marRight w:val="0"/>
          <w:marTop w:val="0"/>
          <w:marBottom w:val="0"/>
          <w:divBdr>
            <w:top w:val="none" w:sz="0" w:space="0" w:color="auto"/>
            <w:left w:val="none" w:sz="0" w:space="0" w:color="auto"/>
            <w:bottom w:val="none" w:sz="0" w:space="0" w:color="auto"/>
            <w:right w:val="none" w:sz="0" w:space="0" w:color="auto"/>
          </w:divBdr>
        </w:div>
        <w:div w:id="909735330">
          <w:marLeft w:val="0"/>
          <w:marRight w:val="0"/>
          <w:marTop w:val="0"/>
          <w:marBottom w:val="0"/>
          <w:divBdr>
            <w:top w:val="none" w:sz="0" w:space="0" w:color="auto"/>
            <w:left w:val="none" w:sz="0" w:space="0" w:color="auto"/>
            <w:bottom w:val="none" w:sz="0" w:space="0" w:color="auto"/>
            <w:right w:val="none" w:sz="0" w:space="0" w:color="auto"/>
          </w:divBdr>
        </w:div>
        <w:div w:id="1991789979">
          <w:marLeft w:val="0"/>
          <w:marRight w:val="0"/>
          <w:marTop w:val="0"/>
          <w:marBottom w:val="0"/>
          <w:divBdr>
            <w:top w:val="none" w:sz="0" w:space="0" w:color="auto"/>
            <w:left w:val="none" w:sz="0" w:space="0" w:color="auto"/>
            <w:bottom w:val="none" w:sz="0" w:space="0" w:color="auto"/>
            <w:right w:val="none" w:sz="0" w:space="0" w:color="auto"/>
          </w:divBdr>
        </w:div>
        <w:div w:id="1190952092">
          <w:marLeft w:val="0"/>
          <w:marRight w:val="0"/>
          <w:marTop w:val="0"/>
          <w:marBottom w:val="0"/>
          <w:divBdr>
            <w:top w:val="none" w:sz="0" w:space="0" w:color="auto"/>
            <w:left w:val="none" w:sz="0" w:space="0" w:color="auto"/>
            <w:bottom w:val="none" w:sz="0" w:space="0" w:color="auto"/>
            <w:right w:val="none" w:sz="0" w:space="0" w:color="auto"/>
          </w:divBdr>
        </w:div>
        <w:div w:id="536235073">
          <w:marLeft w:val="0"/>
          <w:marRight w:val="0"/>
          <w:marTop w:val="0"/>
          <w:marBottom w:val="0"/>
          <w:divBdr>
            <w:top w:val="none" w:sz="0" w:space="0" w:color="auto"/>
            <w:left w:val="none" w:sz="0" w:space="0" w:color="auto"/>
            <w:bottom w:val="none" w:sz="0" w:space="0" w:color="auto"/>
            <w:right w:val="none" w:sz="0" w:space="0" w:color="auto"/>
          </w:divBdr>
        </w:div>
        <w:div w:id="5912148">
          <w:marLeft w:val="0"/>
          <w:marRight w:val="0"/>
          <w:marTop w:val="0"/>
          <w:marBottom w:val="0"/>
          <w:divBdr>
            <w:top w:val="none" w:sz="0" w:space="0" w:color="auto"/>
            <w:left w:val="none" w:sz="0" w:space="0" w:color="auto"/>
            <w:bottom w:val="none" w:sz="0" w:space="0" w:color="auto"/>
            <w:right w:val="none" w:sz="0" w:space="0" w:color="auto"/>
          </w:divBdr>
        </w:div>
        <w:div w:id="970599439">
          <w:marLeft w:val="0"/>
          <w:marRight w:val="0"/>
          <w:marTop w:val="0"/>
          <w:marBottom w:val="0"/>
          <w:divBdr>
            <w:top w:val="none" w:sz="0" w:space="0" w:color="auto"/>
            <w:left w:val="none" w:sz="0" w:space="0" w:color="auto"/>
            <w:bottom w:val="none" w:sz="0" w:space="0" w:color="auto"/>
            <w:right w:val="none" w:sz="0" w:space="0" w:color="auto"/>
          </w:divBdr>
        </w:div>
        <w:div w:id="1068917964">
          <w:marLeft w:val="0"/>
          <w:marRight w:val="0"/>
          <w:marTop w:val="0"/>
          <w:marBottom w:val="0"/>
          <w:divBdr>
            <w:top w:val="none" w:sz="0" w:space="0" w:color="auto"/>
            <w:left w:val="none" w:sz="0" w:space="0" w:color="auto"/>
            <w:bottom w:val="none" w:sz="0" w:space="0" w:color="auto"/>
            <w:right w:val="none" w:sz="0" w:space="0" w:color="auto"/>
          </w:divBdr>
        </w:div>
        <w:div w:id="326131686">
          <w:marLeft w:val="0"/>
          <w:marRight w:val="0"/>
          <w:marTop w:val="0"/>
          <w:marBottom w:val="0"/>
          <w:divBdr>
            <w:top w:val="none" w:sz="0" w:space="0" w:color="auto"/>
            <w:left w:val="none" w:sz="0" w:space="0" w:color="auto"/>
            <w:bottom w:val="none" w:sz="0" w:space="0" w:color="auto"/>
            <w:right w:val="none" w:sz="0" w:space="0" w:color="auto"/>
          </w:divBdr>
        </w:div>
        <w:div w:id="590090693">
          <w:marLeft w:val="0"/>
          <w:marRight w:val="0"/>
          <w:marTop w:val="0"/>
          <w:marBottom w:val="0"/>
          <w:divBdr>
            <w:top w:val="none" w:sz="0" w:space="0" w:color="auto"/>
            <w:left w:val="none" w:sz="0" w:space="0" w:color="auto"/>
            <w:bottom w:val="none" w:sz="0" w:space="0" w:color="auto"/>
            <w:right w:val="none" w:sz="0" w:space="0" w:color="auto"/>
          </w:divBdr>
        </w:div>
        <w:div w:id="1185359566">
          <w:marLeft w:val="0"/>
          <w:marRight w:val="0"/>
          <w:marTop w:val="0"/>
          <w:marBottom w:val="0"/>
          <w:divBdr>
            <w:top w:val="none" w:sz="0" w:space="0" w:color="auto"/>
            <w:left w:val="none" w:sz="0" w:space="0" w:color="auto"/>
            <w:bottom w:val="none" w:sz="0" w:space="0" w:color="auto"/>
            <w:right w:val="none" w:sz="0" w:space="0" w:color="auto"/>
          </w:divBdr>
        </w:div>
        <w:div w:id="1301807264">
          <w:marLeft w:val="0"/>
          <w:marRight w:val="0"/>
          <w:marTop w:val="0"/>
          <w:marBottom w:val="0"/>
          <w:divBdr>
            <w:top w:val="none" w:sz="0" w:space="0" w:color="auto"/>
            <w:left w:val="none" w:sz="0" w:space="0" w:color="auto"/>
            <w:bottom w:val="none" w:sz="0" w:space="0" w:color="auto"/>
            <w:right w:val="none" w:sz="0" w:space="0" w:color="auto"/>
          </w:divBdr>
        </w:div>
        <w:div w:id="1941600323">
          <w:marLeft w:val="0"/>
          <w:marRight w:val="0"/>
          <w:marTop w:val="0"/>
          <w:marBottom w:val="0"/>
          <w:divBdr>
            <w:top w:val="none" w:sz="0" w:space="0" w:color="auto"/>
            <w:left w:val="none" w:sz="0" w:space="0" w:color="auto"/>
            <w:bottom w:val="none" w:sz="0" w:space="0" w:color="auto"/>
            <w:right w:val="none" w:sz="0" w:space="0" w:color="auto"/>
          </w:divBdr>
        </w:div>
        <w:div w:id="1337152850">
          <w:marLeft w:val="0"/>
          <w:marRight w:val="0"/>
          <w:marTop w:val="0"/>
          <w:marBottom w:val="0"/>
          <w:divBdr>
            <w:top w:val="none" w:sz="0" w:space="0" w:color="auto"/>
            <w:left w:val="none" w:sz="0" w:space="0" w:color="auto"/>
            <w:bottom w:val="none" w:sz="0" w:space="0" w:color="auto"/>
            <w:right w:val="none" w:sz="0" w:space="0" w:color="auto"/>
          </w:divBdr>
        </w:div>
        <w:div w:id="1508053317">
          <w:marLeft w:val="0"/>
          <w:marRight w:val="0"/>
          <w:marTop w:val="0"/>
          <w:marBottom w:val="0"/>
          <w:divBdr>
            <w:top w:val="none" w:sz="0" w:space="0" w:color="auto"/>
            <w:left w:val="none" w:sz="0" w:space="0" w:color="auto"/>
            <w:bottom w:val="none" w:sz="0" w:space="0" w:color="auto"/>
            <w:right w:val="none" w:sz="0" w:space="0" w:color="auto"/>
          </w:divBdr>
        </w:div>
        <w:div w:id="287974439">
          <w:marLeft w:val="0"/>
          <w:marRight w:val="0"/>
          <w:marTop w:val="0"/>
          <w:marBottom w:val="0"/>
          <w:divBdr>
            <w:top w:val="none" w:sz="0" w:space="0" w:color="auto"/>
            <w:left w:val="none" w:sz="0" w:space="0" w:color="auto"/>
            <w:bottom w:val="none" w:sz="0" w:space="0" w:color="auto"/>
            <w:right w:val="none" w:sz="0" w:space="0" w:color="auto"/>
          </w:divBdr>
        </w:div>
        <w:div w:id="111705010">
          <w:marLeft w:val="0"/>
          <w:marRight w:val="0"/>
          <w:marTop w:val="0"/>
          <w:marBottom w:val="0"/>
          <w:divBdr>
            <w:top w:val="none" w:sz="0" w:space="0" w:color="auto"/>
            <w:left w:val="none" w:sz="0" w:space="0" w:color="auto"/>
            <w:bottom w:val="none" w:sz="0" w:space="0" w:color="auto"/>
            <w:right w:val="none" w:sz="0" w:space="0" w:color="auto"/>
          </w:divBdr>
        </w:div>
        <w:div w:id="1844400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6/510216" TargetMode="External"/><Relationship Id="rId13" Type="http://schemas.openxmlformats.org/officeDocument/2006/relationships/hyperlink" Target="https://doi.org/10.1016/S0140-6736(12)60899-X" TargetMode="External"/><Relationship Id="rId18" Type="http://schemas.openxmlformats.org/officeDocument/2006/relationships/hyperlink" Target="https://doi.org/10.1177/0002764202046009006" TargetMode="External"/><Relationship Id="rId3" Type="http://schemas.openxmlformats.org/officeDocument/2006/relationships/webSettings" Target="webSettings.xml"/><Relationship Id="rId21" Type="http://schemas.openxmlformats.org/officeDocument/2006/relationships/hyperlink" Target="https://doi.org/10.1016/j.det.2008.11.010" TargetMode="External"/><Relationship Id="rId7" Type="http://schemas.openxmlformats.org/officeDocument/2006/relationships/hyperlink" Target="https://www.eltonjohnaidsfoundation.org/news/sir-elton-john-joins-forces-with-donatella-versace-and-other-notable-philanthropists-to-announce-125-million-rocket-fund-to-end-aids-for-all/" TargetMode="External"/><Relationship Id="rId12" Type="http://schemas.openxmlformats.org/officeDocument/2006/relationships/hyperlink" Target="https://doi.org/10.1016/S0140-6736(05)71146-6" TargetMode="External"/><Relationship Id="rId17" Type="http://schemas.openxmlformats.org/officeDocument/2006/relationships/hyperlink" Target="https://doi.org/10.1016/S0277-9536(02)00304-0" TargetMode="External"/><Relationship Id="rId2" Type="http://schemas.openxmlformats.org/officeDocument/2006/relationships/settings" Target="settings.xml"/><Relationship Id="rId16" Type="http://schemas.openxmlformats.org/officeDocument/2006/relationships/hyperlink" Target="https://doi.org/10.1177/1559827610387255" TargetMode="External"/><Relationship Id="rId20" Type="http://schemas.openxmlformats.org/officeDocument/2006/relationships/hyperlink" Target="https://www.unaids.org/en/resources/fact-sheet" TargetMode="External"/><Relationship Id="rId1" Type="http://schemas.openxmlformats.org/officeDocument/2006/relationships/styles" Target="styles.xml"/><Relationship Id="rId6" Type="http://schemas.openxmlformats.org/officeDocument/2006/relationships/hyperlink" Target="https://doi.org/10.1080/09540121.2010.525812" TargetMode="External"/><Relationship Id="rId11" Type="http://schemas.openxmlformats.org/officeDocument/2006/relationships/hyperlink" Target="https://doi.org/10.1037/0022-3514.79.5.701" TargetMode="External"/><Relationship Id="rId5" Type="http://schemas.openxmlformats.org/officeDocument/2006/relationships/hyperlink" Target="https://doi.org/10.1111/j.1745-6916.2007.00051.x" TargetMode="External"/><Relationship Id="rId15" Type="http://schemas.openxmlformats.org/officeDocument/2006/relationships/hyperlink" Target="https://doi.org/10.1080/10810730500461059" TargetMode="External"/><Relationship Id="rId23" Type="http://schemas.openxmlformats.org/officeDocument/2006/relationships/theme" Target="theme/theme1.xml"/><Relationship Id="rId10" Type="http://schemas.openxmlformats.org/officeDocument/2006/relationships/hyperlink" Target="https://doi.org/10.1146/annurev.publhealth.012809.103604" TargetMode="External"/><Relationship Id="rId19" Type="http://schemas.openxmlformats.org/officeDocument/2006/relationships/hyperlink" Target="https://www.tht.org.uk/news/time-ticking-end-new-hiv-cases-uk" TargetMode="External"/><Relationship Id="rId4" Type="http://schemas.openxmlformats.org/officeDocument/2006/relationships/hyperlink" Target="https://doi.org/10.1080/13691058.2014.905706" TargetMode="External"/><Relationship Id="rId9" Type="http://schemas.openxmlformats.org/officeDocument/2006/relationships/hyperlink" Target="https://doi.org/10.1111/j.1468-2885.2003.tb00287.x" TargetMode="External"/><Relationship Id="rId14" Type="http://schemas.openxmlformats.org/officeDocument/2006/relationships/hyperlink" Target="https://doi.org/10.1093/her/cyg113"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1534</Words>
  <Characters>9925</Characters>
  <Application>Microsoft Office Word</Application>
  <DocSecurity>0</DocSecurity>
  <Lines>179</Lines>
  <Paragraphs>35</Paragraphs>
  <ScaleCrop>false</ScaleCrop>
  <Company/>
  <LinksUpToDate>false</LinksUpToDate>
  <CharactersWithSpaces>11487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Cylch Meithrin Pum Heol</dc:creator>
  <cp:keywords/>
  <dc:description/>
  <cp:lastModifiedBy>Steffan Jones</cp:lastModifiedBy>
  <cp:revision>2</cp:revision>
  <dcterms:created xsi:type="dcterms:W3CDTF">2024-07-22T23:25:00Z</dcterms:created>
  <dcterms:modified xsi:type="dcterms:W3CDTF">2024-07-22T23:25:00Z</dcterms:modified>
</cp:coreProperties>
</file>