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0E8D7" w14:textId="77777777" w:rsidR="00801098" w:rsidRDefault="00801098" w:rsidP="00801098">
      <w:pPr>
        <w:jc w:val="center"/>
        <w:rPr>
          <w:rFonts w:asciiTheme="majorBidi" w:hAnsiTheme="majorBidi" w:cstheme="majorBidi"/>
          <w:b/>
          <w:sz w:val="32"/>
          <w:szCs w:val="32"/>
        </w:rPr>
      </w:pPr>
    </w:p>
    <w:p w14:paraId="41513588" w14:textId="77777777" w:rsidR="00801098" w:rsidRDefault="00801098" w:rsidP="00801098">
      <w:pPr>
        <w:jc w:val="center"/>
        <w:rPr>
          <w:rFonts w:asciiTheme="majorBidi" w:hAnsiTheme="majorBidi" w:cstheme="majorBidi"/>
          <w:b/>
          <w:sz w:val="32"/>
          <w:szCs w:val="32"/>
        </w:rPr>
      </w:pPr>
    </w:p>
    <w:p w14:paraId="637F6970" w14:textId="77777777" w:rsidR="00801098" w:rsidRDefault="00801098" w:rsidP="00801098">
      <w:pPr>
        <w:jc w:val="center"/>
        <w:rPr>
          <w:rFonts w:asciiTheme="majorBidi" w:hAnsiTheme="majorBidi" w:cstheme="majorBidi"/>
          <w:b/>
          <w:sz w:val="32"/>
          <w:szCs w:val="32"/>
        </w:rPr>
      </w:pPr>
    </w:p>
    <w:p w14:paraId="29FCCF05" w14:textId="77777777" w:rsidR="00801098" w:rsidRDefault="00801098" w:rsidP="00801098">
      <w:pPr>
        <w:jc w:val="center"/>
        <w:rPr>
          <w:rFonts w:asciiTheme="majorBidi" w:hAnsiTheme="majorBidi" w:cstheme="majorBidi"/>
          <w:b/>
          <w:sz w:val="32"/>
          <w:szCs w:val="32"/>
        </w:rPr>
      </w:pPr>
    </w:p>
    <w:p w14:paraId="629ECAC8" w14:textId="77777777" w:rsidR="00801098" w:rsidRDefault="00801098" w:rsidP="00801098">
      <w:pPr>
        <w:jc w:val="center"/>
        <w:rPr>
          <w:rFonts w:asciiTheme="majorBidi" w:hAnsiTheme="majorBidi" w:cstheme="majorBidi"/>
          <w:b/>
          <w:sz w:val="32"/>
          <w:szCs w:val="32"/>
        </w:rPr>
      </w:pPr>
    </w:p>
    <w:p w14:paraId="57FB76D7" w14:textId="77777777" w:rsidR="000165CE" w:rsidRDefault="000165CE" w:rsidP="000165CE">
      <w:pPr>
        <w:jc w:val="center"/>
        <w:rPr>
          <w:b/>
          <w:sz w:val="32"/>
          <w:szCs w:val="32"/>
        </w:rPr>
      </w:pPr>
      <w:r>
        <w:rPr>
          <w:b/>
          <w:sz w:val="32"/>
          <w:szCs w:val="32"/>
        </w:rPr>
        <w:t>Programme: BA Business Management</w:t>
      </w:r>
    </w:p>
    <w:p w14:paraId="650AF8EF" w14:textId="77777777" w:rsidR="000165CE" w:rsidRDefault="000165CE" w:rsidP="000165CE">
      <w:pPr>
        <w:jc w:val="center"/>
        <w:rPr>
          <w:b/>
          <w:sz w:val="32"/>
          <w:szCs w:val="32"/>
        </w:rPr>
      </w:pPr>
      <w:r>
        <w:rPr>
          <w:b/>
          <w:sz w:val="32"/>
          <w:szCs w:val="32"/>
        </w:rPr>
        <w:t>Module: Managing People</w:t>
      </w:r>
    </w:p>
    <w:p w14:paraId="70FCD910" w14:textId="77777777" w:rsidR="000165CE" w:rsidRDefault="000165CE" w:rsidP="000165CE">
      <w:pPr>
        <w:jc w:val="center"/>
        <w:rPr>
          <w:b/>
          <w:sz w:val="32"/>
          <w:szCs w:val="32"/>
        </w:rPr>
      </w:pPr>
      <w:r>
        <w:rPr>
          <w:b/>
          <w:sz w:val="32"/>
          <w:szCs w:val="32"/>
        </w:rPr>
        <w:t>Module code: LCBB5004</w:t>
      </w:r>
    </w:p>
    <w:p w14:paraId="2F203EC3" w14:textId="77777777" w:rsidR="000165CE" w:rsidRDefault="000165CE" w:rsidP="000165CE">
      <w:pPr>
        <w:jc w:val="center"/>
        <w:rPr>
          <w:b/>
          <w:sz w:val="32"/>
          <w:szCs w:val="32"/>
        </w:rPr>
      </w:pPr>
      <w:r>
        <w:rPr>
          <w:b/>
          <w:sz w:val="32"/>
          <w:szCs w:val="32"/>
        </w:rPr>
        <w:t xml:space="preserve">Lecturer: </w:t>
      </w:r>
      <w:proofErr w:type="spellStart"/>
      <w:r>
        <w:rPr>
          <w:b/>
          <w:sz w:val="32"/>
          <w:szCs w:val="32"/>
        </w:rPr>
        <w:t>Dr.</w:t>
      </w:r>
      <w:proofErr w:type="spellEnd"/>
      <w:r>
        <w:rPr>
          <w:b/>
          <w:sz w:val="32"/>
          <w:szCs w:val="32"/>
        </w:rPr>
        <w:t xml:space="preserve"> Aderemi </w:t>
      </w:r>
      <w:proofErr w:type="spellStart"/>
      <w:r>
        <w:rPr>
          <w:b/>
          <w:sz w:val="32"/>
          <w:szCs w:val="32"/>
        </w:rPr>
        <w:t>Ojebode</w:t>
      </w:r>
      <w:proofErr w:type="spellEnd"/>
    </w:p>
    <w:p w14:paraId="031493BD" w14:textId="77777777" w:rsidR="000165CE" w:rsidRDefault="000165CE" w:rsidP="000165CE">
      <w:pPr>
        <w:jc w:val="center"/>
        <w:rPr>
          <w:b/>
          <w:sz w:val="32"/>
          <w:szCs w:val="32"/>
        </w:rPr>
      </w:pPr>
      <w:r>
        <w:rPr>
          <w:b/>
          <w:sz w:val="32"/>
          <w:szCs w:val="32"/>
        </w:rPr>
        <w:t>Assignment Title: Assessment Component 2 Essay</w:t>
      </w:r>
    </w:p>
    <w:p w14:paraId="4774656B" w14:textId="19D52676" w:rsidR="000165CE" w:rsidRDefault="000165CE" w:rsidP="000165CE">
      <w:pPr>
        <w:jc w:val="center"/>
        <w:rPr>
          <w:b/>
          <w:sz w:val="32"/>
          <w:szCs w:val="32"/>
        </w:rPr>
      </w:pPr>
      <w:r>
        <w:rPr>
          <w:b/>
          <w:sz w:val="32"/>
          <w:szCs w:val="32"/>
        </w:rPr>
        <w:t xml:space="preserve">Student name and number: </w:t>
      </w:r>
      <w:r>
        <w:rPr>
          <w:b/>
          <w:sz w:val="32"/>
          <w:szCs w:val="32"/>
        </w:rPr>
        <w:t>Cristina-Madalina</w:t>
      </w:r>
      <w:r>
        <w:rPr>
          <w:b/>
          <w:sz w:val="32"/>
          <w:szCs w:val="32"/>
        </w:rPr>
        <w:t xml:space="preserve"> Carare – 224644</w:t>
      </w:r>
      <w:r>
        <w:rPr>
          <w:b/>
          <w:sz w:val="32"/>
          <w:szCs w:val="32"/>
        </w:rPr>
        <w:t>1</w:t>
      </w:r>
    </w:p>
    <w:p w14:paraId="69F40A0F" w14:textId="7915E4E7" w:rsidR="00271D99" w:rsidRPr="00801098" w:rsidRDefault="00801098" w:rsidP="000165CE">
      <w:pPr>
        <w:rPr>
          <w:rFonts w:asciiTheme="majorBidi" w:hAnsiTheme="majorBidi" w:cstheme="majorBidi"/>
          <w:b/>
          <w:bCs/>
          <w:sz w:val="32"/>
          <w:szCs w:val="32"/>
        </w:rPr>
      </w:pPr>
      <w:r w:rsidRPr="00801098">
        <w:rPr>
          <w:rFonts w:asciiTheme="majorBidi" w:hAnsiTheme="majorBidi" w:cstheme="majorBidi"/>
          <w:b/>
          <w:sz w:val="32"/>
          <w:szCs w:val="32"/>
        </w:rPr>
        <w:br/>
      </w:r>
      <w:r w:rsidR="00271D99" w:rsidRPr="00801098">
        <w:rPr>
          <w:rFonts w:asciiTheme="majorBidi" w:hAnsiTheme="majorBidi" w:cstheme="majorBidi"/>
          <w:b/>
          <w:bCs/>
          <w:sz w:val="32"/>
          <w:szCs w:val="32"/>
        </w:rPr>
        <w:br w:type="page"/>
      </w:r>
    </w:p>
    <w:sdt>
      <w:sdtPr>
        <w:rPr>
          <w:rFonts w:ascii="Times New Roman" w:eastAsiaTheme="minorHAnsi" w:hAnsi="Times New Roman" w:cs="Times New Roman"/>
          <w:b w:val="0"/>
          <w:bCs w:val="0"/>
          <w:color w:val="auto"/>
          <w:sz w:val="24"/>
          <w:szCs w:val="24"/>
          <w:lang w:val="en-GB"/>
        </w:rPr>
        <w:id w:val="2208678"/>
        <w:docPartObj>
          <w:docPartGallery w:val="Table of Contents"/>
          <w:docPartUnique/>
        </w:docPartObj>
      </w:sdtPr>
      <w:sdtContent>
        <w:p w14:paraId="5232DB35" w14:textId="77777777" w:rsidR="00500C88" w:rsidRPr="005C69AC" w:rsidRDefault="00500C88" w:rsidP="00500C88">
          <w:pPr>
            <w:pStyle w:val="Titlucuprins"/>
            <w:spacing w:line="360" w:lineRule="auto"/>
            <w:jc w:val="center"/>
            <w:rPr>
              <w:rFonts w:ascii="Times New Roman" w:hAnsi="Times New Roman" w:cs="Times New Roman"/>
              <w:sz w:val="24"/>
              <w:szCs w:val="24"/>
              <w:lang w:val="en-GB"/>
            </w:rPr>
          </w:pPr>
          <w:r w:rsidRPr="005C69AC">
            <w:rPr>
              <w:rFonts w:ascii="Times New Roman" w:hAnsi="Times New Roman" w:cs="Times New Roman"/>
              <w:color w:val="000000" w:themeColor="text1"/>
              <w:szCs w:val="24"/>
              <w:lang w:val="en-GB"/>
            </w:rPr>
            <w:t>Table of Contents</w:t>
          </w:r>
        </w:p>
        <w:p w14:paraId="04106077" w14:textId="77777777" w:rsidR="00500C88" w:rsidRPr="005C69AC" w:rsidRDefault="00292A44" w:rsidP="00500C88">
          <w:pPr>
            <w:pStyle w:val="Cuprins1"/>
            <w:tabs>
              <w:tab w:val="right" w:leader="dot" w:pos="9016"/>
            </w:tabs>
            <w:spacing w:line="360" w:lineRule="auto"/>
            <w:jc w:val="both"/>
            <w:rPr>
              <w:rFonts w:ascii="Times New Roman" w:hAnsi="Times New Roman" w:cs="Times New Roman"/>
              <w:noProof/>
              <w:sz w:val="24"/>
              <w:szCs w:val="24"/>
            </w:rPr>
          </w:pPr>
          <w:r w:rsidRPr="005C69AC">
            <w:rPr>
              <w:rFonts w:ascii="Times New Roman" w:hAnsi="Times New Roman" w:cs="Times New Roman"/>
              <w:sz w:val="24"/>
              <w:szCs w:val="24"/>
            </w:rPr>
            <w:fldChar w:fldCharType="begin"/>
          </w:r>
          <w:r w:rsidR="00500C88" w:rsidRPr="005C69AC">
            <w:rPr>
              <w:rFonts w:ascii="Times New Roman" w:hAnsi="Times New Roman" w:cs="Times New Roman"/>
              <w:sz w:val="24"/>
              <w:szCs w:val="24"/>
            </w:rPr>
            <w:instrText xml:space="preserve"> TOC \o "1-3" \h \z \u </w:instrText>
          </w:r>
          <w:r w:rsidRPr="005C69AC">
            <w:rPr>
              <w:rFonts w:ascii="Times New Roman" w:hAnsi="Times New Roman" w:cs="Times New Roman"/>
              <w:sz w:val="24"/>
              <w:szCs w:val="24"/>
            </w:rPr>
            <w:fldChar w:fldCharType="separate"/>
          </w:r>
          <w:hyperlink w:anchor="_Toc171802770" w:history="1">
            <w:r w:rsidR="00500C88" w:rsidRPr="005C69AC">
              <w:rPr>
                <w:rStyle w:val="Hyperlink"/>
                <w:rFonts w:ascii="Times New Roman" w:hAnsi="Times New Roman" w:cs="Times New Roman"/>
                <w:noProof/>
                <w:sz w:val="24"/>
                <w:szCs w:val="24"/>
              </w:rPr>
              <w:t>Introduction</w:t>
            </w:r>
            <w:r w:rsidR="00500C88" w:rsidRPr="005C69AC">
              <w:rPr>
                <w:rFonts w:ascii="Times New Roman" w:hAnsi="Times New Roman" w:cs="Times New Roman"/>
                <w:noProof/>
                <w:webHidden/>
                <w:sz w:val="24"/>
                <w:szCs w:val="24"/>
              </w:rPr>
              <w:tab/>
            </w:r>
            <w:r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_Toc171802770 \h </w:instrText>
            </w:r>
            <w:r w:rsidRPr="005C69AC">
              <w:rPr>
                <w:rFonts w:ascii="Times New Roman" w:hAnsi="Times New Roman" w:cs="Times New Roman"/>
                <w:noProof/>
                <w:webHidden/>
                <w:sz w:val="24"/>
                <w:szCs w:val="24"/>
              </w:rPr>
            </w:r>
            <w:r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3</w:t>
            </w:r>
            <w:r w:rsidRPr="005C69AC">
              <w:rPr>
                <w:rFonts w:ascii="Times New Roman" w:hAnsi="Times New Roman" w:cs="Times New Roman"/>
                <w:noProof/>
                <w:webHidden/>
                <w:sz w:val="24"/>
                <w:szCs w:val="24"/>
              </w:rPr>
              <w:fldChar w:fldCharType="end"/>
            </w:r>
          </w:hyperlink>
        </w:p>
        <w:p w14:paraId="03517167"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1" w:history="1">
            <w:r w:rsidR="00500C88" w:rsidRPr="005C69AC">
              <w:rPr>
                <w:rStyle w:val="Hyperlink"/>
                <w:rFonts w:ascii="Times New Roman" w:hAnsi="Times New Roman" w:cs="Times New Roman"/>
                <w:noProof/>
                <w:sz w:val="24"/>
                <w:szCs w:val="24"/>
              </w:rPr>
              <w:t>Benefits of implementing flexible working strategies</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_Toc171802771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3</w:t>
            </w:r>
            <w:r w:rsidR="00292A44" w:rsidRPr="005C69AC">
              <w:rPr>
                <w:rFonts w:ascii="Times New Roman" w:hAnsi="Times New Roman" w:cs="Times New Roman"/>
                <w:noProof/>
                <w:webHidden/>
                <w:sz w:val="24"/>
                <w:szCs w:val="24"/>
              </w:rPr>
              <w:fldChar w:fldCharType="end"/>
            </w:r>
          </w:hyperlink>
        </w:p>
        <w:p w14:paraId="66782A6C"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2" w:history="1">
            <w:r w:rsidR="00500C88" w:rsidRPr="005C69AC">
              <w:rPr>
                <w:rStyle w:val="Hyperlink"/>
                <w:rFonts w:ascii="Times New Roman" w:hAnsi="Times New Roman" w:cs="Times New Roman"/>
                <w:noProof/>
                <w:sz w:val="24"/>
                <w:szCs w:val="24"/>
              </w:rPr>
              <w:t>Considerations</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_Toc171802772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4</w:t>
            </w:r>
            <w:r w:rsidR="00292A44" w:rsidRPr="005C69AC">
              <w:rPr>
                <w:rFonts w:ascii="Times New Roman" w:hAnsi="Times New Roman" w:cs="Times New Roman"/>
                <w:noProof/>
                <w:webHidden/>
                <w:sz w:val="24"/>
                <w:szCs w:val="24"/>
              </w:rPr>
              <w:fldChar w:fldCharType="end"/>
            </w:r>
          </w:hyperlink>
        </w:p>
        <w:p w14:paraId="2B005F4F"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3" w:history="1">
            <w:r w:rsidR="00500C88" w:rsidRPr="005C69AC">
              <w:rPr>
                <w:rStyle w:val="Hyperlink"/>
                <w:rFonts w:ascii="Times New Roman" w:hAnsi="Times New Roman" w:cs="Times New Roman"/>
                <w:noProof/>
                <w:sz w:val="24"/>
                <w:szCs w:val="24"/>
              </w:rPr>
              <w:t>Pay structure</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_Toc171802773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5</w:t>
            </w:r>
            <w:r w:rsidR="00292A44" w:rsidRPr="005C69AC">
              <w:rPr>
                <w:rFonts w:ascii="Times New Roman" w:hAnsi="Times New Roman" w:cs="Times New Roman"/>
                <w:noProof/>
                <w:webHidden/>
                <w:sz w:val="24"/>
                <w:szCs w:val="24"/>
              </w:rPr>
              <w:fldChar w:fldCharType="end"/>
            </w:r>
          </w:hyperlink>
        </w:p>
        <w:p w14:paraId="48551DA9"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4" w:history="1">
            <w:r w:rsidR="00500C88" w:rsidRPr="005C69AC">
              <w:rPr>
                <w:rStyle w:val="Hyperlink"/>
                <w:rFonts w:ascii="Times New Roman" w:hAnsi="Times New Roman" w:cs="Times New Roman"/>
                <w:noProof/>
                <w:sz w:val="24"/>
                <w:szCs w:val="24"/>
              </w:rPr>
              <w:t>Promoting employees</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_Toc171802774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7</w:t>
            </w:r>
            <w:r w:rsidR="00292A44" w:rsidRPr="005C69AC">
              <w:rPr>
                <w:rFonts w:ascii="Times New Roman" w:hAnsi="Times New Roman" w:cs="Times New Roman"/>
                <w:noProof/>
                <w:webHidden/>
                <w:sz w:val="24"/>
                <w:szCs w:val="24"/>
              </w:rPr>
              <w:fldChar w:fldCharType="end"/>
            </w:r>
          </w:hyperlink>
        </w:p>
        <w:p w14:paraId="045FAC92"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5" w:history="1">
            <w:r w:rsidR="00500C88" w:rsidRPr="005C69AC">
              <w:rPr>
                <w:rStyle w:val="Hyperlink"/>
                <w:rFonts w:ascii="Times New Roman" w:hAnsi="Times New Roman" w:cs="Times New Roman"/>
                <w:noProof/>
                <w:sz w:val="24"/>
                <w:szCs w:val="24"/>
              </w:rPr>
              <w:t>Conclusion</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_Toc171802775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8</w:t>
            </w:r>
            <w:r w:rsidR="00292A44" w:rsidRPr="005C69AC">
              <w:rPr>
                <w:rFonts w:ascii="Times New Roman" w:hAnsi="Times New Roman" w:cs="Times New Roman"/>
                <w:noProof/>
                <w:webHidden/>
                <w:sz w:val="24"/>
                <w:szCs w:val="24"/>
              </w:rPr>
              <w:fldChar w:fldCharType="end"/>
            </w:r>
          </w:hyperlink>
        </w:p>
        <w:p w14:paraId="656C1E26" w14:textId="77777777" w:rsidR="00500C88" w:rsidRPr="005C69AC" w:rsidRDefault="00000000" w:rsidP="00500C88">
          <w:pPr>
            <w:pStyle w:val="Cuprins1"/>
            <w:tabs>
              <w:tab w:val="right" w:leader="dot" w:pos="9016"/>
            </w:tabs>
            <w:spacing w:line="360" w:lineRule="auto"/>
            <w:jc w:val="both"/>
            <w:rPr>
              <w:rFonts w:ascii="Times New Roman" w:hAnsi="Times New Roman" w:cs="Times New Roman"/>
              <w:noProof/>
              <w:sz w:val="24"/>
              <w:szCs w:val="24"/>
            </w:rPr>
          </w:pPr>
          <w:hyperlink w:anchor="_Toc171802776" w:history="1">
            <w:r w:rsidR="00500C88" w:rsidRPr="005C69AC">
              <w:rPr>
                <w:rStyle w:val="Hyperlink"/>
                <w:rFonts w:ascii="Times New Roman" w:hAnsi="Times New Roman" w:cs="Times New Roman"/>
                <w:noProof/>
                <w:sz w:val="24"/>
                <w:szCs w:val="24"/>
              </w:rPr>
              <w:t>Reference List</w:t>
            </w:r>
            <w:r w:rsidR="00500C88" w:rsidRPr="005C69AC">
              <w:rPr>
                <w:rFonts w:ascii="Times New Roman" w:hAnsi="Times New Roman" w:cs="Times New Roman"/>
                <w:noProof/>
                <w:webHidden/>
                <w:sz w:val="24"/>
                <w:szCs w:val="24"/>
              </w:rPr>
              <w:tab/>
            </w:r>
            <w:r w:rsidR="00292A44" w:rsidRPr="005C69AC">
              <w:rPr>
                <w:rFonts w:ascii="Times New Roman" w:hAnsi="Times New Roman" w:cs="Times New Roman"/>
                <w:noProof/>
                <w:webHidden/>
                <w:sz w:val="24"/>
                <w:szCs w:val="24"/>
              </w:rPr>
              <w:fldChar w:fldCharType="begin"/>
            </w:r>
            <w:r w:rsidR="00500C88" w:rsidRPr="005C69AC">
              <w:rPr>
                <w:rFonts w:ascii="Times New Roman" w:hAnsi="Times New Roman" w:cs="Times New Roman"/>
                <w:noProof/>
                <w:webHidden/>
                <w:sz w:val="24"/>
                <w:szCs w:val="24"/>
              </w:rPr>
              <w:instrText xml:space="preserve"> PAGEREF _Toc171802776 \h </w:instrText>
            </w:r>
            <w:r w:rsidR="00292A44" w:rsidRPr="005C69AC">
              <w:rPr>
                <w:rFonts w:ascii="Times New Roman" w:hAnsi="Times New Roman" w:cs="Times New Roman"/>
                <w:noProof/>
                <w:webHidden/>
                <w:sz w:val="24"/>
                <w:szCs w:val="24"/>
              </w:rPr>
            </w:r>
            <w:r w:rsidR="00292A44" w:rsidRPr="005C69AC">
              <w:rPr>
                <w:rFonts w:ascii="Times New Roman" w:hAnsi="Times New Roman" w:cs="Times New Roman"/>
                <w:noProof/>
                <w:webHidden/>
                <w:sz w:val="24"/>
                <w:szCs w:val="24"/>
              </w:rPr>
              <w:fldChar w:fldCharType="separate"/>
            </w:r>
            <w:r w:rsidR="00500C88" w:rsidRPr="005C69AC">
              <w:rPr>
                <w:rFonts w:ascii="Times New Roman" w:hAnsi="Times New Roman" w:cs="Times New Roman"/>
                <w:noProof/>
                <w:webHidden/>
                <w:sz w:val="24"/>
                <w:szCs w:val="24"/>
              </w:rPr>
              <w:t>9</w:t>
            </w:r>
            <w:r w:rsidR="00292A44" w:rsidRPr="005C69AC">
              <w:rPr>
                <w:rFonts w:ascii="Times New Roman" w:hAnsi="Times New Roman" w:cs="Times New Roman"/>
                <w:noProof/>
                <w:webHidden/>
                <w:sz w:val="24"/>
                <w:szCs w:val="24"/>
              </w:rPr>
              <w:fldChar w:fldCharType="end"/>
            </w:r>
          </w:hyperlink>
        </w:p>
        <w:p w14:paraId="7FCD9216" w14:textId="77777777" w:rsidR="00500C88" w:rsidRPr="005C69AC" w:rsidRDefault="00292A44" w:rsidP="00500C88">
          <w:pPr>
            <w:spacing w:line="360" w:lineRule="auto"/>
            <w:jc w:val="both"/>
            <w:rPr>
              <w:rFonts w:ascii="Times New Roman" w:hAnsi="Times New Roman" w:cs="Times New Roman"/>
              <w:sz w:val="24"/>
              <w:szCs w:val="24"/>
            </w:rPr>
          </w:pPr>
          <w:r w:rsidRPr="005C69AC">
            <w:rPr>
              <w:rFonts w:ascii="Times New Roman" w:hAnsi="Times New Roman" w:cs="Times New Roman"/>
              <w:sz w:val="24"/>
              <w:szCs w:val="24"/>
            </w:rPr>
            <w:fldChar w:fldCharType="end"/>
          </w:r>
        </w:p>
      </w:sdtContent>
    </w:sdt>
    <w:p w14:paraId="0C6A409E" w14:textId="77777777" w:rsidR="003431F0" w:rsidRPr="005C69AC" w:rsidRDefault="003431F0">
      <w:pPr>
        <w:rPr>
          <w:rFonts w:ascii="Times New Roman" w:hAnsi="Times New Roman" w:cs="Times New Roman"/>
          <w:b/>
          <w:bCs/>
          <w:sz w:val="24"/>
        </w:rPr>
      </w:pPr>
      <w:r w:rsidRPr="005C69AC">
        <w:rPr>
          <w:rFonts w:ascii="Times New Roman" w:hAnsi="Times New Roman" w:cs="Times New Roman"/>
          <w:b/>
          <w:bCs/>
          <w:sz w:val="24"/>
        </w:rPr>
        <w:br w:type="page"/>
      </w:r>
    </w:p>
    <w:p w14:paraId="633DB328" w14:textId="77777777" w:rsidR="008548F0" w:rsidRPr="005C69AC" w:rsidRDefault="008548F0" w:rsidP="007F73C5">
      <w:pPr>
        <w:pStyle w:val="Titlu1"/>
        <w:rPr>
          <w:lang w:val="en-GB"/>
        </w:rPr>
      </w:pPr>
      <w:bookmarkStart w:id="0" w:name="_Toc171802770"/>
      <w:r w:rsidRPr="005C69AC">
        <w:rPr>
          <w:lang w:val="en-GB"/>
        </w:rPr>
        <w:lastRenderedPageBreak/>
        <w:t>Introduction</w:t>
      </w:r>
      <w:bookmarkEnd w:id="0"/>
      <w:r w:rsidRPr="005C69AC">
        <w:rPr>
          <w:lang w:val="en-GB"/>
        </w:rPr>
        <w:t xml:space="preserve"> </w:t>
      </w:r>
    </w:p>
    <w:p w14:paraId="510EE37E" w14:textId="21BA1928" w:rsidR="008548F0" w:rsidRDefault="008B5728" w:rsidP="005E700D">
      <w:pPr>
        <w:spacing w:line="360" w:lineRule="auto"/>
        <w:jc w:val="both"/>
        <w:rPr>
          <w:rFonts w:ascii="Times New Roman" w:hAnsi="Times New Roman" w:cs="Times New Roman"/>
          <w:sz w:val="24"/>
        </w:rPr>
      </w:pPr>
      <w:r w:rsidRPr="005C69AC">
        <w:rPr>
          <w:rFonts w:ascii="Times New Roman" w:hAnsi="Times New Roman" w:cs="Times New Roman"/>
          <w:sz w:val="24"/>
        </w:rPr>
        <w:t>Carrying out flexible</w:t>
      </w:r>
      <w:r w:rsidR="008548F0" w:rsidRPr="005C69AC">
        <w:rPr>
          <w:rFonts w:ascii="Times New Roman" w:hAnsi="Times New Roman" w:cs="Times New Roman"/>
          <w:sz w:val="24"/>
        </w:rPr>
        <w:t xml:space="preserve"> working courses of action at VialTech offers various advantages, however it likewise requires vital wanting to guarantee worker commitment. This report frames key methodologies for advancing commitment, including clear correspondence, proficient turn of events, acknowledgment and prizes, balance between fun and serious activities, and cultivating local area. These proposals expect to establish a strong and spurring workplace, improving worker </w:t>
      </w:r>
      <w:r w:rsidR="005C69AC" w:rsidRPr="005C69AC">
        <w:rPr>
          <w:rFonts w:ascii="Times New Roman" w:hAnsi="Times New Roman" w:cs="Times New Roman"/>
          <w:sz w:val="24"/>
        </w:rPr>
        <w:t>fulfilment</w:t>
      </w:r>
      <w:r w:rsidR="008548F0" w:rsidRPr="005C69AC">
        <w:rPr>
          <w:rFonts w:ascii="Times New Roman" w:hAnsi="Times New Roman" w:cs="Times New Roman"/>
          <w:sz w:val="24"/>
        </w:rPr>
        <w:t xml:space="preserve"> and efficiency in </w:t>
      </w:r>
      <w:r w:rsidR="000165CE" w:rsidRPr="005C69AC">
        <w:rPr>
          <w:rFonts w:ascii="Times New Roman" w:hAnsi="Times New Roman" w:cs="Times New Roman"/>
          <w:sz w:val="24"/>
        </w:rPr>
        <w:t>a</w:t>
      </w:r>
      <w:r w:rsidR="008548F0" w:rsidRPr="005C69AC">
        <w:rPr>
          <w:rFonts w:ascii="Times New Roman" w:hAnsi="Times New Roman" w:cs="Times New Roman"/>
          <w:sz w:val="24"/>
        </w:rPr>
        <w:t xml:space="preserve"> </w:t>
      </w:r>
      <w:r w:rsidR="00D84CC3">
        <w:rPr>
          <w:rFonts w:ascii="Times New Roman" w:hAnsi="Times New Roman" w:cs="Times New Roman"/>
          <w:sz w:val="24"/>
        </w:rPr>
        <w:t>flexible</w:t>
      </w:r>
      <w:r w:rsidR="008548F0" w:rsidRPr="005C69AC">
        <w:rPr>
          <w:rFonts w:ascii="Times New Roman" w:hAnsi="Times New Roman" w:cs="Times New Roman"/>
          <w:sz w:val="24"/>
        </w:rPr>
        <w:t xml:space="preserve"> working setting.</w:t>
      </w:r>
    </w:p>
    <w:p w14:paraId="77BF2A23" w14:textId="77777777" w:rsidR="000165CE" w:rsidRPr="005C69AC" w:rsidRDefault="000165CE" w:rsidP="005E700D">
      <w:pPr>
        <w:spacing w:line="360" w:lineRule="auto"/>
        <w:jc w:val="both"/>
        <w:rPr>
          <w:rFonts w:ascii="Times New Roman" w:hAnsi="Times New Roman" w:cs="Times New Roman"/>
          <w:sz w:val="24"/>
        </w:rPr>
      </w:pPr>
    </w:p>
    <w:p w14:paraId="433A2A12" w14:textId="77777777" w:rsidR="00F40B7B" w:rsidRPr="005C69AC" w:rsidRDefault="00F8020B" w:rsidP="007F73C5">
      <w:pPr>
        <w:pStyle w:val="Titlu1"/>
        <w:rPr>
          <w:lang w:val="en-GB"/>
        </w:rPr>
      </w:pPr>
      <w:bookmarkStart w:id="1" w:name="_Toc171802771"/>
      <w:r w:rsidRPr="005C69AC">
        <w:rPr>
          <w:lang w:val="en-GB"/>
        </w:rPr>
        <w:t>Benefits of implementing flexible working strategies</w:t>
      </w:r>
      <w:bookmarkEnd w:id="1"/>
    </w:p>
    <w:p w14:paraId="296CD174" w14:textId="77777777" w:rsidR="00D60A80" w:rsidRPr="005C69AC" w:rsidRDefault="00D60A80" w:rsidP="00DF77BB">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 xml:space="preserve">Executing </w:t>
      </w:r>
      <w:r w:rsidR="00D84CC3">
        <w:rPr>
          <w:rFonts w:ascii="Times New Roman" w:hAnsi="Times New Roman" w:cs="Times New Roman"/>
          <w:sz w:val="24"/>
        </w:rPr>
        <w:t>flexible</w:t>
      </w:r>
      <w:r w:rsidRPr="005C69AC">
        <w:rPr>
          <w:rFonts w:ascii="Times New Roman" w:hAnsi="Times New Roman" w:cs="Times New Roman"/>
          <w:sz w:val="24"/>
        </w:rPr>
        <w:t xml:space="preserve"> working strategies at VialTech can yield various advantages for the firm, improving both functional proficiency and representative fulfilment. One huge benefit is a further developed balance between serious and fun activities for representatives</w:t>
      </w:r>
      <w:r w:rsidR="00C3766C" w:rsidRPr="005C69AC">
        <w:rPr>
          <w:rFonts w:ascii="Times New Roman" w:hAnsi="Times New Roman" w:cs="Times New Roman"/>
          <w:sz w:val="24"/>
        </w:rPr>
        <w:t xml:space="preserve"> (vialtech.ru, 2024)</w:t>
      </w:r>
      <w:r w:rsidRPr="005C69AC">
        <w:rPr>
          <w:rFonts w:ascii="Times New Roman" w:hAnsi="Times New Roman" w:cs="Times New Roman"/>
          <w:sz w:val="24"/>
        </w:rPr>
        <w:t xml:space="preserve">. </w:t>
      </w:r>
      <w:r w:rsidR="001F446D">
        <w:rPr>
          <w:rFonts w:ascii="Times New Roman" w:hAnsi="Times New Roman" w:cs="Times New Roman"/>
          <w:sz w:val="24"/>
        </w:rPr>
        <w:t>Flexible</w:t>
      </w:r>
      <w:r w:rsidRPr="005C69AC">
        <w:rPr>
          <w:rFonts w:ascii="Times New Roman" w:hAnsi="Times New Roman" w:cs="Times New Roman"/>
          <w:sz w:val="24"/>
        </w:rPr>
        <w:t xml:space="preserve"> working courses of action, like remote work or customizable hours, permit representatives to more readily deal with their own and proficient obligations. This equilibrium can prompt higher work fulfilment, decreased feelings of anxiety, and at last, expanded efficiency</w:t>
      </w:r>
      <w:r w:rsidR="00A048EE" w:rsidRPr="005C69AC">
        <w:rPr>
          <w:rFonts w:ascii="Times New Roman" w:hAnsi="Times New Roman" w:cs="Times New Roman"/>
          <w:sz w:val="24"/>
        </w:rPr>
        <w:t xml:space="preserve"> (Chung</w:t>
      </w:r>
      <w:r w:rsidR="00E32C51" w:rsidRPr="005C69AC">
        <w:rPr>
          <w:rFonts w:ascii="Times New Roman" w:hAnsi="Times New Roman" w:cs="Times New Roman"/>
          <w:sz w:val="24"/>
        </w:rPr>
        <w:t xml:space="preserve"> </w:t>
      </w:r>
      <w:r w:rsidR="00E32C51" w:rsidRPr="005C69AC">
        <w:rPr>
          <w:rFonts w:ascii="Times New Roman" w:hAnsi="Times New Roman" w:cs="Times New Roman"/>
          <w:i/>
          <w:sz w:val="24"/>
        </w:rPr>
        <w:t>et al</w:t>
      </w:r>
      <w:r w:rsidR="00A048EE" w:rsidRPr="005C69AC">
        <w:rPr>
          <w:rFonts w:ascii="Times New Roman" w:hAnsi="Times New Roman" w:cs="Times New Roman"/>
          <w:sz w:val="24"/>
        </w:rPr>
        <w:t>., 2020)</w:t>
      </w:r>
      <w:r w:rsidRPr="005C69AC">
        <w:rPr>
          <w:rFonts w:ascii="Times New Roman" w:hAnsi="Times New Roman" w:cs="Times New Roman"/>
          <w:sz w:val="24"/>
        </w:rPr>
        <w:t xml:space="preserve">. For example, a concentration by the CIPD found that representatives with </w:t>
      </w:r>
      <w:r w:rsidR="00DF77BB">
        <w:rPr>
          <w:rFonts w:ascii="Times New Roman" w:hAnsi="Times New Roman" w:cs="Times New Roman"/>
          <w:sz w:val="24"/>
        </w:rPr>
        <w:t>flexible</w:t>
      </w:r>
      <w:r w:rsidRPr="005C69AC">
        <w:rPr>
          <w:rFonts w:ascii="Times New Roman" w:hAnsi="Times New Roman" w:cs="Times New Roman"/>
          <w:sz w:val="24"/>
        </w:rPr>
        <w:t xml:space="preserve"> working choices detailed more significant levels of occupation fulfilment and commitment, which can convert into further developed execution and decreased turnover rates.</w:t>
      </w:r>
    </w:p>
    <w:p w14:paraId="4EAC0B9B"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 xml:space="preserve">Another important benefit is the possibility of increasing the interest in abilities and their maintenance. Due to the present significant work market, being able to provide flexible working opportunities can be </w:t>
      </w:r>
      <w:r w:rsidR="005C69AC" w:rsidRPr="005C69AC">
        <w:rPr>
          <w:rFonts w:ascii="Times New Roman" w:hAnsi="Times New Roman" w:cs="Times New Roman"/>
          <w:sz w:val="24"/>
        </w:rPr>
        <w:t>strength</w:t>
      </w:r>
      <w:r w:rsidRPr="005C69AC">
        <w:rPr>
          <w:rFonts w:ascii="Times New Roman" w:hAnsi="Times New Roman" w:cs="Times New Roman"/>
          <w:sz w:val="24"/>
        </w:rPr>
        <w:t xml:space="preserve"> when attracting great talent. Job seekers often pay much attention to flexibility as one of the essential components of job searching, which suggests a moderate and employee-oriented nature of work environments. By assuming versatile working systems, VialTech can present itself as an appealing manager, which is critical in the medical care industry where skilled staff is valued</w:t>
      </w:r>
      <w:r w:rsidR="00A11E91" w:rsidRPr="005C69AC">
        <w:rPr>
          <w:rFonts w:ascii="Times New Roman" w:hAnsi="Times New Roman" w:cs="Times New Roman"/>
          <w:sz w:val="24"/>
        </w:rPr>
        <w:t xml:space="preserve"> (Peprah </w:t>
      </w:r>
      <w:r w:rsidR="00A11E91" w:rsidRPr="005C69AC">
        <w:rPr>
          <w:rFonts w:ascii="Times New Roman" w:hAnsi="Times New Roman" w:cs="Times New Roman"/>
          <w:i/>
          <w:sz w:val="24"/>
        </w:rPr>
        <w:t>et al</w:t>
      </w:r>
      <w:r w:rsidR="00A11E91" w:rsidRPr="005C69AC">
        <w:rPr>
          <w:rFonts w:ascii="Times New Roman" w:hAnsi="Times New Roman" w:cs="Times New Roman"/>
          <w:sz w:val="24"/>
        </w:rPr>
        <w:t>., 2020)</w:t>
      </w:r>
      <w:r w:rsidRPr="005C69AC">
        <w:rPr>
          <w:rFonts w:ascii="Times New Roman" w:hAnsi="Times New Roman" w:cs="Times New Roman"/>
          <w:sz w:val="24"/>
        </w:rPr>
        <w:t xml:space="preserve">. Further, current representatives cannot seek another organization if only they think that their work strategies suit their way of life, hence reducing </w:t>
      </w:r>
      <w:r w:rsidR="005C69AC" w:rsidRPr="005C69AC">
        <w:rPr>
          <w:rFonts w:ascii="Times New Roman" w:hAnsi="Times New Roman" w:cs="Times New Roman"/>
          <w:sz w:val="24"/>
        </w:rPr>
        <w:t>enrolment</w:t>
      </w:r>
      <w:r w:rsidRPr="005C69AC">
        <w:rPr>
          <w:rFonts w:ascii="Times New Roman" w:hAnsi="Times New Roman" w:cs="Times New Roman"/>
          <w:sz w:val="24"/>
        </w:rPr>
        <w:t xml:space="preserve"> and training costs of an organization due to high turnover.</w:t>
      </w:r>
    </w:p>
    <w:p w14:paraId="3946298D"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lastRenderedPageBreak/>
        <w:t xml:space="preserve">Contendable working can in addition lead to enhanced functional effectiveness and cost accommodation investments. Since fewer workers would be present in the surrounding area permanently, VialTech can optimize its real estate use, which could lead to a decrease in the above expenses related to office maintenance and utilities. In addition, great benefits can be met from </w:t>
      </w:r>
      <w:r w:rsidR="00D84CC3">
        <w:rPr>
          <w:rFonts w:ascii="Times New Roman" w:hAnsi="Times New Roman" w:cs="Times New Roman"/>
          <w:sz w:val="24"/>
        </w:rPr>
        <w:t>flexible</w:t>
      </w:r>
      <w:r w:rsidRPr="005C69AC">
        <w:rPr>
          <w:rFonts w:ascii="Times New Roman" w:hAnsi="Times New Roman" w:cs="Times New Roman"/>
          <w:sz w:val="24"/>
        </w:rPr>
        <w:t xml:space="preserve"> working since this approach can aid in proper asset allocation. For example, shift working means that there can always be adequate provision for the basic capabilities, and no individual would be overwhelmed for a long period</w:t>
      </w:r>
      <w:r w:rsidR="00832488" w:rsidRPr="005C69AC">
        <w:rPr>
          <w:rFonts w:ascii="Times New Roman" w:hAnsi="Times New Roman" w:cs="Times New Roman"/>
          <w:sz w:val="24"/>
        </w:rPr>
        <w:t xml:space="preserve"> </w:t>
      </w:r>
      <w:r w:rsidR="00832488" w:rsidRPr="005C69AC">
        <w:rPr>
          <w:rFonts w:ascii="Times New Roman" w:hAnsi="Times New Roman" w:cs="Times New Roman"/>
          <w:sz w:val="24"/>
          <w:szCs w:val="24"/>
        </w:rPr>
        <w:t>(</w:t>
      </w:r>
      <w:r w:rsidR="00832488" w:rsidRPr="005C69AC">
        <w:rPr>
          <w:rFonts w:ascii="Times New Roman" w:hAnsi="Times New Roman" w:cs="Times New Roman"/>
          <w:color w:val="222222"/>
          <w:sz w:val="24"/>
          <w:szCs w:val="24"/>
          <w:shd w:val="clear" w:color="auto" w:fill="FFFFFF"/>
        </w:rPr>
        <w:t>Chung, 2020</w:t>
      </w:r>
      <w:r w:rsidR="00832488" w:rsidRPr="005C69AC">
        <w:rPr>
          <w:rFonts w:ascii="Times New Roman" w:hAnsi="Times New Roman" w:cs="Times New Roman"/>
          <w:sz w:val="24"/>
          <w:szCs w:val="24"/>
        </w:rPr>
        <w:t>)</w:t>
      </w:r>
      <w:r w:rsidRPr="005C69AC">
        <w:rPr>
          <w:rFonts w:ascii="Times New Roman" w:hAnsi="Times New Roman" w:cs="Times New Roman"/>
          <w:sz w:val="24"/>
          <w:szCs w:val="24"/>
        </w:rPr>
        <w:t>.</w:t>
      </w:r>
      <w:r w:rsidRPr="005C69AC">
        <w:rPr>
          <w:rFonts w:ascii="Times New Roman" w:hAnsi="Times New Roman" w:cs="Times New Roman"/>
          <w:sz w:val="24"/>
        </w:rPr>
        <w:t xml:space="preserve"> Frequently, this flexibility can be rewarding for VialTech’s lab professionals and client-confronting staff as they are primarily punctual and might have distinctive workloads and timetables.</w:t>
      </w:r>
    </w:p>
    <w:p w14:paraId="53B4E3CF" w14:textId="77777777" w:rsidR="00D60A80"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 xml:space="preserve">Moreover, </w:t>
      </w:r>
      <w:r w:rsidR="00D84CC3">
        <w:rPr>
          <w:rFonts w:ascii="Times New Roman" w:hAnsi="Times New Roman" w:cs="Times New Roman"/>
          <w:sz w:val="24"/>
        </w:rPr>
        <w:t>flexible</w:t>
      </w:r>
      <w:r w:rsidRPr="005C69AC">
        <w:rPr>
          <w:rFonts w:ascii="Times New Roman" w:hAnsi="Times New Roman" w:cs="Times New Roman"/>
          <w:sz w:val="24"/>
        </w:rPr>
        <w:t xml:space="preserve"> working can improve the development of an overall work environment positive culture. Thus, by accommodating various working approaches and people’s tasks, VialTech can respect and support a diverse workforce with care needs, limitations, or other personal considerations that can prevent them from adhering to traditional nine-to-five schedules</w:t>
      </w:r>
      <w:r w:rsidR="006B029E" w:rsidRPr="005C69AC">
        <w:rPr>
          <w:rFonts w:ascii="Times New Roman" w:hAnsi="Times New Roman" w:cs="Times New Roman"/>
          <w:sz w:val="24"/>
        </w:rPr>
        <w:t xml:space="preserve"> (Angelici and Profeta, 2024)</w:t>
      </w:r>
      <w:r w:rsidRPr="005C69AC">
        <w:rPr>
          <w:rFonts w:ascii="Times New Roman" w:hAnsi="Times New Roman" w:cs="Times New Roman"/>
          <w:sz w:val="24"/>
        </w:rPr>
        <w:t>. This may further affect the way the organization is seen by third parties as a neutral business industry besides enhancing the morale of the workers and their reliability. For instance, studies have indicated that firms that relate to versatile work postures will naturally embrace more discerning variety and incorporation of employees which in turn can incite invention in teams.</w:t>
      </w:r>
    </w:p>
    <w:p w14:paraId="40AAC8CF" w14:textId="77777777" w:rsidR="000165CE" w:rsidRPr="005C69AC" w:rsidRDefault="000165CE" w:rsidP="005E700D">
      <w:pPr>
        <w:spacing w:before="240" w:after="240" w:line="360" w:lineRule="auto"/>
        <w:jc w:val="both"/>
        <w:rPr>
          <w:rFonts w:ascii="Times New Roman" w:hAnsi="Times New Roman" w:cs="Times New Roman"/>
          <w:sz w:val="24"/>
        </w:rPr>
      </w:pPr>
    </w:p>
    <w:p w14:paraId="5D945104" w14:textId="77777777" w:rsidR="00352B95" w:rsidRPr="005C69AC" w:rsidRDefault="00352B95" w:rsidP="007F73C5">
      <w:pPr>
        <w:pStyle w:val="Titlu1"/>
        <w:rPr>
          <w:lang w:val="en-GB"/>
        </w:rPr>
      </w:pPr>
      <w:bookmarkStart w:id="2" w:name="_Toc171802772"/>
      <w:r w:rsidRPr="005C69AC">
        <w:rPr>
          <w:lang w:val="en-GB"/>
        </w:rPr>
        <w:t>Considerations</w:t>
      </w:r>
      <w:bookmarkEnd w:id="2"/>
    </w:p>
    <w:p w14:paraId="1DF4F7F9" w14:textId="77777777" w:rsidR="00D60A80" w:rsidRPr="005C69AC" w:rsidRDefault="00D60A80" w:rsidP="005E700D">
      <w:pPr>
        <w:spacing w:line="360" w:lineRule="auto"/>
        <w:jc w:val="both"/>
        <w:rPr>
          <w:rFonts w:ascii="Times New Roman" w:hAnsi="Times New Roman" w:cs="Times New Roman"/>
          <w:sz w:val="24"/>
        </w:rPr>
      </w:pPr>
      <w:r w:rsidRPr="005C69AC">
        <w:rPr>
          <w:rFonts w:ascii="Times New Roman" w:hAnsi="Times New Roman" w:cs="Times New Roman"/>
          <w:sz w:val="24"/>
        </w:rPr>
        <w:t xml:space="preserve">Before implementing flexible working in VialTech, the key elements that the HR division should take into consideration mainly entail, </w:t>
      </w:r>
      <w:r w:rsidR="005C69AC" w:rsidRPr="005C69AC">
        <w:rPr>
          <w:rFonts w:ascii="Times New Roman" w:hAnsi="Times New Roman" w:cs="Times New Roman"/>
          <w:sz w:val="24"/>
        </w:rPr>
        <w:t>before</w:t>
      </w:r>
      <w:r w:rsidRPr="005C69AC">
        <w:rPr>
          <w:rFonts w:ascii="Times New Roman" w:hAnsi="Times New Roman" w:cs="Times New Roman"/>
          <w:sz w:val="24"/>
        </w:rPr>
        <w:t xml:space="preserve"> introducing the FWA in the organization, the HR division should carefully weigh various aspects of flexible working that may cause changes and address obstacles. A major matter of thought is to determine the specific needs and tasks of the groups within the association. For instance, executives and lab professionals may be expected to have peculiar work needs that would call for selective flexible working arrangements</w:t>
      </w:r>
      <w:r w:rsidR="007D6294" w:rsidRPr="005C69AC">
        <w:rPr>
          <w:rFonts w:ascii="Times New Roman" w:hAnsi="Times New Roman" w:cs="Times New Roman"/>
          <w:sz w:val="24"/>
        </w:rPr>
        <w:t xml:space="preserve"> (Chatterjee </w:t>
      </w:r>
      <w:r w:rsidR="007D6294" w:rsidRPr="005C69AC">
        <w:rPr>
          <w:rFonts w:ascii="Times New Roman" w:hAnsi="Times New Roman" w:cs="Times New Roman"/>
          <w:i/>
          <w:sz w:val="24"/>
        </w:rPr>
        <w:t>et al</w:t>
      </w:r>
      <w:r w:rsidR="007D6294" w:rsidRPr="005C69AC">
        <w:rPr>
          <w:rFonts w:ascii="Times New Roman" w:hAnsi="Times New Roman" w:cs="Times New Roman"/>
          <w:sz w:val="24"/>
        </w:rPr>
        <w:t>., 2022)</w:t>
      </w:r>
      <w:r w:rsidRPr="005C69AC">
        <w:rPr>
          <w:rFonts w:ascii="Times New Roman" w:hAnsi="Times New Roman" w:cs="Times New Roman"/>
          <w:sz w:val="24"/>
        </w:rPr>
        <w:t>. Directors possibly will benefit from having more meetings remotely or flexible schedules whereas lab professionals who are expected to truly be present to handle demonstrative tests possibly will move in shifts or have condensed work fill weeks.</w:t>
      </w:r>
    </w:p>
    <w:p w14:paraId="59D9C60D" w14:textId="77777777" w:rsidR="00D60A80" w:rsidRPr="005C69AC" w:rsidRDefault="00D60A80" w:rsidP="005E700D">
      <w:pPr>
        <w:spacing w:line="360" w:lineRule="auto"/>
        <w:jc w:val="both"/>
        <w:rPr>
          <w:rFonts w:ascii="Times New Roman" w:hAnsi="Times New Roman" w:cs="Times New Roman"/>
          <w:sz w:val="24"/>
        </w:rPr>
      </w:pPr>
      <w:r w:rsidRPr="005C69AC">
        <w:rPr>
          <w:rFonts w:ascii="Times New Roman" w:hAnsi="Times New Roman" w:cs="Times New Roman"/>
          <w:sz w:val="24"/>
        </w:rPr>
        <w:lastRenderedPageBreak/>
        <w:t xml:space="preserve">A basic theoretical model to consider is the Job Demands-Resources (JD-R) model. This model features the significance of offsetting position requests with sufficient assets to forestall worker burnout and improve commitment. With regards to VialTech, the HR division ought to survey the requests put on various jobs and guarantee that </w:t>
      </w:r>
      <w:r w:rsidR="00D84CC3">
        <w:rPr>
          <w:rFonts w:ascii="Times New Roman" w:hAnsi="Times New Roman" w:cs="Times New Roman"/>
          <w:sz w:val="24"/>
        </w:rPr>
        <w:t>flexible</w:t>
      </w:r>
      <w:r w:rsidRPr="005C69AC">
        <w:rPr>
          <w:rFonts w:ascii="Times New Roman" w:hAnsi="Times New Roman" w:cs="Times New Roman"/>
          <w:sz w:val="24"/>
        </w:rPr>
        <w:t xml:space="preserve"> working game plans don't think twice about the nature of patient consideration or the productivity of analytic cycles</w:t>
      </w:r>
      <w:r w:rsidR="004C28AB" w:rsidRPr="005C69AC">
        <w:rPr>
          <w:rFonts w:ascii="Times New Roman" w:hAnsi="Times New Roman" w:cs="Times New Roman"/>
          <w:sz w:val="24"/>
        </w:rPr>
        <w:t xml:space="preserve"> (Ferreira </w:t>
      </w:r>
      <w:r w:rsidR="004C28AB" w:rsidRPr="005C69AC">
        <w:rPr>
          <w:rFonts w:ascii="Times New Roman" w:hAnsi="Times New Roman" w:cs="Times New Roman"/>
          <w:i/>
          <w:sz w:val="24"/>
        </w:rPr>
        <w:t>et al</w:t>
      </w:r>
      <w:r w:rsidR="004C28AB" w:rsidRPr="005C69AC">
        <w:rPr>
          <w:rFonts w:ascii="Times New Roman" w:hAnsi="Times New Roman" w:cs="Times New Roman"/>
          <w:sz w:val="24"/>
        </w:rPr>
        <w:t>., 2021)</w:t>
      </w:r>
      <w:r w:rsidRPr="005C69AC">
        <w:rPr>
          <w:rFonts w:ascii="Times New Roman" w:hAnsi="Times New Roman" w:cs="Times New Roman"/>
          <w:sz w:val="24"/>
        </w:rPr>
        <w:t xml:space="preserve">. For instance, lab specialists might require explicit assets, like high-level booking programming, to deal with their responsibilities successfully while working </w:t>
      </w:r>
      <w:r w:rsidR="00D84CC3">
        <w:rPr>
          <w:rFonts w:ascii="Times New Roman" w:hAnsi="Times New Roman" w:cs="Times New Roman"/>
          <w:sz w:val="24"/>
        </w:rPr>
        <w:t>flexible</w:t>
      </w:r>
      <w:r w:rsidRPr="005C69AC">
        <w:rPr>
          <w:rFonts w:ascii="Times New Roman" w:hAnsi="Times New Roman" w:cs="Times New Roman"/>
          <w:sz w:val="24"/>
        </w:rPr>
        <w:t xml:space="preserve"> hours.</w:t>
      </w:r>
    </w:p>
    <w:p w14:paraId="128FBC37" w14:textId="77777777" w:rsidR="00D60A80" w:rsidRPr="005C69AC" w:rsidRDefault="00D60A80" w:rsidP="005E700D">
      <w:pPr>
        <w:spacing w:line="360" w:lineRule="auto"/>
        <w:jc w:val="both"/>
        <w:rPr>
          <w:rFonts w:ascii="Times New Roman" w:hAnsi="Times New Roman" w:cs="Times New Roman"/>
          <w:sz w:val="24"/>
        </w:rPr>
      </w:pPr>
      <w:r w:rsidRPr="005C69AC">
        <w:rPr>
          <w:rFonts w:ascii="Times New Roman" w:hAnsi="Times New Roman" w:cs="Times New Roman"/>
          <w:sz w:val="24"/>
        </w:rPr>
        <w:t xml:space="preserve">Also, the integrated thought comprises the framework and technological help needed for improving </w:t>
      </w:r>
      <w:r w:rsidR="00D84CC3">
        <w:rPr>
          <w:rFonts w:ascii="Times New Roman" w:hAnsi="Times New Roman" w:cs="Times New Roman"/>
          <w:sz w:val="24"/>
        </w:rPr>
        <w:t>flexible</w:t>
      </w:r>
      <w:r w:rsidRPr="005C69AC">
        <w:rPr>
          <w:rFonts w:ascii="Times New Roman" w:hAnsi="Times New Roman" w:cs="Times New Roman"/>
          <w:sz w:val="24"/>
        </w:rPr>
        <w:t xml:space="preserve"> working. There are ISR risks associated with VialTech because workers should ensure that they connect to reliable web connections, safe access to information, and essential digital tools to perform their tasks from remote locations. It is even more critical for clients dealing with staff who might have to interact with patients or carry out any arrangements online</w:t>
      </w:r>
      <w:r w:rsidR="00D1336F" w:rsidRPr="005C69AC">
        <w:rPr>
          <w:rFonts w:ascii="Times New Roman" w:hAnsi="Times New Roman" w:cs="Times New Roman"/>
          <w:sz w:val="24"/>
        </w:rPr>
        <w:t xml:space="preserve"> (Bettac, 2021)</w:t>
      </w:r>
      <w:r w:rsidRPr="005C69AC">
        <w:rPr>
          <w:rFonts w:ascii="Times New Roman" w:hAnsi="Times New Roman" w:cs="Times New Roman"/>
          <w:sz w:val="24"/>
        </w:rPr>
        <w:t>. A practically identical model should be visible on the account of the medical organization, Bupa that adapted work possible by investing in a strong IT platform and providing effective training to its employees.</w:t>
      </w:r>
    </w:p>
    <w:p w14:paraId="2F343524" w14:textId="77777777" w:rsidR="00D60A80" w:rsidRDefault="00D60A80" w:rsidP="005E700D">
      <w:pPr>
        <w:spacing w:line="360" w:lineRule="auto"/>
        <w:jc w:val="both"/>
        <w:rPr>
          <w:rFonts w:ascii="Times New Roman" w:hAnsi="Times New Roman" w:cs="Times New Roman"/>
          <w:sz w:val="24"/>
        </w:rPr>
      </w:pPr>
      <w:r w:rsidRPr="005C69AC">
        <w:rPr>
          <w:rFonts w:ascii="Times New Roman" w:hAnsi="Times New Roman" w:cs="Times New Roman"/>
          <w:sz w:val="24"/>
        </w:rPr>
        <w:t>Accordingly, the HR division should moreover consider the consequences of flexibility for managing cooperation and communication in the group. Maintenance of areas of strength with channels is important to ensure all personnel remain connected and updated regardless of the workplace. For instance, utilising cooperation instruments such as Slack or Microsoft Groups can manage normal communication and cooperation between physically estranged and on-site employees</w:t>
      </w:r>
      <w:r w:rsidR="00C606CF" w:rsidRPr="005C69AC">
        <w:rPr>
          <w:rFonts w:ascii="Times New Roman" w:hAnsi="Times New Roman" w:cs="Times New Roman"/>
          <w:sz w:val="24"/>
        </w:rPr>
        <w:t xml:space="preserve"> (Davidescu </w:t>
      </w:r>
      <w:r w:rsidR="00C606CF" w:rsidRPr="005C69AC">
        <w:rPr>
          <w:rFonts w:ascii="Times New Roman" w:hAnsi="Times New Roman" w:cs="Times New Roman"/>
          <w:i/>
          <w:sz w:val="24"/>
        </w:rPr>
        <w:t>et al</w:t>
      </w:r>
      <w:r w:rsidR="00C606CF" w:rsidRPr="005C69AC">
        <w:rPr>
          <w:rFonts w:ascii="Times New Roman" w:hAnsi="Times New Roman" w:cs="Times New Roman"/>
          <w:sz w:val="24"/>
        </w:rPr>
        <w:t>., 2020)</w:t>
      </w:r>
      <w:r w:rsidR="006D3B15">
        <w:rPr>
          <w:rFonts w:ascii="Times New Roman" w:hAnsi="Times New Roman" w:cs="Times New Roman"/>
          <w:sz w:val="24"/>
        </w:rPr>
        <w:t>. The theory</w:t>
      </w:r>
      <w:r w:rsidRPr="005C69AC">
        <w:rPr>
          <w:rFonts w:ascii="Times New Roman" w:hAnsi="Times New Roman" w:cs="Times New Roman"/>
          <w:sz w:val="24"/>
        </w:rPr>
        <w:t xml:space="preserve"> of Social Trade can be pertinent here, as it recommends that representatives are bound to connect emphatically with their work assuming they feel upheld and esteemed by their association. By cultivating a culture of trust and open correspondence, VialTech can upgrade worker commitment and efficiency.</w:t>
      </w:r>
    </w:p>
    <w:p w14:paraId="1064617B" w14:textId="77777777" w:rsidR="000165CE" w:rsidRPr="005C69AC" w:rsidRDefault="000165CE" w:rsidP="005E700D">
      <w:pPr>
        <w:spacing w:line="360" w:lineRule="auto"/>
        <w:jc w:val="both"/>
        <w:rPr>
          <w:rFonts w:ascii="Times New Roman" w:hAnsi="Times New Roman" w:cs="Times New Roman"/>
          <w:sz w:val="24"/>
        </w:rPr>
      </w:pPr>
    </w:p>
    <w:p w14:paraId="00E77189" w14:textId="77777777" w:rsidR="00332CA1" w:rsidRPr="005C69AC" w:rsidRDefault="00AA5B51" w:rsidP="007F73C5">
      <w:pPr>
        <w:pStyle w:val="Titlu1"/>
        <w:rPr>
          <w:lang w:val="en-GB"/>
        </w:rPr>
      </w:pPr>
      <w:bookmarkStart w:id="3" w:name="_Toc171802773"/>
      <w:r w:rsidRPr="005C69AC">
        <w:rPr>
          <w:lang w:val="en-GB"/>
        </w:rPr>
        <w:t>Pay structure</w:t>
      </w:r>
      <w:bookmarkEnd w:id="3"/>
    </w:p>
    <w:p w14:paraId="49FB44E0"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 xml:space="preserve">The realisation of the concrete versatile turn plans at VialTech will likely necessarily involve an alter in the firm’s </w:t>
      </w:r>
      <w:r w:rsidR="005C69AC" w:rsidRPr="005C69AC">
        <w:rPr>
          <w:rFonts w:ascii="Times New Roman" w:hAnsi="Times New Roman" w:cs="Times New Roman"/>
          <w:sz w:val="24"/>
        </w:rPr>
        <w:t>remuneration</w:t>
      </w:r>
      <w:r w:rsidRPr="005C69AC">
        <w:rPr>
          <w:rFonts w:ascii="Times New Roman" w:hAnsi="Times New Roman" w:cs="Times New Roman"/>
          <w:sz w:val="24"/>
        </w:rPr>
        <w:t xml:space="preserve"> structure to secure reasonable and efficient compensation. Some of these perceptible battles are probably due to the continuous compensation structure that may be based on conventional fully employed, nearby arrangements for work production, </w:t>
      </w:r>
      <w:r w:rsidRPr="005C69AC">
        <w:rPr>
          <w:rFonts w:ascii="Times New Roman" w:hAnsi="Times New Roman" w:cs="Times New Roman"/>
          <w:sz w:val="24"/>
        </w:rPr>
        <w:lastRenderedPageBreak/>
        <w:t>which does not fit well with the workforce recruited under flexible or mixed models</w:t>
      </w:r>
      <w:r w:rsidR="005450E6" w:rsidRPr="005C69AC">
        <w:rPr>
          <w:rFonts w:ascii="Times New Roman" w:hAnsi="Times New Roman" w:cs="Times New Roman"/>
          <w:sz w:val="24"/>
        </w:rPr>
        <w:t xml:space="preserve"> (Li </w:t>
      </w:r>
      <w:r w:rsidR="005450E6" w:rsidRPr="005C69AC">
        <w:rPr>
          <w:rFonts w:ascii="Times New Roman" w:hAnsi="Times New Roman" w:cs="Times New Roman"/>
          <w:i/>
          <w:sz w:val="24"/>
        </w:rPr>
        <w:t>et al</w:t>
      </w:r>
      <w:r w:rsidR="005450E6" w:rsidRPr="005C69AC">
        <w:rPr>
          <w:rFonts w:ascii="Times New Roman" w:hAnsi="Times New Roman" w:cs="Times New Roman"/>
          <w:sz w:val="24"/>
        </w:rPr>
        <w:t>., 2020)</w:t>
      </w:r>
      <w:r w:rsidRPr="005C69AC">
        <w:rPr>
          <w:rFonts w:ascii="Times New Roman" w:hAnsi="Times New Roman" w:cs="Times New Roman"/>
          <w:sz w:val="24"/>
        </w:rPr>
        <w:t>. HR division should carefully study and transform the compensation design to conform to different working schedules while not altering the value and work performance commands.</w:t>
      </w:r>
    </w:p>
    <w:p w14:paraId="478E1061"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In the first place, the HR department should consider the possibility of the shift in working hours of the representatives. For instance, the heads still working from home can manage to work at different times as compared to lab specialists who actually have to show up at the lab. In regard to this, Vial Tech could develop a time-sensitive compensation that would apply to jobs that are characterized by drastic changes in working hours</w:t>
      </w:r>
      <w:r w:rsidR="00C06A82" w:rsidRPr="005C69AC">
        <w:rPr>
          <w:rFonts w:ascii="Times New Roman" w:hAnsi="Times New Roman" w:cs="Times New Roman"/>
          <w:sz w:val="24"/>
        </w:rPr>
        <w:t xml:space="preserve"> (Boivin </w:t>
      </w:r>
      <w:r w:rsidR="00C06A82" w:rsidRPr="005C69AC">
        <w:rPr>
          <w:rFonts w:ascii="Times New Roman" w:hAnsi="Times New Roman" w:cs="Times New Roman"/>
          <w:i/>
          <w:sz w:val="24"/>
        </w:rPr>
        <w:t>et al</w:t>
      </w:r>
      <w:r w:rsidR="00C06A82" w:rsidRPr="005C69AC">
        <w:rPr>
          <w:rFonts w:ascii="Times New Roman" w:hAnsi="Times New Roman" w:cs="Times New Roman"/>
          <w:sz w:val="24"/>
        </w:rPr>
        <w:t>., 2022)</w:t>
      </w:r>
      <w:r w:rsidRPr="005C69AC">
        <w:rPr>
          <w:rFonts w:ascii="Times New Roman" w:hAnsi="Times New Roman" w:cs="Times New Roman"/>
          <w:sz w:val="24"/>
        </w:rPr>
        <w:t>. This framework would ensure that representatives are paid adequately for the actual hours that they are working and this would promote a culture of the principles of work reasonable and work efficiently. An example of this approach should be evident at organizations such as Cisco Frameworks and; other organizations that embraced flexible work plans and yet sustained value over time using timely pay models.</w:t>
      </w:r>
    </w:p>
    <w:p w14:paraId="301737B9"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The last viewpoint worthy to be discussed is the presentation of execution-based motivations. Since numerous representatives telecommute, and some telecommuting may have versatile schedules, standard approaches towards execution appraisal may not be reasonable. The HR office should create fresh execution specifications that include efficiency and outcomes rather than the signs of prevalence or work time. For instance, the lab professionals can be measured based on the number of tests that were completed accurately and efficiently, and the staff that deals with the customers can be measured based on customer satisfaction feedback and response time respectively</w:t>
      </w:r>
      <w:r w:rsidR="005C3793" w:rsidRPr="005C69AC">
        <w:rPr>
          <w:rFonts w:ascii="Times New Roman" w:hAnsi="Times New Roman" w:cs="Times New Roman"/>
          <w:sz w:val="24"/>
        </w:rPr>
        <w:t xml:space="preserve"> (Piwowar-Sulej, 2021)</w:t>
      </w:r>
      <w:r w:rsidRPr="005C69AC">
        <w:rPr>
          <w:rFonts w:ascii="Times New Roman" w:hAnsi="Times New Roman" w:cs="Times New Roman"/>
          <w:sz w:val="24"/>
        </w:rPr>
        <w:t>. This approach suits Hope’s framework with the understanding that workers are motivated when they expect their efforts will lead to the desired performance and rewards. Since execution is unmistakably related to the award, VialTech can be certain that the representatives are motivated and centred towards delivering excellent performance.</w:t>
      </w:r>
    </w:p>
    <w:p w14:paraId="05C18FEC" w14:textId="77777777" w:rsidR="00D60A80"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Further, the fairness of flexible handling of benefits and allowances should also be a concern of the HR division. The representatives residing in their own offices might result in additional costs, for instance, having higher service costs or the need for redesigning workspace equipment</w:t>
      </w:r>
      <w:r w:rsidR="0047315A" w:rsidRPr="005C69AC">
        <w:rPr>
          <w:rFonts w:ascii="Times New Roman" w:hAnsi="Times New Roman" w:cs="Times New Roman"/>
          <w:sz w:val="24"/>
        </w:rPr>
        <w:t xml:space="preserve"> (Mousa </w:t>
      </w:r>
      <w:r w:rsidR="0047315A" w:rsidRPr="005C69AC">
        <w:rPr>
          <w:rFonts w:ascii="Times New Roman" w:hAnsi="Times New Roman" w:cs="Times New Roman"/>
          <w:i/>
          <w:sz w:val="24"/>
        </w:rPr>
        <w:t>et al</w:t>
      </w:r>
      <w:r w:rsidR="0047315A" w:rsidRPr="005C69AC">
        <w:rPr>
          <w:rFonts w:ascii="Times New Roman" w:hAnsi="Times New Roman" w:cs="Times New Roman"/>
          <w:sz w:val="24"/>
        </w:rPr>
        <w:t>., 2023)</w:t>
      </w:r>
      <w:r w:rsidRPr="005C69AC">
        <w:rPr>
          <w:rFonts w:ascii="Times New Roman" w:hAnsi="Times New Roman" w:cs="Times New Roman"/>
          <w:sz w:val="24"/>
        </w:rPr>
        <w:t xml:space="preserve">. In this respect, VialTech could offer workspace allowances or reimbursement of business-related expenses. Similar motivations have been adopted by such companies as the Twitter </w:t>
      </w:r>
      <w:r w:rsidR="005C69AC" w:rsidRPr="005C69AC">
        <w:rPr>
          <w:rFonts w:ascii="Times New Roman" w:hAnsi="Times New Roman" w:cs="Times New Roman"/>
          <w:sz w:val="24"/>
        </w:rPr>
        <w:t>Company</w:t>
      </w:r>
      <w:r w:rsidRPr="005C69AC">
        <w:rPr>
          <w:rFonts w:ascii="Times New Roman" w:hAnsi="Times New Roman" w:cs="Times New Roman"/>
          <w:sz w:val="24"/>
        </w:rPr>
        <w:t xml:space="preserve"> which provides its representatives with payments to even establish their workstations</w:t>
      </w:r>
      <w:r w:rsidR="00200F71" w:rsidRPr="005C69AC">
        <w:rPr>
          <w:rFonts w:ascii="Times New Roman" w:hAnsi="Times New Roman" w:cs="Times New Roman"/>
          <w:sz w:val="24"/>
        </w:rPr>
        <w:t xml:space="preserve"> (Sorensen </w:t>
      </w:r>
      <w:r w:rsidR="00200F71" w:rsidRPr="005C69AC">
        <w:rPr>
          <w:rFonts w:ascii="Times New Roman" w:hAnsi="Times New Roman" w:cs="Times New Roman"/>
          <w:i/>
          <w:sz w:val="24"/>
        </w:rPr>
        <w:t>et al</w:t>
      </w:r>
      <w:r w:rsidR="00200F71" w:rsidRPr="005C69AC">
        <w:rPr>
          <w:rFonts w:ascii="Times New Roman" w:hAnsi="Times New Roman" w:cs="Times New Roman"/>
          <w:sz w:val="24"/>
        </w:rPr>
        <w:t>., 2021)</w:t>
      </w:r>
      <w:r w:rsidRPr="005C69AC">
        <w:rPr>
          <w:rFonts w:ascii="Times New Roman" w:hAnsi="Times New Roman" w:cs="Times New Roman"/>
          <w:sz w:val="24"/>
        </w:rPr>
        <w:t xml:space="preserve">. This not only ensures that </w:t>
      </w:r>
      <w:r w:rsidRPr="005C69AC">
        <w:rPr>
          <w:rFonts w:ascii="Times New Roman" w:hAnsi="Times New Roman" w:cs="Times New Roman"/>
          <w:sz w:val="24"/>
        </w:rPr>
        <w:lastRenderedPageBreak/>
        <w:t xml:space="preserve">representatives have the crucial assets to work proficiently yet in addition ensures the organization embraces versatile working plans. For representatives who may work fewer hours or condensed hours, full weeks or composite work dense weeks respectively, the HR office should ensure that the advantages for instance medical insurance and retirement pledges are adjusted equally. </w:t>
      </w:r>
    </w:p>
    <w:p w14:paraId="543D5102" w14:textId="77777777" w:rsidR="000165CE" w:rsidRPr="005C69AC" w:rsidRDefault="000165CE" w:rsidP="005E700D">
      <w:pPr>
        <w:spacing w:before="240" w:after="240" w:line="360" w:lineRule="auto"/>
        <w:jc w:val="both"/>
        <w:rPr>
          <w:rFonts w:ascii="Times New Roman" w:hAnsi="Times New Roman" w:cs="Times New Roman"/>
          <w:sz w:val="24"/>
        </w:rPr>
      </w:pPr>
    </w:p>
    <w:p w14:paraId="6DBB10CC" w14:textId="77777777" w:rsidR="00A6691A" w:rsidRPr="005C69AC" w:rsidRDefault="0058186F" w:rsidP="007F73C5">
      <w:pPr>
        <w:pStyle w:val="Titlu1"/>
        <w:rPr>
          <w:lang w:val="en-GB"/>
        </w:rPr>
      </w:pPr>
      <w:bookmarkStart w:id="4" w:name="_Toc171802774"/>
      <w:r w:rsidRPr="005C69AC">
        <w:rPr>
          <w:lang w:val="en-GB"/>
        </w:rPr>
        <w:t>Promoting employees</w:t>
      </w:r>
      <w:bookmarkEnd w:id="4"/>
    </w:p>
    <w:p w14:paraId="3C804790"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 xml:space="preserve">Representatives drawn in are fated to be valuable, satisfied, and directed towards the association thus the reason why it is crucial to support approaches that advance participation in </w:t>
      </w:r>
      <w:proofErr w:type="gramStart"/>
      <w:r w:rsidRPr="005C69AC">
        <w:rPr>
          <w:rFonts w:ascii="Times New Roman" w:hAnsi="Times New Roman" w:cs="Times New Roman"/>
          <w:sz w:val="24"/>
        </w:rPr>
        <w:t>an</w:t>
      </w:r>
      <w:proofErr w:type="gramEnd"/>
      <w:r w:rsidRPr="005C69AC">
        <w:rPr>
          <w:rFonts w:ascii="Times New Roman" w:hAnsi="Times New Roman" w:cs="Times New Roman"/>
          <w:sz w:val="24"/>
        </w:rPr>
        <w:t xml:space="preserve"> </w:t>
      </w:r>
      <w:r w:rsidR="00D84CC3">
        <w:rPr>
          <w:rFonts w:ascii="Times New Roman" w:hAnsi="Times New Roman" w:cs="Times New Roman"/>
          <w:sz w:val="24"/>
        </w:rPr>
        <w:t>flexible</w:t>
      </w:r>
      <w:r w:rsidRPr="005C69AC">
        <w:rPr>
          <w:rFonts w:ascii="Times New Roman" w:hAnsi="Times New Roman" w:cs="Times New Roman"/>
          <w:sz w:val="24"/>
        </w:rPr>
        <w:t xml:space="preserve"> work territory. One of the major strategies comprises ensuring direct and effective communication. Organizing through Information sharing is simple and assists with building trust while guaranteeing that representatives are knowledgeable about objectives, changes, and assumptions. VialTech can do standard virtual gatherings, refreshes and synergistic discourses to ensure that all the representatives irrespective of their area of operation feel connected and valued</w:t>
      </w:r>
      <w:r w:rsidR="000A507C" w:rsidRPr="005C69AC">
        <w:rPr>
          <w:rFonts w:ascii="Times New Roman" w:hAnsi="Times New Roman" w:cs="Times New Roman"/>
          <w:sz w:val="24"/>
        </w:rPr>
        <w:t xml:space="preserve"> (</w:t>
      </w:r>
      <w:r w:rsidR="006D686C" w:rsidRPr="005C69AC">
        <w:rPr>
          <w:rFonts w:ascii="Times New Roman" w:hAnsi="Times New Roman" w:cs="Times New Roman"/>
          <w:sz w:val="24"/>
        </w:rPr>
        <w:t>Hamouche,</w:t>
      </w:r>
      <w:r w:rsidR="000A507C" w:rsidRPr="005C69AC">
        <w:rPr>
          <w:rFonts w:ascii="Times New Roman" w:hAnsi="Times New Roman" w:cs="Times New Roman"/>
          <w:sz w:val="24"/>
        </w:rPr>
        <w:t xml:space="preserve"> 2023)</w:t>
      </w:r>
      <w:r w:rsidRPr="005C69AC">
        <w:rPr>
          <w:rFonts w:ascii="Times New Roman" w:hAnsi="Times New Roman" w:cs="Times New Roman"/>
          <w:sz w:val="24"/>
        </w:rPr>
        <w:t>. Such associations can be compatible with these devices, offering them platforms for ongoing communication and collaboration such as Microsoft groups, or Zoom. For example, Siemens has adopted comparable correspondence practices in order to sustain commitments and schedules with its distant workforce and thus increase employee satisfaction and productivity.</w:t>
      </w:r>
    </w:p>
    <w:p w14:paraId="2046370E"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Another imperative conveyed is to offer possibilities to expert positive advancement and career progression. Chemical work should not relinquish representatives’ chances of admission to preparation and advancement possibilities. Thus, this approach can let VialTech deliver internet preparation programs, online courses, and virtual studios to assist with lasting learning and subject mastery. The organization can also perform the function of matching or pairing representatives across organizational units and vocational positions to foster and promote exchange and training</w:t>
      </w:r>
      <w:r w:rsidR="006D686C" w:rsidRPr="005C69AC">
        <w:rPr>
          <w:rFonts w:ascii="Times New Roman" w:hAnsi="Times New Roman" w:cs="Times New Roman"/>
          <w:sz w:val="24"/>
        </w:rPr>
        <w:t xml:space="preserve"> (Archer </w:t>
      </w:r>
      <w:r w:rsidR="006D686C" w:rsidRPr="005C69AC">
        <w:rPr>
          <w:rFonts w:ascii="Times New Roman" w:hAnsi="Times New Roman" w:cs="Times New Roman"/>
          <w:i/>
          <w:sz w:val="24"/>
        </w:rPr>
        <w:t>et al</w:t>
      </w:r>
      <w:r w:rsidR="006D686C" w:rsidRPr="005C69AC">
        <w:rPr>
          <w:rFonts w:ascii="Times New Roman" w:hAnsi="Times New Roman" w:cs="Times New Roman"/>
          <w:sz w:val="24"/>
        </w:rPr>
        <w:t>., 2023)</w:t>
      </w:r>
      <w:r w:rsidRPr="005C69AC">
        <w:rPr>
          <w:rFonts w:ascii="Times New Roman" w:hAnsi="Times New Roman" w:cs="Times New Roman"/>
          <w:sz w:val="24"/>
        </w:rPr>
        <w:t xml:space="preserve">. This approach aligns with what has been said in the Self-Assurance Hypothesis and stresses the importance of independence, competency, and relevance to enhance representational motivation and civility. Reward and recognition are also crucial in promoting employee loyalty. VialTech needs to encourage an active recognition program that rewards workers’ contributions and efforts irrespective of the environment they work. Some examples of this may be friend acknowledgement stages, </w:t>
      </w:r>
      <w:r w:rsidRPr="005C69AC">
        <w:rPr>
          <w:rFonts w:ascii="Times New Roman" w:hAnsi="Times New Roman" w:cs="Times New Roman"/>
          <w:sz w:val="24"/>
        </w:rPr>
        <w:lastRenderedPageBreak/>
        <w:t>scream-outs included in organization bulletins, and virtual honours services</w:t>
      </w:r>
      <w:r w:rsidR="009B5070" w:rsidRPr="005C69AC">
        <w:rPr>
          <w:rFonts w:ascii="Times New Roman" w:hAnsi="Times New Roman" w:cs="Times New Roman"/>
          <w:sz w:val="24"/>
        </w:rPr>
        <w:t xml:space="preserve"> (Kosunen </w:t>
      </w:r>
      <w:r w:rsidR="009B5070" w:rsidRPr="005C69AC">
        <w:rPr>
          <w:rFonts w:ascii="Times New Roman" w:hAnsi="Times New Roman" w:cs="Times New Roman"/>
          <w:i/>
          <w:sz w:val="24"/>
        </w:rPr>
        <w:t>et al</w:t>
      </w:r>
      <w:r w:rsidR="009B5070" w:rsidRPr="005C69AC">
        <w:rPr>
          <w:rFonts w:ascii="Times New Roman" w:hAnsi="Times New Roman" w:cs="Times New Roman"/>
          <w:sz w:val="24"/>
        </w:rPr>
        <w:t>., 2022)</w:t>
      </w:r>
      <w:r w:rsidRPr="005C69AC">
        <w:rPr>
          <w:rFonts w:ascii="Times New Roman" w:hAnsi="Times New Roman" w:cs="Times New Roman"/>
          <w:sz w:val="24"/>
        </w:rPr>
        <w:t>. The motivating force that can continue reminding representatives about the organization and centre around receipt of focuses for achieving specific execution or for specific patterns of behaviour is also good. Organizations like Google have efficiently practised such acknowledgment projects to maintain a high level of employee motivation and adherence to the policies that advocate for flexibility in the workplace.</w:t>
      </w:r>
    </w:p>
    <w:p w14:paraId="40BAE276" w14:textId="77777777" w:rsidR="00D60A80"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Ensuring a balance between business and pleasure-making is another basic strategy that is used. Flexible working strategies of action should not cause depletion or fatigue. It offers VialTech possibilities to progress balanced fun-to-serious ratio by expanding certain unambiguous borders regarding working time, supporting standard breaks, and providing resources for well-being and welfare. Such drives as well-being programs, online wellness classes, and access to counselling services can support the employees’ health</w:t>
      </w:r>
      <w:r w:rsidR="00C41809" w:rsidRPr="005C69AC">
        <w:rPr>
          <w:rFonts w:ascii="Times New Roman" w:hAnsi="Times New Roman" w:cs="Times New Roman"/>
          <w:sz w:val="24"/>
        </w:rPr>
        <w:t xml:space="preserve"> (Willinsky, 2022)</w:t>
      </w:r>
      <w:r w:rsidRPr="005C69AC">
        <w:rPr>
          <w:rFonts w:ascii="Times New Roman" w:hAnsi="Times New Roman" w:cs="Times New Roman"/>
          <w:sz w:val="24"/>
        </w:rPr>
        <w:t xml:space="preserve">. For instance, Salesforce has implemented comprehensive health programs that have revolutionized corporate wellness and workers’ well-being; they have shifted the paradigm. Finally, it is important to work on the formation of the spirit of the local area and belonging to it. Flexible working can every once in a while cause feelings of isolation, therefore defining opportunities for social interaction and team bonding are desirable. As for communication and relation building, VialTech can arrange virtual group recreational activities, meetings, and interest group meetings for the representatives. </w:t>
      </w:r>
    </w:p>
    <w:p w14:paraId="6EFD58E5" w14:textId="77777777" w:rsidR="000165CE" w:rsidRPr="005C69AC" w:rsidRDefault="000165CE" w:rsidP="005E700D">
      <w:pPr>
        <w:spacing w:before="240" w:after="240" w:line="360" w:lineRule="auto"/>
        <w:jc w:val="both"/>
        <w:rPr>
          <w:rFonts w:ascii="Times New Roman" w:hAnsi="Times New Roman" w:cs="Times New Roman"/>
          <w:sz w:val="24"/>
        </w:rPr>
      </w:pPr>
    </w:p>
    <w:p w14:paraId="5C8EA28E" w14:textId="77777777" w:rsidR="00C15AC8" w:rsidRPr="005C69AC" w:rsidRDefault="00C15AC8" w:rsidP="007F73C5">
      <w:pPr>
        <w:pStyle w:val="Titlu1"/>
        <w:rPr>
          <w:lang w:val="en-GB"/>
        </w:rPr>
      </w:pPr>
      <w:bookmarkStart w:id="5" w:name="_Toc171802775"/>
      <w:r w:rsidRPr="005C69AC">
        <w:rPr>
          <w:lang w:val="en-GB"/>
        </w:rPr>
        <w:t>Conclusion</w:t>
      </w:r>
      <w:bookmarkEnd w:id="5"/>
    </w:p>
    <w:p w14:paraId="66FF0BAF" w14:textId="77777777" w:rsidR="00D60A80" w:rsidRPr="005C69AC" w:rsidRDefault="00D60A80" w:rsidP="005E700D">
      <w:pPr>
        <w:spacing w:before="240" w:after="240" w:line="360" w:lineRule="auto"/>
        <w:jc w:val="both"/>
        <w:rPr>
          <w:rFonts w:ascii="Times New Roman" w:hAnsi="Times New Roman" w:cs="Times New Roman"/>
          <w:sz w:val="24"/>
        </w:rPr>
      </w:pPr>
      <w:r w:rsidRPr="005C69AC">
        <w:rPr>
          <w:rFonts w:ascii="Times New Roman" w:hAnsi="Times New Roman" w:cs="Times New Roman"/>
          <w:sz w:val="24"/>
        </w:rPr>
        <w:t>Implementing flexible working at VialTech can elevate effectiveness, satisfaction, and preservation. These are correspondence, turn of events, acknowledgement, a mix of fun and serious play, and local area construction. By conclusively catering for these areas, VialTech can fashion a much enhanced, linking workplace environment for the two agents and the firm. The outcome of this technique ensured that VialTech will remain competitive and fluid in the emerging medical services environment and represent morale and performance.</w:t>
      </w:r>
    </w:p>
    <w:p w14:paraId="61701A34" w14:textId="77777777" w:rsidR="005D38CD" w:rsidRPr="005C69AC" w:rsidRDefault="005D38CD">
      <w:pPr>
        <w:rPr>
          <w:rFonts w:ascii="Times New Roman" w:hAnsi="Times New Roman" w:cs="Times New Roman"/>
          <w:sz w:val="24"/>
        </w:rPr>
      </w:pPr>
      <w:r w:rsidRPr="005C69AC">
        <w:rPr>
          <w:rFonts w:ascii="Times New Roman" w:hAnsi="Times New Roman" w:cs="Times New Roman"/>
          <w:sz w:val="24"/>
        </w:rPr>
        <w:br w:type="page"/>
      </w:r>
    </w:p>
    <w:p w14:paraId="24AA30BB" w14:textId="77777777" w:rsidR="0068262E" w:rsidRPr="005C69AC" w:rsidRDefault="005D38CD" w:rsidP="007F73C5">
      <w:pPr>
        <w:pStyle w:val="Titlu1"/>
        <w:rPr>
          <w:lang w:val="en-GB"/>
        </w:rPr>
      </w:pPr>
      <w:bookmarkStart w:id="6" w:name="_Toc171802776"/>
      <w:r w:rsidRPr="005C69AC">
        <w:rPr>
          <w:lang w:val="en-GB"/>
        </w:rPr>
        <w:lastRenderedPageBreak/>
        <w:t>Reference List</w:t>
      </w:r>
      <w:bookmarkEnd w:id="6"/>
    </w:p>
    <w:p w14:paraId="301C48BB" w14:textId="77777777" w:rsidR="00AD50B6" w:rsidRPr="005C69AC" w:rsidRDefault="00AD50B6" w:rsidP="00AD50B6">
      <w:pPr>
        <w:pStyle w:val="NormalWeb"/>
        <w:spacing w:before="0" w:beforeAutospacing="0" w:after="0" w:afterAutospacing="0" w:line="360" w:lineRule="auto"/>
        <w:jc w:val="both"/>
        <w:rPr>
          <w:lang w:val="en-GB"/>
        </w:rPr>
      </w:pPr>
      <w:proofErr w:type="spellStart"/>
      <w:r w:rsidRPr="005C69AC">
        <w:rPr>
          <w:color w:val="222222"/>
          <w:shd w:val="clear" w:color="auto" w:fill="FFFFFF"/>
          <w:lang w:val="en-GB"/>
        </w:rPr>
        <w:t>Angelici</w:t>
      </w:r>
      <w:proofErr w:type="spellEnd"/>
      <w:r w:rsidRPr="005C69AC">
        <w:rPr>
          <w:color w:val="222222"/>
          <w:shd w:val="clear" w:color="auto" w:fill="FFFFFF"/>
          <w:lang w:val="en-GB"/>
        </w:rPr>
        <w:t xml:space="preserve">, M. and Profeta, P., 2024. Smart working: work flexibility without constraints. </w:t>
      </w:r>
      <w:r w:rsidRPr="005C69AC">
        <w:rPr>
          <w:i/>
          <w:iCs/>
          <w:color w:val="222222"/>
          <w:shd w:val="clear" w:color="auto" w:fill="FFFFFF"/>
          <w:lang w:val="en-GB"/>
        </w:rPr>
        <w:t>Management Science</w:t>
      </w:r>
      <w:r w:rsidRPr="005C69AC">
        <w:rPr>
          <w:color w:val="222222"/>
          <w:shd w:val="clear" w:color="auto" w:fill="FFFFFF"/>
          <w:lang w:val="en-GB"/>
        </w:rPr>
        <w:t xml:space="preserve">, </w:t>
      </w:r>
      <w:r w:rsidRPr="005C69AC">
        <w:rPr>
          <w:i/>
          <w:iCs/>
          <w:color w:val="222222"/>
          <w:shd w:val="clear" w:color="auto" w:fill="FFFFFF"/>
          <w:lang w:val="en-GB"/>
        </w:rPr>
        <w:t>70</w:t>
      </w:r>
      <w:r w:rsidRPr="005C69AC">
        <w:rPr>
          <w:color w:val="222222"/>
          <w:shd w:val="clear" w:color="auto" w:fill="FFFFFF"/>
          <w:lang w:val="en-GB"/>
        </w:rPr>
        <w:t>(3), pp.1680-1705.</w:t>
      </w:r>
    </w:p>
    <w:p w14:paraId="481EFCC2"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Archer, L., Francis, B., Moote, J., Watson, E., Henderson, M., Holmegaard, H. and MacLeod, E., 2023. Reasons for not/choosing chemistry: Why advanced level chemistry students in England do/not pursue chemistry undergraduate degrees. </w:t>
      </w:r>
      <w:r w:rsidRPr="005C69AC">
        <w:rPr>
          <w:i/>
          <w:iCs/>
          <w:color w:val="222222"/>
          <w:shd w:val="clear" w:color="auto" w:fill="FFFFFF"/>
          <w:lang w:val="en-GB"/>
        </w:rPr>
        <w:t>Journal of Research in Science Teaching</w:t>
      </w:r>
      <w:r w:rsidRPr="005C69AC">
        <w:rPr>
          <w:color w:val="222222"/>
          <w:shd w:val="clear" w:color="auto" w:fill="FFFFFF"/>
          <w:lang w:val="en-GB"/>
        </w:rPr>
        <w:t xml:space="preserve">, </w:t>
      </w:r>
      <w:r w:rsidRPr="005C69AC">
        <w:rPr>
          <w:i/>
          <w:iCs/>
          <w:color w:val="222222"/>
          <w:shd w:val="clear" w:color="auto" w:fill="FFFFFF"/>
          <w:lang w:val="en-GB"/>
        </w:rPr>
        <w:t>60</w:t>
      </w:r>
      <w:r w:rsidRPr="005C69AC">
        <w:rPr>
          <w:color w:val="222222"/>
          <w:shd w:val="clear" w:color="auto" w:fill="FFFFFF"/>
          <w:lang w:val="en-GB"/>
        </w:rPr>
        <w:t>(5), pp.978-1013.</w:t>
      </w:r>
    </w:p>
    <w:p w14:paraId="67D37B9C" w14:textId="77777777" w:rsidR="00AD50B6" w:rsidRPr="005C69AC" w:rsidRDefault="00AD50B6" w:rsidP="00AD50B6">
      <w:pPr>
        <w:pStyle w:val="NormalWeb"/>
        <w:spacing w:before="0" w:beforeAutospacing="0" w:after="0" w:afterAutospacing="0" w:line="360" w:lineRule="auto"/>
        <w:jc w:val="both"/>
        <w:rPr>
          <w:lang w:val="en-GB"/>
        </w:rPr>
      </w:pPr>
      <w:proofErr w:type="spellStart"/>
      <w:r w:rsidRPr="005C69AC">
        <w:rPr>
          <w:color w:val="222222"/>
          <w:shd w:val="clear" w:color="auto" w:fill="FFFFFF"/>
          <w:lang w:val="en-GB"/>
        </w:rPr>
        <w:t>Bettac</w:t>
      </w:r>
      <w:proofErr w:type="spellEnd"/>
      <w:r w:rsidRPr="005C69AC">
        <w:rPr>
          <w:color w:val="222222"/>
          <w:shd w:val="clear" w:color="auto" w:fill="FFFFFF"/>
          <w:lang w:val="en-GB"/>
        </w:rPr>
        <w:t xml:space="preserve">, E.L., 2021. </w:t>
      </w:r>
      <w:r w:rsidRPr="005C69AC">
        <w:rPr>
          <w:i/>
          <w:iCs/>
          <w:color w:val="222222"/>
          <w:shd w:val="clear" w:color="auto" w:fill="FFFFFF"/>
          <w:lang w:val="en-GB"/>
        </w:rPr>
        <w:t>Flexible Working Arrangements, Work-Family Conflict, and Culture: Multilevel Effects on Country-Level Outcomes</w:t>
      </w:r>
      <w:r w:rsidRPr="005C69AC">
        <w:rPr>
          <w:color w:val="222222"/>
          <w:shd w:val="clear" w:color="auto" w:fill="FFFFFF"/>
          <w:lang w:val="en-GB"/>
        </w:rPr>
        <w:t>. Washington State University.</w:t>
      </w:r>
    </w:p>
    <w:p w14:paraId="373A0768"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Boivin, D.B., Boudreau, P. and </w:t>
      </w:r>
      <w:proofErr w:type="spellStart"/>
      <w:r w:rsidRPr="005C69AC">
        <w:rPr>
          <w:color w:val="222222"/>
          <w:shd w:val="clear" w:color="auto" w:fill="FFFFFF"/>
          <w:lang w:val="en-GB"/>
        </w:rPr>
        <w:t>Kosmadopoulos</w:t>
      </w:r>
      <w:proofErr w:type="spellEnd"/>
      <w:r w:rsidRPr="005C69AC">
        <w:rPr>
          <w:color w:val="222222"/>
          <w:shd w:val="clear" w:color="auto" w:fill="FFFFFF"/>
          <w:lang w:val="en-GB"/>
        </w:rPr>
        <w:t xml:space="preserve">, A., 2022. Disturbance of the circadian system in shift work and its health impact. </w:t>
      </w:r>
      <w:r w:rsidRPr="005C69AC">
        <w:rPr>
          <w:i/>
          <w:iCs/>
          <w:color w:val="222222"/>
          <w:shd w:val="clear" w:color="auto" w:fill="FFFFFF"/>
          <w:lang w:val="en-GB"/>
        </w:rPr>
        <w:t>Journal of biological rhythms</w:t>
      </w:r>
      <w:r w:rsidRPr="005C69AC">
        <w:rPr>
          <w:color w:val="222222"/>
          <w:shd w:val="clear" w:color="auto" w:fill="FFFFFF"/>
          <w:lang w:val="en-GB"/>
        </w:rPr>
        <w:t xml:space="preserve">, </w:t>
      </w:r>
      <w:r w:rsidRPr="005C69AC">
        <w:rPr>
          <w:i/>
          <w:iCs/>
          <w:color w:val="222222"/>
          <w:shd w:val="clear" w:color="auto" w:fill="FFFFFF"/>
          <w:lang w:val="en-GB"/>
        </w:rPr>
        <w:t>37</w:t>
      </w:r>
      <w:r w:rsidRPr="005C69AC">
        <w:rPr>
          <w:color w:val="222222"/>
          <w:shd w:val="clear" w:color="auto" w:fill="FFFFFF"/>
          <w:lang w:val="en-GB"/>
        </w:rPr>
        <w:t>(1), pp.3-28.</w:t>
      </w:r>
    </w:p>
    <w:p w14:paraId="483B04A9"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Chatterjee, S., Chaudhuri, R. and </w:t>
      </w:r>
      <w:proofErr w:type="spellStart"/>
      <w:r w:rsidRPr="005C69AC">
        <w:rPr>
          <w:color w:val="222222"/>
          <w:shd w:val="clear" w:color="auto" w:fill="FFFFFF"/>
          <w:lang w:val="en-GB"/>
        </w:rPr>
        <w:t>Vrontis</w:t>
      </w:r>
      <w:proofErr w:type="spellEnd"/>
      <w:r w:rsidRPr="005C69AC">
        <w:rPr>
          <w:color w:val="222222"/>
          <w:shd w:val="clear" w:color="auto" w:fill="FFFFFF"/>
          <w:lang w:val="en-GB"/>
        </w:rPr>
        <w:t xml:space="preserve">, D., 2022. Does remote work flexibility enhance organization performance? Moderating role of organization policy and top management support. </w:t>
      </w:r>
      <w:r w:rsidRPr="005C69AC">
        <w:rPr>
          <w:i/>
          <w:iCs/>
          <w:color w:val="222222"/>
          <w:shd w:val="clear" w:color="auto" w:fill="FFFFFF"/>
          <w:lang w:val="en-GB"/>
        </w:rPr>
        <w:t>Journal of Business Research</w:t>
      </w:r>
      <w:r w:rsidRPr="005C69AC">
        <w:rPr>
          <w:color w:val="222222"/>
          <w:shd w:val="clear" w:color="auto" w:fill="FFFFFF"/>
          <w:lang w:val="en-GB"/>
        </w:rPr>
        <w:t xml:space="preserve">, </w:t>
      </w:r>
      <w:r w:rsidRPr="005C69AC">
        <w:rPr>
          <w:i/>
          <w:iCs/>
          <w:color w:val="222222"/>
          <w:shd w:val="clear" w:color="auto" w:fill="FFFFFF"/>
          <w:lang w:val="en-GB"/>
        </w:rPr>
        <w:t>139</w:t>
      </w:r>
      <w:r w:rsidRPr="005C69AC">
        <w:rPr>
          <w:color w:val="222222"/>
          <w:shd w:val="clear" w:color="auto" w:fill="FFFFFF"/>
          <w:lang w:val="en-GB"/>
        </w:rPr>
        <w:t>, pp.1501-1512.</w:t>
      </w:r>
    </w:p>
    <w:p w14:paraId="1B2EA61B"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Chung, H. and Van der Lippe, T., 2020. Flexible working, work–life balance, and gender equality: Introduction. </w:t>
      </w:r>
      <w:r w:rsidRPr="005C69AC">
        <w:rPr>
          <w:i/>
          <w:iCs/>
          <w:color w:val="222222"/>
          <w:shd w:val="clear" w:color="auto" w:fill="FFFFFF"/>
          <w:lang w:val="en-GB"/>
        </w:rPr>
        <w:t>Social indicators research</w:t>
      </w:r>
      <w:r w:rsidRPr="005C69AC">
        <w:rPr>
          <w:color w:val="222222"/>
          <w:shd w:val="clear" w:color="auto" w:fill="FFFFFF"/>
          <w:lang w:val="en-GB"/>
        </w:rPr>
        <w:t xml:space="preserve">, </w:t>
      </w:r>
      <w:r w:rsidRPr="005C69AC">
        <w:rPr>
          <w:i/>
          <w:iCs/>
          <w:color w:val="222222"/>
          <w:shd w:val="clear" w:color="auto" w:fill="FFFFFF"/>
          <w:lang w:val="en-GB"/>
        </w:rPr>
        <w:t>151</w:t>
      </w:r>
      <w:r w:rsidRPr="005C69AC">
        <w:rPr>
          <w:color w:val="222222"/>
          <w:shd w:val="clear" w:color="auto" w:fill="FFFFFF"/>
          <w:lang w:val="en-GB"/>
        </w:rPr>
        <w:t>(2), pp.365-381.</w:t>
      </w:r>
    </w:p>
    <w:p w14:paraId="67A7240F"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Chung, H., 2020. Gender, flexibility stigma and the perceived negative consequences of flexible working in the UK. </w:t>
      </w:r>
      <w:r w:rsidRPr="005C69AC">
        <w:rPr>
          <w:i/>
          <w:iCs/>
          <w:color w:val="222222"/>
          <w:shd w:val="clear" w:color="auto" w:fill="FFFFFF"/>
          <w:lang w:val="en-GB"/>
        </w:rPr>
        <w:t>Social indicators research</w:t>
      </w:r>
      <w:r w:rsidRPr="005C69AC">
        <w:rPr>
          <w:color w:val="222222"/>
          <w:shd w:val="clear" w:color="auto" w:fill="FFFFFF"/>
          <w:lang w:val="en-GB"/>
        </w:rPr>
        <w:t xml:space="preserve">, </w:t>
      </w:r>
      <w:r w:rsidRPr="005C69AC">
        <w:rPr>
          <w:i/>
          <w:iCs/>
          <w:color w:val="222222"/>
          <w:shd w:val="clear" w:color="auto" w:fill="FFFFFF"/>
          <w:lang w:val="en-GB"/>
        </w:rPr>
        <w:t>151</w:t>
      </w:r>
      <w:r w:rsidRPr="005C69AC">
        <w:rPr>
          <w:color w:val="222222"/>
          <w:shd w:val="clear" w:color="auto" w:fill="FFFFFF"/>
          <w:lang w:val="en-GB"/>
        </w:rPr>
        <w:t>(2), pp.521-545.</w:t>
      </w:r>
    </w:p>
    <w:p w14:paraId="121F53E1"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Davidescu, A.A., Apostu, S.A., Paul, A. and </w:t>
      </w:r>
      <w:proofErr w:type="spellStart"/>
      <w:r w:rsidRPr="005C69AC">
        <w:rPr>
          <w:color w:val="222222"/>
          <w:shd w:val="clear" w:color="auto" w:fill="FFFFFF"/>
          <w:lang w:val="en-GB"/>
        </w:rPr>
        <w:t>Casuneanu</w:t>
      </w:r>
      <w:proofErr w:type="spellEnd"/>
      <w:r w:rsidRPr="005C69AC">
        <w:rPr>
          <w:color w:val="222222"/>
          <w:shd w:val="clear" w:color="auto" w:fill="FFFFFF"/>
          <w:lang w:val="en-GB"/>
        </w:rPr>
        <w:t xml:space="preserve">, I., 2020. Work flexibility, job satisfaction, and job performance among Romanian employees—Implications for sustainable human resource management. </w:t>
      </w:r>
      <w:r w:rsidRPr="005C69AC">
        <w:rPr>
          <w:i/>
          <w:iCs/>
          <w:color w:val="222222"/>
          <w:shd w:val="clear" w:color="auto" w:fill="FFFFFF"/>
          <w:lang w:val="en-GB"/>
        </w:rPr>
        <w:t>Sustainability</w:t>
      </w:r>
      <w:r w:rsidRPr="005C69AC">
        <w:rPr>
          <w:color w:val="222222"/>
          <w:shd w:val="clear" w:color="auto" w:fill="FFFFFF"/>
          <w:lang w:val="en-GB"/>
        </w:rPr>
        <w:t xml:space="preserve">, </w:t>
      </w:r>
      <w:r w:rsidRPr="005C69AC">
        <w:rPr>
          <w:i/>
          <w:iCs/>
          <w:color w:val="222222"/>
          <w:shd w:val="clear" w:color="auto" w:fill="FFFFFF"/>
          <w:lang w:val="en-GB"/>
        </w:rPr>
        <w:t>12</w:t>
      </w:r>
      <w:r w:rsidRPr="005C69AC">
        <w:rPr>
          <w:color w:val="222222"/>
          <w:shd w:val="clear" w:color="auto" w:fill="FFFFFF"/>
          <w:lang w:val="en-GB"/>
        </w:rPr>
        <w:t>(15), p.6086.</w:t>
      </w:r>
    </w:p>
    <w:p w14:paraId="56E19EF3"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Ferreira, R., Pereira, R., Bianchi, I.S. and da Silva, M.M., 2021. Decision factors for remote work adoption: advantages, disadvantages, driving forces and challenges. </w:t>
      </w:r>
      <w:r w:rsidRPr="005C69AC">
        <w:rPr>
          <w:i/>
          <w:iCs/>
          <w:color w:val="222222"/>
          <w:shd w:val="clear" w:color="auto" w:fill="FFFFFF"/>
          <w:lang w:val="en-GB"/>
        </w:rPr>
        <w:t>Journal of Open Innovation: Technology, Market, and Complexity</w:t>
      </w:r>
      <w:r w:rsidRPr="005C69AC">
        <w:rPr>
          <w:color w:val="222222"/>
          <w:shd w:val="clear" w:color="auto" w:fill="FFFFFF"/>
          <w:lang w:val="en-GB"/>
        </w:rPr>
        <w:t xml:space="preserve">, </w:t>
      </w:r>
      <w:r w:rsidRPr="005C69AC">
        <w:rPr>
          <w:i/>
          <w:iCs/>
          <w:color w:val="222222"/>
          <w:shd w:val="clear" w:color="auto" w:fill="FFFFFF"/>
          <w:lang w:val="en-GB"/>
        </w:rPr>
        <w:t>7</w:t>
      </w:r>
      <w:r w:rsidRPr="005C69AC">
        <w:rPr>
          <w:color w:val="222222"/>
          <w:shd w:val="clear" w:color="auto" w:fill="FFFFFF"/>
          <w:lang w:val="en-GB"/>
        </w:rPr>
        <w:t>(1), p.70.</w:t>
      </w:r>
    </w:p>
    <w:p w14:paraId="289BC3AB"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Hamouche, S., 2023. Human resource management and the COVID-19 crisis: Implications, challenges, opportunities, and future organizational directions. </w:t>
      </w:r>
      <w:r w:rsidRPr="005C69AC">
        <w:rPr>
          <w:i/>
          <w:iCs/>
          <w:color w:val="222222"/>
          <w:shd w:val="clear" w:color="auto" w:fill="FFFFFF"/>
          <w:lang w:val="en-GB"/>
        </w:rPr>
        <w:t>Journal of Management &amp; Organization</w:t>
      </w:r>
      <w:r w:rsidRPr="005C69AC">
        <w:rPr>
          <w:color w:val="222222"/>
          <w:shd w:val="clear" w:color="auto" w:fill="FFFFFF"/>
          <w:lang w:val="en-GB"/>
        </w:rPr>
        <w:t xml:space="preserve">, </w:t>
      </w:r>
      <w:r w:rsidRPr="005C69AC">
        <w:rPr>
          <w:i/>
          <w:iCs/>
          <w:color w:val="222222"/>
          <w:shd w:val="clear" w:color="auto" w:fill="FFFFFF"/>
          <w:lang w:val="en-GB"/>
        </w:rPr>
        <w:t>29</w:t>
      </w:r>
      <w:r w:rsidRPr="005C69AC">
        <w:rPr>
          <w:color w:val="222222"/>
          <w:shd w:val="clear" w:color="auto" w:fill="FFFFFF"/>
          <w:lang w:val="en-GB"/>
        </w:rPr>
        <w:t>(5), pp.799-814.</w:t>
      </w:r>
    </w:p>
    <w:p w14:paraId="7AAE4678"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Kosunen, S., Niemi, A.M. and Laaksonen, L.M., 2022. Class, migrant background and misrecognition of capital in the university admission. </w:t>
      </w:r>
      <w:r w:rsidRPr="005C69AC">
        <w:rPr>
          <w:i/>
          <w:iCs/>
          <w:color w:val="222222"/>
          <w:shd w:val="clear" w:color="auto" w:fill="FFFFFF"/>
          <w:lang w:val="en-GB"/>
        </w:rPr>
        <w:t>Ethnography and Education</w:t>
      </w:r>
      <w:r w:rsidRPr="005C69AC">
        <w:rPr>
          <w:color w:val="222222"/>
          <w:shd w:val="clear" w:color="auto" w:fill="FFFFFF"/>
          <w:lang w:val="en-GB"/>
        </w:rPr>
        <w:t xml:space="preserve">, </w:t>
      </w:r>
      <w:r w:rsidRPr="005C69AC">
        <w:rPr>
          <w:i/>
          <w:iCs/>
          <w:color w:val="222222"/>
          <w:shd w:val="clear" w:color="auto" w:fill="FFFFFF"/>
          <w:lang w:val="en-GB"/>
        </w:rPr>
        <w:t>17</w:t>
      </w:r>
      <w:r w:rsidRPr="005C69AC">
        <w:rPr>
          <w:color w:val="222222"/>
          <w:shd w:val="clear" w:color="auto" w:fill="FFFFFF"/>
          <w:lang w:val="en-GB"/>
        </w:rPr>
        <w:t>(4), pp.368-388.</w:t>
      </w:r>
    </w:p>
    <w:p w14:paraId="0AD25126"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Li, J., Pega, F., </w:t>
      </w:r>
      <w:proofErr w:type="spellStart"/>
      <w:r w:rsidRPr="005C69AC">
        <w:rPr>
          <w:color w:val="222222"/>
          <w:shd w:val="clear" w:color="auto" w:fill="FFFFFF"/>
          <w:lang w:val="en-GB"/>
        </w:rPr>
        <w:t>Ujita</w:t>
      </w:r>
      <w:proofErr w:type="spellEnd"/>
      <w:r w:rsidRPr="005C69AC">
        <w:rPr>
          <w:color w:val="222222"/>
          <w:shd w:val="clear" w:color="auto" w:fill="FFFFFF"/>
          <w:lang w:val="en-GB"/>
        </w:rPr>
        <w:t xml:space="preserve">, Y., Brisson, C., Clays, E., </w:t>
      </w:r>
      <w:proofErr w:type="spellStart"/>
      <w:r w:rsidRPr="005C69AC">
        <w:rPr>
          <w:color w:val="222222"/>
          <w:shd w:val="clear" w:color="auto" w:fill="FFFFFF"/>
          <w:lang w:val="en-GB"/>
        </w:rPr>
        <w:t>Descatha</w:t>
      </w:r>
      <w:proofErr w:type="spellEnd"/>
      <w:r w:rsidRPr="005C69AC">
        <w:rPr>
          <w:color w:val="222222"/>
          <w:shd w:val="clear" w:color="auto" w:fill="FFFFFF"/>
          <w:lang w:val="en-GB"/>
        </w:rPr>
        <w:t xml:space="preserve">, A., Ferrario, M.M., </w:t>
      </w:r>
      <w:proofErr w:type="spellStart"/>
      <w:r w:rsidRPr="005C69AC">
        <w:rPr>
          <w:color w:val="222222"/>
          <w:shd w:val="clear" w:color="auto" w:fill="FFFFFF"/>
          <w:lang w:val="en-GB"/>
        </w:rPr>
        <w:t>Godderis</w:t>
      </w:r>
      <w:proofErr w:type="spellEnd"/>
      <w:r w:rsidRPr="005C69AC">
        <w:rPr>
          <w:color w:val="222222"/>
          <w:shd w:val="clear" w:color="auto" w:fill="FFFFFF"/>
          <w:lang w:val="en-GB"/>
        </w:rPr>
        <w:t xml:space="preserve">, L., </w:t>
      </w:r>
      <w:proofErr w:type="spellStart"/>
      <w:r w:rsidRPr="005C69AC">
        <w:rPr>
          <w:color w:val="222222"/>
          <w:shd w:val="clear" w:color="auto" w:fill="FFFFFF"/>
          <w:lang w:val="en-GB"/>
        </w:rPr>
        <w:t>Iavicoli</w:t>
      </w:r>
      <w:proofErr w:type="spellEnd"/>
      <w:r w:rsidRPr="005C69AC">
        <w:rPr>
          <w:color w:val="222222"/>
          <w:shd w:val="clear" w:color="auto" w:fill="FFFFFF"/>
          <w:lang w:val="en-GB"/>
        </w:rPr>
        <w:t xml:space="preserve">, S., Landsbergis, P.A. and </w:t>
      </w:r>
      <w:proofErr w:type="spellStart"/>
      <w:r w:rsidRPr="005C69AC">
        <w:rPr>
          <w:color w:val="222222"/>
          <w:shd w:val="clear" w:color="auto" w:fill="FFFFFF"/>
          <w:lang w:val="en-GB"/>
        </w:rPr>
        <w:t>Metzendorf</w:t>
      </w:r>
      <w:proofErr w:type="spellEnd"/>
      <w:r w:rsidRPr="005C69AC">
        <w:rPr>
          <w:color w:val="222222"/>
          <w:shd w:val="clear" w:color="auto" w:fill="FFFFFF"/>
          <w:lang w:val="en-GB"/>
        </w:rPr>
        <w:t xml:space="preserve">, M.I., 2020. The effect of exposure to long working hours on ischaemic heart disease: A systematic review and meta-analysis from the </w:t>
      </w:r>
      <w:r w:rsidRPr="005C69AC">
        <w:rPr>
          <w:color w:val="222222"/>
          <w:shd w:val="clear" w:color="auto" w:fill="FFFFFF"/>
          <w:lang w:val="en-GB"/>
        </w:rPr>
        <w:lastRenderedPageBreak/>
        <w:t xml:space="preserve">WHO/ILO Joint Estimates of the Work-related Burden of Disease and Injury. </w:t>
      </w:r>
      <w:r w:rsidRPr="005C69AC">
        <w:rPr>
          <w:i/>
          <w:iCs/>
          <w:color w:val="222222"/>
          <w:shd w:val="clear" w:color="auto" w:fill="FFFFFF"/>
          <w:lang w:val="en-GB"/>
        </w:rPr>
        <w:t>Environment international</w:t>
      </w:r>
      <w:r w:rsidRPr="005C69AC">
        <w:rPr>
          <w:color w:val="222222"/>
          <w:shd w:val="clear" w:color="auto" w:fill="FFFFFF"/>
          <w:lang w:val="en-GB"/>
        </w:rPr>
        <w:t xml:space="preserve">, </w:t>
      </w:r>
      <w:r w:rsidRPr="005C69AC">
        <w:rPr>
          <w:i/>
          <w:iCs/>
          <w:color w:val="222222"/>
          <w:shd w:val="clear" w:color="auto" w:fill="FFFFFF"/>
          <w:lang w:val="en-GB"/>
        </w:rPr>
        <w:t>142</w:t>
      </w:r>
      <w:r w:rsidRPr="005C69AC">
        <w:rPr>
          <w:color w:val="222222"/>
          <w:shd w:val="clear" w:color="auto" w:fill="FFFFFF"/>
          <w:lang w:val="en-GB"/>
        </w:rPr>
        <w:t>, p.105739.</w:t>
      </w:r>
    </w:p>
    <w:p w14:paraId="417FD37B"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Mousa, M.S., </w:t>
      </w:r>
      <w:proofErr w:type="spellStart"/>
      <w:r w:rsidRPr="005C69AC">
        <w:rPr>
          <w:color w:val="222222"/>
          <w:shd w:val="clear" w:color="auto" w:fill="FFFFFF"/>
          <w:lang w:val="en-GB"/>
        </w:rPr>
        <w:t>Tulbure</w:t>
      </w:r>
      <w:proofErr w:type="spellEnd"/>
      <w:r w:rsidRPr="005C69AC">
        <w:rPr>
          <w:color w:val="222222"/>
          <w:shd w:val="clear" w:color="auto" w:fill="FFFFFF"/>
          <w:lang w:val="en-GB"/>
        </w:rPr>
        <w:t xml:space="preserve">, I. and </w:t>
      </w:r>
      <w:proofErr w:type="spellStart"/>
      <w:r w:rsidRPr="005C69AC">
        <w:rPr>
          <w:color w:val="222222"/>
          <w:shd w:val="clear" w:color="auto" w:fill="FFFFFF"/>
          <w:lang w:val="en-GB"/>
        </w:rPr>
        <w:t>Fawaeer</w:t>
      </w:r>
      <w:proofErr w:type="spellEnd"/>
      <w:r w:rsidRPr="005C69AC">
        <w:rPr>
          <w:color w:val="222222"/>
          <w:shd w:val="clear" w:color="auto" w:fill="FFFFFF"/>
          <w:lang w:val="en-GB"/>
        </w:rPr>
        <w:t xml:space="preserve">, S., 2023. Environmental monitoring odds by carbon nanotubes: a sustainable approach. </w:t>
      </w:r>
      <w:r w:rsidRPr="005C69AC">
        <w:rPr>
          <w:i/>
          <w:iCs/>
          <w:color w:val="222222"/>
          <w:shd w:val="clear" w:color="auto" w:fill="FFFFFF"/>
          <w:lang w:val="en-GB"/>
        </w:rPr>
        <w:t xml:space="preserve">Adv. Challenges Sci. </w:t>
      </w:r>
      <w:proofErr w:type="spellStart"/>
      <w:r w:rsidRPr="005C69AC">
        <w:rPr>
          <w:i/>
          <w:iCs/>
          <w:color w:val="222222"/>
          <w:shd w:val="clear" w:color="auto" w:fill="FFFFFF"/>
          <w:lang w:val="en-GB"/>
        </w:rPr>
        <w:t>Technol</w:t>
      </w:r>
      <w:proofErr w:type="spellEnd"/>
      <w:r w:rsidRPr="005C69AC">
        <w:rPr>
          <w:color w:val="222222"/>
          <w:shd w:val="clear" w:color="auto" w:fill="FFFFFF"/>
          <w:lang w:val="en-GB"/>
        </w:rPr>
        <w:t xml:space="preserve">, </w:t>
      </w:r>
      <w:r w:rsidRPr="005C69AC">
        <w:rPr>
          <w:i/>
          <w:iCs/>
          <w:color w:val="222222"/>
          <w:shd w:val="clear" w:color="auto" w:fill="FFFFFF"/>
          <w:lang w:val="en-GB"/>
        </w:rPr>
        <w:t>9</w:t>
      </w:r>
      <w:r w:rsidRPr="005C69AC">
        <w:rPr>
          <w:color w:val="222222"/>
          <w:shd w:val="clear" w:color="auto" w:fill="FFFFFF"/>
          <w:lang w:val="en-GB"/>
        </w:rPr>
        <w:t>, pp.67-81.</w:t>
      </w:r>
    </w:p>
    <w:p w14:paraId="5FE0E3C2"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Peprah, A.A., Agyemang, C.B. and </w:t>
      </w:r>
      <w:proofErr w:type="spellStart"/>
      <w:r w:rsidRPr="005C69AC">
        <w:rPr>
          <w:color w:val="222222"/>
          <w:shd w:val="clear" w:color="auto" w:fill="FFFFFF"/>
          <w:lang w:val="en-GB"/>
        </w:rPr>
        <w:t>Damoah</w:t>
      </w:r>
      <w:proofErr w:type="spellEnd"/>
      <w:r w:rsidRPr="005C69AC">
        <w:rPr>
          <w:color w:val="222222"/>
          <w:shd w:val="clear" w:color="auto" w:fill="FFFFFF"/>
          <w:lang w:val="en-GB"/>
        </w:rPr>
        <w:t xml:space="preserve">, O.B.O., 2020. Flexible working schedules in SMEs: Evidence from a developing country. </w:t>
      </w:r>
      <w:r w:rsidRPr="005C69AC">
        <w:rPr>
          <w:i/>
          <w:iCs/>
          <w:color w:val="222222"/>
          <w:shd w:val="clear" w:color="auto" w:fill="FFFFFF"/>
          <w:lang w:val="en-GB"/>
        </w:rPr>
        <w:t>Business Strategy &amp; Development</w:t>
      </w:r>
      <w:r w:rsidRPr="005C69AC">
        <w:rPr>
          <w:color w:val="222222"/>
          <w:shd w:val="clear" w:color="auto" w:fill="FFFFFF"/>
          <w:lang w:val="en-GB"/>
        </w:rPr>
        <w:t xml:space="preserve">, </w:t>
      </w:r>
      <w:r w:rsidRPr="005C69AC">
        <w:rPr>
          <w:i/>
          <w:iCs/>
          <w:color w:val="222222"/>
          <w:shd w:val="clear" w:color="auto" w:fill="FFFFFF"/>
          <w:lang w:val="en-GB"/>
        </w:rPr>
        <w:t>3</w:t>
      </w:r>
      <w:r w:rsidRPr="005C69AC">
        <w:rPr>
          <w:color w:val="222222"/>
          <w:shd w:val="clear" w:color="auto" w:fill="FFFFFF"/>
          <w:lang w:val="en-GB"/>
        </w:rPr>
        <w:t>(4), pp.640-647.</w:t>
      </w:r>
    </w:p>
    <w:p w14:paraId="518E6DA8"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Piwowar-</w:t>
      </w:r>
      <w:proofErr w:type="spellStart"/>
      <w:r w:rsidRPr="005C69AC">
        <w:rPr>
          <w:color w:val="222222"/>
          <w:shd w:val="clear" w:color="auto" w:fill="FFFFFF"/>
          <w:lang w:val="en-GB"/>
        </w:rPr>
        <w:t>Sulej</w:t>
      </w:r>
      <w:proofErr w:type="spellEnd"/>
      <w:r w:rsidRPr="005C69AC">
        <w:rPr>
          <w:color w:val="222222"/>
          <w:shd w:val="clear" w:color="auto" w:fill="FFFFFF"/>
          <w:lang w:val="en-GB"/>
        </w:rPr>
        <w:t xml:space="preserve">, K., 2021. Human resources development as an element of sustainable HRM–with the focus on production engineers. </w:t>
      </w:r>
      <w:r w:rsidRPr="005C69AC">
        <w:rPr>
          <w:i/>
          <w:iCs/>
          <w:color w:val="222222"/>
          <w:shd w:val="clear" w:color="auto" w:fill="FFFFFF"/>
          <w:lang w:val="en-GB"/>
        </w:rPr>
        <w:t>Journal of cleaner production</w:t>
      </w:r>
      <w:r w:rsidRPr="005C69AC">
        <w:rPr>
          <w:color w:val="222222"/>
          <w:shd w:val="clear" w:color="auto" w:fill="FFFFFF"/>
          <w:lang w:val="en-GB"/>
        </w:rPr>
        <w:t xml:space="preserve">, </w:t>
      </w:r>
      <w:r w:rsidRPr="005C69AC">
        <w:rPr>
          <w:i/>
          <w:iCs/>
          <w:color w:val="222222"/>
          <w:shd w:val="clear" w:color="auto" w:fill="FFFFFF"/>
          <w:lang w:val="en-GB"/>
        </w:rPr>
        <w:t>278</w:t>
      </w:r>
      <w:r w:rsidRPr="005C69AC">
        <w:rPr>
          <w:color w:val="222222"/>
          <w:shd w:val="clear" w:color="auto" w:fill="FFFFFF"/>
          <w:lang w:val="en-GB"/>
        </w:rPr>
        <w:t>, p.124008.</w:t>
      </w:r>
    </w:p>
    <w:p w14:paraId="60119A40"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Sorensen, G., Dennerlein, J.T., Peters, S.E., Sabbath, E.L., Kelly, E.L. and Wagner, G.R., 2021. The future of research on work, safety, health and wellbeing: A guiding conceptual framework. </w:t>
      </w:r>
      <w:r w:rsidRPr="005C69AC">
        <w:rPr>
          <w:i/>
          <w:iCs/>
          <w:color w:val="222222"/>
          <w:shd w:val="clear" w:color="auto" w:fill="FFFFFF"/>
          <w:lang w:val="en-GB"/>
        </w:rPr>
        <w:t>Social science &amp; medicine</w:t>
      </w:r>
      <w:r w:rsidRPr="005C69AC">
        <w:rPr>
          <w:color w:val="222222"/>
          <w:shd w:val="clear" w:color="auto" w:fill="FFFFFF"/>
          <w:lang w:val="en-GB"/>
        </w:rPr>
        <w:t xml:space="preserve">, </w:t>
      </w:r>
      <w:r w:rsidRPr="005C69AC">
        <w:rPr>
          <w:i/>
          <w:iCs/>
          <w:color w:val="222222"/>
          <w:shd w:val="clear" w:color="auto" w:fill="FFFFFF"/>
          <w:lang w:val="en-GB"/>
        </w:rPr>
        <w:t>269</w:t>
      </w:r>
      <w:r w:rsidRPr="005C69AC">
        <w:rPr>
          <w:color w:val="222222"/>
          <w:shd w:val="clear" w:color="auto" w:fill="FFFFFF"/>
          <w:lang w:val="en-GB"/>
        </w:rPr>
        <w:t>, p.113593.</w:t>
      </w:r>
    </w:p>
    <w:p w14:paraId="1E576963" w14:textId="77777777" w:rsidR="00AD50B6" w:rsidRPr="005C69AC" w:rsidRDefault="001A6C9F" w:rsidP="00AD50B6">
      <w:pPr>
        <w:pStyle w:val="NormalWeb"/>
        <w:spacing w:before="0" w:beforeAutospacing="0" w:after="0" w:afterAutospacing="0" w:line="360" w:lineRule="auto"/>
        <w:jc w:val="both"/>
        <w:rPr>
          <w:lang w:val="en-GB"/>
        </w:rPr>
      </w:pPr>
      <w:r>
        <w:rPr>
          <w:color w:val="000000"/>
          <w:lang w:val="en-GB"/>
        </w:rPr>
        <w:t>V</w:t>
      </w:r>
      <w:r w:rsidR="00AD50B6" w:rsidRPr="005C69AC">
        <w:rPr>
          <w:color w:val="000000"/>
          <w:lang w:val="en-GB"/>
        </w:rPr>
        <w:t xml:space="preserve">ialtech.ru, 2024, </w:t>
      </w:r>
      <w:proofErr w:type="spellStart"/>
      <w:r w:rsidR="00AD50B6" w:rsidRPr="005C69AC">
        <w:rPr>
          <w:i/>
          <w:iCs/>
          <w:color w:val="000000"/>
          <w:lang w:val="en-GB"/>
        </w:rPr>
        <w:t>vialtech</w:t>
      </w:r>
      <w:proofErr w:type="spellEnd"/>
      <w:r w:rsidR="00AD50B6" w:rsidRPr="005C69AC">
        <w:rPr>
          <w:color w:val="000000"/>
          <w:lang w:val="en-GB"/>
        </w:rPr>
        <w:t>, Viewed on: 13/07/2024,</w:t>
      </w:r>
      <w:r>
        <w:rPr>
          <w:color w:val="000000"/>
          <w:lang w:val="en-GB"/>
        </w:rPr>
        <w:t xml:space="preserve"> </w:t>
      </w:r>
      <w:r w:rsidR="00AD50B6" w:rsidRPr="005C69AC">
        <w:rPr>
          <w:color w:val="000000"/>
          <w:lang w:val="en-GB"/>
        </w:rPr>
        <w:t>Viewed from: &lt;https://vialtech.ru/en/about-us/&gt;</w:t>
      </w:r>
    </w:p>
    <w:p w14:paraId="1A72B02B" w14:textId="77777777" w:rsidR="00AD50B6" w:rsidRPr="005C69AC" w:rsidRDefault="00AD50B6" w:rsidP="00AD50B6">
      <w:pPr>
        <w:pStyle w:val="NormalWeb"/>
        <w:spacing w:before="0" w:beforeAutospacing="0" w:after="0" w:afterAutospacing="0" w:line="360" w:lineRule="auto"/>
        <w:jc w:val="both"/>
        <w:rPr>
          <w:lang w:val="en-GB"/>
        </w:rPr>
      </w:pPr>
      <w:r w:rsidRPr="005C69AC">
        <w:rPr>
          <w:color w:val="222222"/>
          <w:shd w:val="clear" w:color="auto" w:fill="FFFFFF"/>
          <w:lang w:val="en-GB"/>
        </w:rPr>
        <w:t xml:space="preserve">Willinsky, J., 2022. </w:t>
      </w:r>
      <w:r w:rsidRPr="005C69AC">
        <w:rPr>
          <w:i/>
          <w:iCs/>
          <w:color w:val="222222"/>
          <w:shd w:val="clear" w:color="auto" w:fill="FFFFFF"/>
          <w:lang w:val="en-GB"/>
        </w:rPr>
        <w:t>Copyright's broken promise: how to restore the law's ability to promote the progress of science</w:t>
      </w:r>
      <w:r w:rsidRPr="005C69AC">
        <w:rPr>
          <w:color w:val="222222"/>
          <w:shd w:val="clear" w:color="auto" w:fill="FFFFFF"/>
          <w:lang w:val="en-GB"/>
        </w:rPr>
        <w:t>. MIT Press.</w:t>
      </w:r>
    </w:p>
    <w:sectPr w:rsidR="00AD50B6" w:rsidRPr="005C69AC" w:rsidSect="00E9352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0FC"/>
    <w:rsid w:val="0000004B"/>
    <w:rsid w:val="000009B1"/>
    <w:rsid w:val="00001E04"/>
    <w:rsid w:val="00002BF0"/>
    <w:rsid w:val="00002C69"/>
    <w:rsid w:val="00003433"/>
    <w:rsid w:val="00006A6D"/>
    <w:rsid w:val="00006AEF"/>
    <w:rsid w:val="00006FA5"/>
    <w:rsid w:val="00011344"/>
    <w:rsid w:val="000165CE"/>
    <w:rsid w:val="000202CC"/>
    <w:rsid w:val="00020DEA"/>
    <w:rsid w:val="0002748D"/>
    <w:rsid w:val="000316D8"/>
    <w:rsid w:val="000336CD"/>
    <w:rsid w:val="00033A4B"/>
    <w:rsid w:val="00034FCC"/>
    <w:rsid w:val="00035425"/>
    <w:rsid w:val="00035516"/>
    <w:rsid w:val="000409BF"/>
    <w:rsid w:val="00046FC7"/>
    <w:rsid w:val="00047E27"/>
    <w:rsid w:val="00051D06"/>
    <w:rsid w:val="0005221E"/>
    <w:rsid w:val="000539C8"/>
    <w:rsid w:val="00055C99"/>
    <w:rsid w:val="000575D5"/>
    <w:rsid w:val="000610E7"/>
    <w:rsid w:val="000633A6"/>
    <w:rsid w:val="000715EA"/>
    <w:rsid w:val="000833A4"/>
    <w:rsid w:val="00091E9D"/>
    <w:rsid w:val="00092935"/>
    <w:rsid w:val="00093B13"/>
    <w:rsid w:val="000A0DF7"/>
    <w:rsid w:val="000A507C"/>
    <w:rsid w:val="000A5DF6"/>
    <w:rsid w:val="000B041F"/>
    <w:rsid w:val="000B15AD"/>
    <w:rsid w:val="000B26D6"/>
    <w:rsid w:val="000C00DC"/>
    <w:rsid w:val="000C22D6"/>
    <w:rsid w:val="000C749B"/>
    <w:rsid w:val="000D39A6"/>
    <w:rsid w:val="000D5F41"/>
    <w:rsid w:val="000D6417"/>
    <w:rsid w:val="000D6E79"/>
    <w:rsid w:val="000E113F"/>
    <w:rsid w:val="000E67BC"/>
    <w:rsid w:val="000F09E3"/>
    <w:rsid w:val="000F158F"/>
    <w:rsid w:val="000F189F"/>
    <w:rsid w:val="000F19D7"/>
    <w:rsid w:val="000F263E"/>
    <w:rsid w:val="000F3B20"/>
    <w:rsid w:val="000F3BCF"/>
    <w:rsid w:val="000F4749"/>
    <w:rsid w:val="000F5109"/>
    <w:rsid w:val="000F5A4C"/>
    <w:rsid w:val="000F5C16"/>
    <w:rsid w:val="00101AA2"/>
    <w:rsid w:val="00104281"/>
    <w:rsid w:val="001048B2"/>
    <w:rsid w:val="0011083C"/>
    <w:rsid w:val="00114333"/>
    <w:rsid w:val="00115BF6"/>
    <w:rsid w:val="00115DAC"/>
    <w:rsid w:val="00124664"/>
    <w:rsid w:val="00127640"/>
    <w:rsid w:val="00127E13"/>
    <w:rsid w:val="00132FE6"/>
    <w:rsid w:val="001332AA"/>
    <w:rsid w:val="001344C3"/>
    <w:rsid w:val="001363DD"/>
    <w:rsid w:val="00140944"/>
    <w:rsid w:val="00143FBE"/>
    <w:rsid w:val="00144399"/>
    <w:rsid w:val="0014509D"/>
    <w:rsid w:val="00146F2B"/>
    <w:rsid w:val="00150F6F"/>
    <w:rsid w:val="00151DBF"/>
    <w:rsid w:val="001537FB"/>
    <w:rsid w:val="00155F50"/>
    <w:rsid w:val="00160416"/>
    <w:rsid w:val="00162A42"/>
    <w:rsid w:val="00162EC0"/>
    <w:rsid w:val="00163DDC"/>
    <w:rsid w:val="00166389"/>
    <w:rsid w:val="00172571"/>
    <w:rsid w:val="00172F5B"/>
    <w:rsid w:val="00177CE7"/>
    <w:rsid w:val="0018196D"/>
    <w:rsid w:val="00182DE6"/>
    <w:rsid w:val="00186928"/>
    <w:rsid w:val="00194556"/>
    <w:rsid w:val="001A064D"/>
    <w:rsid w:val="001A0BE7"/>
    <w:rsid w:val="001A1C65"/>
    <w:rsid w:val="001A22D3"/>
    <w:rsid w:val="001A2394"/>
    <w:rsid w:val="001A4F2D"/>
    <w:rsid w:val="001A59CA"/>
    <w:rsid w:val="001A6C9F"/>
    <w:rsid w:val="001A7F4F"/>
    <w:rsid w:val="001C0C02"/>
    <w:rsid w:val="001C23A5"/>
    <w:rsid w:val="001C2F3B"/>
    <w:rsid w:val="001C38BD"/>
    <w:rsid w:val="001C67CC"/>
    <w:rsid w:val="001D0801"/>
    <w:rsid w:val="001D1C06"/>
    <w:rsid w:val="001D3649"/>
    <w:rsid w:val="001D37EE"/>
    <w:rsid w:val="001D4160"/>
    <w:rsid w:val="001E03D7"/>
    <w:rsid w:val="001E127B"/>
    <w:rsid w:val="001E4895"/>
    <w:rsid w:val="001E7673"/>
    <w:rsid w:val="001E7705"/>
    <w:rsid w:val="001E7CFD"/>
    <w:rsid w:val="001E7D0D"/>
    <w:rsid w:val="001F1329"/>
    <w:rsid w:val="001F16FE"/>
    <w:rsid w:val="001F1D7C"/>
    <w:rsid w:val="001F1F22"/>
    <w:rsid w:val="001F446D"/>
    <w:rsid w:val="001F6736"/>
    <w:rsid w:val="002003EE"/>
    <w:rsid w:val="00200F71"/>
    <w:rsid w:val="002011AC"/>
    <w:rsid w:val="00202185"/>
    <w:rsid w:val="002075EC"/>
    <w:rsid w:val="00211987"/>
    <w:rsid w:val="0021257F"/>
    <w:rsid w:val="002125FF"/>
    <w:rsid w:val="00214E03"/>
    <w:rsid w:val="00217A84"/>
    <w:rsid w:val="002216B5"/>
    <w:rsid w:val="00221CC0"/>
    <w:rsid w:val="00227E82"/>
    <w:rsid w:val="002307AB"/>
    <w:rsid w:val="002320AB"/>
    <w:rsid w:val="00233D34"/>
    <w:rsid w:val="00234D3E"/>
    <w:rsid w:val="0023689A"/>
    <w:rsid w:val="00241D8F"/>
    <w:rsid w:val="002448C4"/>
    <w:rsid w:val="00252435"/>
    <w:rsid w:val="00253204"/>
    <w:rsid w:val="00257A6C"/>
    <w:rsid w:val="002614EE"/>
    <w:rsid w:val="00261A20"/>
    <w:rsid w:val="00265242"/>
    <w:rsid w:val="00265C8C"/>
    <w:rsid w:val="00270588"/>
    <w:rsid w:val="00271D99"/>
    <w:rsid w:val="00274717"/>
    <w:rsid w:val="002759FE"/>
    <w:rsid w:val="002766F7"/>
    <w:rsid w:val="0028094B"/>
    <w:rsid w:val="00280B4B"/>
    <w:rsid w:val="00285C72"/>
    <w:rsid w:val="00286938"/>
    <w:rsid w:val="002901D7"/>
    <w:rsid w:val="0029288E"/>
    <w:rsid w:val="00292A44"/>
    <w:rsid w:val="0029426D"/>
    <w:rsid w:val="00296674"/>
    <w:rsid w:val="0029704B"/>
    <w:rsid w:val="002977CD"/>
    <w:rsid w:val="0029788B"/>
    <w:rsid w:val="002A055B"/>
    <w:rsid w:val="002A6163"/>
    <w:rsid w:val="002A698D"/>
    <w:rsid w:val="002B413F"/>
    <w:rsid w:val="002C3B4B"/>
    <w:rsid w:val="002C3D2A"/>
    <w:rsid w:val="002C430C"/>
    <w:rsid w:val="002C6B12"/>
    <w:rsid w:val="002D12FD"/>
    <w:rsid w:val="002D1CA1"/>
    <w:rsid w:val="002D34B4"/>
    <w:rsid w:val="002D6207"/>
    <w:rsid w:val="002D7841"/>
    <w:rsid w:val="002E36C6"/>
    <w:rsid w:val="002E5E70"/>
    <w:rsid w:val="002E6327"/>
    <w:rsid w:val="002F2272"/>
    <w:rsid w:val="002F3411"/>
    <w:rsid w:val="00300B45"/>
    <w:rsid w:val="003027B7"/>
    <w:rsid w:val="00305177"/>
    <w:rsid w:val="0030714F"/>
    <w:rsid w:val="003077AA"/>
    <w:rsid w:val="0031394C"/>
    <w:rsid w:val="003145CA"/>
    <w:rsid w:val="003159C9"/>
    <w:rsid w:val="00316208"/>
    <w:rsid w:val="00316983"/>
    <w:rsid w:val="00316AAA"/>
    <w:rsid w:val="00317BCB"/>
    <w:rsid w:val="0032333A"/>
    <w:rsid w:val="003265DC"/>
    <w:rsid w:val="00330A6C"/>
    <w:rsid w:val="00332203"/>
    <w:rsid w:val="00332CA1"/>
    <w:rsid w:val="00332F3D"/>
    <w:rsid w:val="003333C8"/>
    <w:rsid w:val="003365BF"/>
    <w:rsid w:val="003400F0"/>
    <w:rsid w:val="00340E72"/>
    <w:rsid w:val="003430A7"/>
    <w:rsid w:val="003431F0"/>
    <w:rsid w:val="00343465"/>
    <w:rsid w:val="003453E3"/>
    <w:rsid w:val="00350199"/>
    <w:rsid w:val="0035082D"/>
    <w:rsid w:val="0035236E"/>
    <w:rsid w:val="003527AC"/>
    <w:rsid w:val="00352B95"/>
    <w:rsid w:val="00353002"/>
    <w:rsid w:val="00354360"/>
    <w:rsid w:val="00355E6F"/>
    <w:rsid w:val="003600DC"/>
    <w:rsid w:val="0036210D"/>
    <w:rsid w:val="00364673"/>
    <w:rsid w:val="00366677"/>
    <w:rsid w:val="0036702D"/>
    <w:rsid w:val="00370BBF"/>
    <w:rsid w:val="0037132C"/>
    <w:rsid w:val="003766B4"/>
    <w:rsid w:val="00380E92"/>
    <w:rsid w:val="00382096"/>
    <w:rsid w:val="0039665F"/>
    <w:rsid w:val="003A0CDC"/>
    <w:rsid w:val="003A1063"/>
    <w:rsid w:val="003A15B6"/>
    <w:rsid w:val="003A7D0A"/>
    <w:rsid w:val="003B01FC"/>
    <w:rsid w:val="003B0594"/>
    <w:rsid w:val="003B0DA0"/>
    <w:rsid w:val="003B1855"/>
    <w:rsid w:val="003B22E6"/>
    <w:rsid w:val="003B2708"/>
    <w:rsid w:val="003B4107"/>
    <w:rsid w:val="003B62CA"/>
    <w:rsid w:val="003C0697"/>
    <w:rsid w:val="003C4656"/>
    <w:rsid w:val="003D1A18"/>
    <w:rsid w:val="003D259A"/>
    <w:rsid w:val="003D539C"/>
    <w:rsid w:val="003D7217"/>
    <w:rsid w:val="003E0E30"/>
    <w:rsid w:val="003E1EEB"/>
    <w:rsid w:val="003E2F8C"/>
    <w:rsid w:val="003E3B23"/>
    <w:rsid w:val="003E56DC"/>
    <w:rsid w:val="003E61D6"/>
    <w:rsid w:val="003E6BDB"/>
    <w:rsid w:val="003E733A"/>
    <w:rsid w:val="003F0349"/>
    <w:rsid w:val="003F20A4"/>
    <w:rsid w:val="003F683D"/>
    <w:rsid w:val="00400035"/>
    <w:rsid w:val="00400242"/>
    <w:rsid w:val="00403891"/>
    <w:rsid w:val="00407C62"/>
    <w:rsid w:val="00411607"/>
    <w:rsid w:val="00413D8C"/>
    <w:rsid w:val="004205BB"/>
    <w:rsid w:val="00421B50"/>
    <w:rsid w:val="00422043"/>
    <w:rsid w:val="004239CF"/>
    <w:rsid w:val="004274A0"/>
    <w:rsid w:val="00435B09"/>
    <w:rsid w:val="00435B3A"/>
    <w:rsid w:val="00436940"/>
    <w:rsid w:val="004407AC"/>
    <w:rsid w:val="00445D88"/>
    <w:rsid w:val="00446DE3"/>
    <w:rsid w:val="00447F0C"/>
    <w:rsid w:val="00450F1B"/>
    <w:rsid w:val="004512DD"/>
    <w:rsid w:val="004518F1"/>
    <w:rsid w:val="004522F1"/>
    <w:rsid w:val="004534D9"/>
    <w:rsid w:val="00455F4F"/>
    <w:rsid w:val="00457F1A"/>
    <w:rsid w:val="00464C27"/>
    <w:rsid w:val="004674C1"/>
    <w:rsid w:val="0047013A"/>
    <w:rsid w:val="004710D5"/>
    <w:rsid w:val="00472EDB"/>
    <w:rsid w:val="0047315A"/>
    <w:rsid w:val="004731B7"/>
    <w:rsid w:val="0048014B"/>
    <w:rsid w:val="00487F85"/>
    <w:rsid w:val="0049093F"/>
    <w:rsid w:val="00490C7D"/>
    <w:rsid w:val="00491882"/>
    <w:rsid w:val="00491E02"/>
    <w:rsid w:val="00492B35"/>
    <w:rsid w:val="004977DC"/>
    <w:rsid w:val="004A0595"/>
    <w:rsid w:val="004A0F01"/>
    <w:rsid w:val="004A314A"/>
    <w:rsid w:val="004A494C"/>
    <w:rsid w:val="004A5994"/>
    <w:rsid w:val="004A5B27"/>
    <w:rsid w:val="004A5BEF"/>
    <w:rsid w:val="004A6A76"/>
    <w:rsid w:val="004A70F2"/>
    <w:rsid w:val="004B020D"/>
    <w:rsid w:val="004B0B2E"/>
    <w:rsid w:val="004B20CF"/>
    <w:rsid w:val="004B29B4"/>
    <w:rsid w:val="004C28AB"/>
    <w:rsid w:val="004C4365"/>
    <w:rsid w:val="004C7AF8"/>
    <w:rsid w:val="004C7D83"/>
    <w:rsid w:val="004D1717"/>
    <w:rsid w:val="004D1BA2"/>
    <w:rsid w:val="004D2F5B"/>
    <w:rsid w:val="004D57BB"/>
    <w:rsid w:val="004D7A96"/>
    <w:rsid w:val="004E2B8A"/>
    <w:rsid w:val="004E3AA5"/>
    <w:rsid w:val="004E7454"/>
    <w:rsid w:val="004F01C4"/>
    <w:rsid w:val="004F3B9A"/>
    <w:rsid w:val="00500C88"/>
    <w:rsid w:val="0050381A"/>
    <w:rsid w:val="00503FC2"/>
    <w:rsid w:val="00506B08"/>
    <w:rsid w:val="005153DD"/>
    <w:rsid w:val="00516D86"/>
    <w:rsid w:val="0052032D"/>
    <w:rsid w:val="00520369"/>
    <w:rsid w:val="0052287E"/>
    <w:rsid w:val="005238EB"/>
    <w:rsid w:val="0052533A"/>
    <w:rsid w:val="0052562B"/>
    <w:rsid w:val="00530767"/>
    <w:rsid w:val="005332B4"/>
    <w:rsid w:val="00533AD7"/>
    <w:rsid w:val="00533DBE"/>
    <w:rsid w:val="005373DB"/>
    <w:rsid w:val="00540122"/>
    <w:rsid w:val="005450E6"/>
    <w:rsid w:val="005512B6"/>
    <w:rsid w:val="00552756"/>
    <w:rsid w:val="00552E14"/>
    <w:rsid w:val="00552FB7"/>
    <w:rsid w:val="0055310E"/>
    <w:rsid w:val="00555959"/>
    <w:rsid w:val="0055617E"/>
    <w:rsid w:val="0055689D"/>
    <w:rsid w:val="00560564"/>
    <w:rsid w:val="0056502D"/>
    <w:rsid w:val="0056669B"/>
    <w:rsid w:val="0057137D"/>
    <w:rsid w:val="005745C8"/>
    <w:rsid w:val="0058186F"/>
    <w:rsid w:val="005834F1"/>
    <w:rsid w:val="00583A06"/>
    <w:rsid w:val="00586B3E"/>
    <w:rsid w:val="00593399"/>
    <w:rsid w:val="005A01E1"/>
    <w:rsid w:val="005B26EE"/>
    <w:rsid w:val="005B3C82"/>
    <w:rsid w:val="005B7C46"/>
    <w:rsid w:val="005C1B91"/>
    <w:rsid w:val="005C3793"/>
    <w:rsid w:val="005C4477"/>
    <w:rsid w:val="005C6285"/>
    <w:rsid w:val="005C69AC"/>
    <w:rsid w:val="005D18B3"/>
    <w:rsid w:val="005D20A6"/>
    <w:rsid w:val="005D27AF"/>
    <w:rsid w:val="005D2FCB"/>
    <w:rsid w:val="005D38CD"/>
    <w:rsid w:val="005D4831"/>
    <w:rsid w:val="005D5C76"/>
    <w:rsid w:val="005D76F3"/>
    <w:rsid w:val="005E19F7"/>
    <w:rsid w:val="005E700D"/>
    <w:rsid w:val="005F13BC"/>
    <w:rsid w:val="005F1B00"/>
    <w:rsid w:val="005F236C"/>
    <w:rsid w:val="005F270C"/>
    <w:rsid w:val="005F3130"/>
    <w:rsid w:val="005F5420"/>
    <w:rsid w:val="00602971"/>
    <w:rsid w:val="006040A0"/>
    <w:rsid w:val="00604CE9"/>
    <w:rsid w:val="00604DE4"/>
    <w:rsid w:val="00604EE5"/>
    <w:rsid w:val="006053C3"/>
    <w:rsid w:val="0060796F"/>
    <w:rsid w:val="00610340"/>
    <w:rsid w:val="00612766"/>
    <w:rsid w:val="00612F54"/>
    <w:rsid w:val="00613925"/>
    <w:rsid w:val="00614302"/>
    <w:rsid w:val="0062196A"/>
    <w:rsid w:val="00621AF4"/>
    <w:rsid w:val="00623074"/>
    <w:rsid w:val="006238FB"/>
    <w:rsid w:val="006254C9"/>
    <w:rsid w:val="00625F14"/>
    <w:rsid w:val="00630DE4"/>
    <w:rsid w:val="00630F50"/>
    <w:rsid w:val="006315B7"/>
    <w:rsid w:val="00634012"/>
    <w:rsid w:val="00634456"/>
    <w:rsid w:val="00634814"/>
    <w:rsid w:val="0063598D"/>
    <w:rsid w:val="006365CC"/>
    <w:rsid w:val="00644856"/>
    <w:rsid w:val="006449CC"/>
    <w:rsid w:val="00650BC3"/>
    <w:rsid w:val="0065380C"/>
    <w:rsid w:val="00653A3B"/>
    <w:rsid w:val="00655045"/>
    <w:rsid w:val="00661197"/>
    <w:rsid w:val="00662BCE"/>
    <w:rsid w:val="00665919"/>
    <w:rsid w:val="00665DEF"/>
    <w:rsid w:val="006700DA"/>
    <w:rsid w:val="00671246"/>
    <w:rsid w:val="006752A6"/>
    <w:rsid w:val="00676C1E"/>
    <w:rsid w:val="006815F4"/>
    <w:rsid w:val="0068262E"/>
    <w:rsid w:val="00684B84"/>
    <w:rsid w:val="006855A3"/>
    <w:rsid w:val="006937FF"/>
    <w:rsid w:val="006942C6"/>
    <w:rsid w:val="006947AB"/>
    <w:rsid w:val="0069480B"/>
    <w:rsid w:val="006A0797"/>
    <w:rsid w:val="006A0830"/>
    <w:rsid w:val="006A2116"/>
    <w:rsid w:val="006A4CA7"/>
    <w:rsid w:val="006A5494"/>
    <w:rsid w:val="006A6B7B"/>
    <w:rsid w:val="006B029E"/>
    <w:rsid w:val="006B2018"/>
    <w:rsid w:val="006B28CE"/>
    <w:rsid w:val="006B2CE5"/>
    <w:rsid w:val="006B4AB2"/>
    <w:rsid w:val="006B7D15"/>
    <w:rsid w:val="006B7EC3"/>
    <w:rsid w:val="006C0D00"/>
    <w:rsid w:val="006C0F26"/>
    <w:rsid w:val="006C24F2"/>
    <w:rsid w:val="006C5F03"/>
    <w:rsid w:val="006C7D59"/>
    <w:rsid w:val="006D10BE"/>
    <w:rsid w:val="006D3B15"/>
    <w:rsid w:val="006D3E07"/>
    <w:rsid w:val="006D439D"/>
    <w:rsid w:val="006D5829"/>
    <w:rsid w:val="006D59CE"/>
    <w:rsid w:val="006D686C"/>
    <w:rsid w:val="006D6CF9"/>
    <w:rsid w:val="006D7BF9"/>
    <w:rsid w:val="006E1B24"/>
    <w:rsid w:val="006E3123"/>
    <w:rsid w:val="006E500A"/>
    <w:rsid w:val="006E7C0E"/>
    <w:rsid w:val="006F0BF0"/>
    <w:rsid w:val="006F1C36"/>
    <w:rsid w:val="006F391A"/>
    <w:rsid w:val="006F40A0"/>
    <w:rsid w:val="006F5846"/>
    <w:rsid w:val="006F5E05"/>
    <w:rsid w:val="006F7AC0"/>
    <w:rsid w:val="00700A05"/>
    <w:rsid w:val="00703F3C"/>
    <w:rsid w:val="00704F67"/>
    <w:rsid w:val="00711370"/>
    <w:rsid w:val="007114CF"/>
    <w:rsid w:val="007124CE"/>
    <w:rsid w:val="00712D4A"/>
    <w:rsid w:val="007130B6"/>
    <w:rsid w:val="00715121"/>
    <w:rsid w:val="0071711F"/>
    <w:rsid w:val="00720441"/>
    <w:rsid w:val="00722D47"/>
    <w:rsid w:val="00723D1A"/>
    <w:rsid w:val="00724A5B"/>
    <w:rsid w:val="00726F31"/>
    <w:rsid w:val="00732178"/>
    <w:rsid w:val="007325EC"/>
    <w:rsid w:val="00743B4E"/>
    <w:rsid w:val="0074472B"/>
    <w:rsid w:val="00746DF5"/>
    <w:rsid w:val="007471F6"/>
    <w:rsid w:val="007506D9"/>
    <w:rsid w:val="00752C92"/>
    <w:rsid w:val="00754D9B"/>
    <w:rsid w:val="00755632"/>
    <w:rsid w:val="00756D1D"/>
    <w:rsid w:val="00762E39"/>
    <w:rsid w:val="00765265"/>
    <w:rsid w:val="00765FF4"/>
    <w:rsid w:val="0076674F"/>
    <w:rsid w:val="007679CD"/>
    <w:rsid w:val="0077114F"/>
    <w:rsid w:val="0077137A"/>
    <w:rsid w:val="007717F5"/>
    <w:rsid w:val="00772667"/>
    <w:rsid w:val="0077326B"/>
    <w:rsid w:val="00775132"/>
    <w:rsid w:val="00782A38"/>
    <w:rsid w:val="007845D4"/>
    <w:rsid w:val="00784A00"/>
    <w:rsid w:val="007862D2"/>
    <w:rsid w:val="00791F16"/>
    <w:rsid w:val="0079276B"/>
    <w:rsid w:val="00793674"/>
    <w:rsid w:val="007954B8"/>
    <w:rsid w:val="007A53AA"/>
    <w:rsid w:val="007A79CB"/>
    <w:rsid w:val="007B09EC"/>
    <w:rsid w:val="007B2F75"/>
    <w:rsid w:val="007B7481"/>
    <w:rsid w:val="007C0CC8"/>
    <w:rsid w:val="007D0354"/>
    <w:rsid w:val="007D0B81"/>
    <w:rsid w:val="007D2261"/>
    <w:rsid w:val="007D2F6D"/>
    <w:rsid w:val="007D3D45"/>
    <w:rsid w:val="007D5087"/>
    <w:rsid w:val="007D50F7"/>
    <w:rsid w:val="007D6294"/>
    <w:rsid w:val="007D714E"/>
    <w:rsid w:val="007E59A2"/>
    <w:rsid w:val="007E796C"/>
    <w:rsid w:val="007F0DDF"/>
    <w:rsid w:val="007F1E00"/>
    <w:rsid w:val="007F2A68"/>
    <w:rsid w:val="007F717D"/>
    <w:rsid w:val="007F73C5"/>
    <w:rsid w:val="007F74B5"/>
    <w:rsid w:val="00800DF3"/>
    <w:rsid w:val="00801098"/>
    <w:rsid w:val="00801CDD"/>
    <w:rsid w:val="0080788D"/>
    <w:rsid w:val="00811364"/>
    <w:rsid w:val="008122A6"/>
    <w:rsid w:val="0081242A"/>
    <w:rsid w:val="00812A8B"/>
    <w:rsid w:val="008151FB"/>
    <w:rsid w:val="00815E3E"/>
    <w:rsid w:val="0082288E"/>
    <w:rsid w:val="0082494B"/>
    <w:rsid w:val="00825426"/>
    <w:rsid w:val="0082667D"/>
    <w:rsid w:val="00827EAA"/>
    <w:rsid w:val="00832488"/>
    <w:rsid w:val="00833937"/>
    <w:rsid w:val="00834D9D"/>
    <w:rsid w:val="0083759B"/>
    <w:rsid w:val="00840EC5"/>
    <w:rsid w:val="008548F0"/>
    <w:rsid w:val="00854B3E"/>
    <w:rsid w:val="008563A9"/>
    <w:rsid w:val="00862F21"/>
    <w:rsid w:val="008669EB"/>
    <w:rsid w:val="008718E5"/>
    <w:rsid w:val="00872EC5"/>
    <w:rsid w:val="00880D52"/>
    <w:rsid w:val="00881B02"/>
    <w:rsid w:val="008822E1"/>
    <w:rsid w:val="0088275B"/>
    <w:rsid w:val="00890D80"/>
    <w:rsid w:val="00891DF5"/>
    <w:rsid w:val="00893075"/>
    <w:rsid w:val="00893B5C"/>
    <w:rsid w:val="008965D1"/>
    <w:rsid w:val="00897BC0"/>
    <w:rsid w:val="008A194B"/>
    <w:rsid w:val="008A2104"/>
    <w:rsid w:val="008A353C"/>
    <w:rsid w:val="008A3788"/>
    <w:rsid w:val="008A6578"/>
    <w:rsid w:val="008A66CA"/>
    <w:rsid w:val="008A68DA"/>
    <w:rsid w:val="008B02F7"/>
    <w:rsid w:val="008B0F7C"/>
    <w:rsid w:val="008B16BB"/>
    <w:rsid w:val="008B29C2"/>
    <w:rsid w:val="008B5728"/>
    <w:rsid w:val="008B5EDC"/>
    <w:rsid w:val="008C07F7"/>
    <w:rsid w:val="008C0E77"/>
    <w:rsid w:val="008C1491"/>
    <w:rsid w:val="008C1927"/>
    <w:rsid w:val="008C7842"/>
    <w:rsid w:val="008D31A3"/>
    <w:rsid w:val="008D729A"/>
    <w:rsid w:val="008E09FF"/>
    <w:rsid w:val="008E12F0"/>
    <w:rsid w:val="008E2268"/>
    <w:rsid w:val="008E38C3"/>
    <w:rsid w:val="008E593E"/>
    <w:rsid w:val="008F0077"/>
    <w:rsid w:val="008F1233"/>
    <w:rsid w:val="008F20A6"/>
    <w:rsid w:val="008F3A60"/>
    <w:rsid w:val="00901AB9"/>
    <w:rsid w:val="00901B8A"/>
    <w:rsid w:val="00901D30"/>
    <w:rsid w:val="0090223F"/>
    <w:rsid w:val="00905B96"/>
    <w:rsid w:val="009118E7"/>
    <w:rsid w:val="009150B9"/>
    <w:rsid w:val="009162C5"/>
    <w:rsid w:val="009165CF"/>
    <w:rsid w:val="00921AC7"/>
    <w:rsid w:val="00922B8B"/>
    <w:rsid w:val="009239A2"/>
    <w:rsid w:val="00931AE5"/>
    <w:rsid w:val="00931BE7"/>
    <w:rsid w:val="0093424A"/>
    <w:rsid w:val="009366E2"/>
    <w:rsid w:val="00940CCB"/>
    <w:rsid w:val="00941CA4"/>
    <w:rsid w:val="00944975"/>
    <w:rsid w:val="0094509F"/>
    <w:rsid w:val="00947E75"/>
    <w:rsid w:val="009509D0"/>
    <w:rsid w:val="00952E02"/>
    <w:rsid w:val="00954866"/>
    <w:rsid w:val="00960120"/>
    <w:rsid w:val="00961DDB"/>
    <w:rsid w:val="00963A43"/>
    <w:rsid w:val="0096593D"/>
    <w:rsid w:val="009706A0"/>
    <w:rsid w:val="009711FA"/>
    <w:rsid w:val="009725CC"/>
    <w:rsid w:val="00975EFC"/>
    <w:rsid w:val="00976B57"/>
    <w:rsid w:val="0098085F"/>
    <w:rsid w:val="00980DCE"/>
    <w:rsid w:val="00984567"/>
    <w:rsid w:val="00985C25"/>
    <w:rsid w:val="00986EFF"/>
    <w:rsid w:val="009902BA"/>
    <w:rsid w:val="00996DCD"/>
    <w:rsid w:val="009A0DE0"/>
    <w:rsid w:val="009A18E9"/>
    <w:rsid w:val="009A1F7D"/>
    <w:rsid w:val="009A2FA3"/>
    <w:rsid w:val="009A3068"/>
    <w:rsid w:val="009A412C"/>
    <w:rsid w:val="009A6DF1"/>
    <w:rsid w:val="009A7825"/>
    <w:rsid w:val="009A7BE3"/>
    <w:rsid w:val="009B10E4"/>
    <w:rsid w:val="009B1B49"/>
    <w:rsid w:val="009B2D75"/>
    <w:rsid w:val="009B5070"/>
    <w:rsid w:val="009B528F"/>
    <w:rsid w:val="009B6CB4"/>
    <w:rsid w:val="009C0790"/>
    <w:rsid w:val="009C0E80"/>
    <w:rsid w:val="009C1076"/>
    <w:rsid w:val="009C1AF2"/>
    <w:rsid w:val="009C43C6"/>
    <w:rsid w:val="009C4796"/>
    <w:rsid w:val="009C4A4A"/>
    <w:rsid w:val="009C5C31"/>
    <w:rsid w:val="009C6316"/>
    <w:rsid w:val="009C6940"/>
    <w:rsid w:val="009D0256"/>
    <w:rsid w:val="009D0ACC"/>
    <w:rsid w:val="009D2C95"/>
    <w:rsid w:val="009D4A3E"/>
    <w:rsid w:val="009D4C86"/>
    <w:rsid w:val="009D533A"/>
    <w:rsid w:val="009D5DA8"/>
    <w:rsid w:val="009E0326"/>
    <w:rsid w:val="009E233D"/>
    <w:rsid w:val="009E240C"/>
    <w:rsid w:val="009E373E"/>
    <w:rsid w:val="009E60C3"/>
    <w:rsid w:val="009E6B00"/>
    <w:rsid w:val="009E6CCD"/>
    <w:rsid w:val="009E7105"/>
    <w:rsid w:val="009F15EF"/>
    <w:rsid w:val="009F23F4"/>
    <w:rsid w:val="009F3DC3"/>
    <w:rsid w:val="009F7C96"/>
    <w:rsid w:val="00A048EE"/>
    <w:rsid w:val="00A11E91"/>
    <w:rsid w:val="00A174AB"/>
    <w:rsid w:val="00A21F08"/>
    <w:rsid w:val="00A25914"/>
    <w:rsid w:val="00A25954"/>
    <w:rsid w:val="00A351A9"/>
    <w:rsid w:val="00A36913"/>
    <w:rsid w:val="00A3754B"/>
    <w:rsid w:val="00A40AB1"/>
    <w:rsid w:val="00A44FAC"/>
    <w:rsid w:val="00A45670"/>
    <w:rsid w:val="00A47DE0"/>
    <w:rsid w:val="00A51B60"/>
    <w:rsid w:val="00A54546"/>
    <w:rsid w:val="00A660FC"/>
    <w:rsid w:val="00A6669A"/>
    <w:rsid w:val="00A6691A"/>
    <w:rsid w:val="00A74747"/>
    <w:rsid w:val="00A771ED"/>
    <w:rsid w:val="00A81015"/>
    <w:rsid w:val="00A848E3"/>
    <w:rsid w:val="00A8505F"/>
    <w:rsid w:val="00A90085"/>
    <w:rsid w:val="00A91B4E"/>
    <w:rsid w:val="00A954EB"/>
    <w:rsid w:val="00A96F93"/>
    <w:rsid w:val="00AA5B51"/>
    <w:rsid w:val="00AA68F3"/>
    <w:rsid w:val="00AA6CE3"/>
    <w:rsid w:val="00AB111A"/>
    <w:rsid w:val="00AB2015"/>
    <w:rsid w:val="00AB3AF5"/>
    <w:rsid w:val="00AB537B"/>
    <w:rsid w:val="00AC03C4"/>
    <w:rsid w:val="00AC22EB"/>
    <w:rsid w:val="00AC3D1D"/>
    <w:rsid w:val="00AC6247"/>
    <w:rsid w:val="00AC6E0A"/>
    <w:rsid w:val="00AC7154"/>
    <w:rsid w:val="00AC7AD0"/>
    <w:rsid w:val="00AC7AE1"/>
    <w:rsid w:val="00AD2570"/>
    <w:rsid w:val="00AD50B6"/>
    <w:rsid w:val="00AD53A3"/>
    <w:rsid w:val="00AD7C65"/>
    <w:rsid w:val="00AF055A"/>
    <w:rsid w:val="00AF15C9"/>
    <w:rsid w:val="00AF2280"/>
    <w:rsid w:val="00AF6330"/>
    <w:rsid w:val="00B04388"/>
    <w:rsid w:val="00B07CC2"/>
    <w:rsid w:val="00B07F9E"/>
    <w:rsid w:val="00B10E63"/>
    <w:rsid w:val="00B1394A"/>
    <w:rsid w:val="00B15D05"/>
    <w:rsid w:val="00B169D4"/>
    <w:rsid w:val="00B20210"/>
    <w:rsid w:val="00B207D9"/>
    <w:rsid w:val="00B21591"/>
    <w:rsid w:val="00B216DF"/>
    <w:rsid w:val="00B21CEC"/>
    <w:rsid w:val="00B2255D"/>
    <w:rsid w:val="00B302BF"/>
    <w:rsid w:val="00B30B0B"/>
    <w:rsid w:val="00B3310A"/>
    <w:rsid w:val="00B33806"/>
    <w:rsid w:val="00B33B88"/>
    <w:rsid w:val="00B33D79"/>
    <w:rsid w:val="00B33ECF"/>
    <w:rsid w:val="00B3663C"/>
    <w:rsid w:val="00B40D0D"/>
    <w:rsid w:val="00B434AC"/>
    <w:rsid w:val="00B44FA8"/>
    <w:rsid w:val="00B4615D"/>
    <w:rsid w:val="00B475EF"/>
    <w:rsid w:val="00B5246E"/>
    <w:rsid w:val="00B53C93"/>
    <w:rsid w:val="00B563CB"/>
    <w:rsid w:val="00B61852"/>
    <w:rsid w:val="00B63571"/>
    <w:rsid w:val="00B64127"/>
    <w:rsid w:val="00B65C2C"/>
    <w:rsid w:val="00B6725C"/>
    <w:rsid w:val="00B72590"/>
    <w:rsid w:val="00B74F29"/>
    <w:rsid w:val="00B75465"/>
    <w:rsid w:val="00B81FDC"/>
    <w:rsid w:val="00B84C26"/>
    <w:rsid w:val="00B87506"/>
    <w:rsid w:val="00B93B3E"/>
    <w:rsid w:val="00BA0F7C"/>
    <w:rsid w:val="00BA18B7"/>
    <w:rsid w:val="00BA45E2"/>
    <w:rsid w:val="00BB12C3"/>
    <w:rsid w:val="00BB1C7D"/>
    <w:rsid w:val="00BC0A40"/>
    <w:rsid w:val="00BC27A2"/>
    <w:rsid w:val="00BC77D6"/>
    <w:rsid w:val="00BC7845"/>
    <w:rsid w:val="00BD22AD"/>
    <w:rsid w:val="00BD314D"/>
    <w:rsid w:val="00BD59CA"/>
    <w:rsid w:val="00BD6452"/>
    <w:rsid w:val="00BE172F"/>
    <w:rsid w:val="00BF09B4"/>
    <w:rsid w:val="00BF5146"/>
    <w:rsid w:val="00C009F3"/>
    <w:rsid w:val="00C03765"/>
    <w:rsid w:val="00C05886"/>
    <w:rsid w:val="00C062D2"/>
    <w:rsid w:val="00C06A82"/>
    <w:rsid w:val="00C06C7C"/>
    <w:rsid w:val="00C13F93"/>
    <w:rsid w:val="00C15AC8"/>
    <w:rsid w:val="00C176FB"/>
    <w:rsid w:val="00C234BA"/>
    <w:rsid w:val="00C236E9"/>
    <w:rsid w:val="00C310A5"/>
    <w:rsid w:val="00C32500"/>
    <w:rsid w:val="00C35311"/>
    <w:rsid w:val="00C3655B"/>
    <w:rsid w:val="00C3766C"/>
    <w:rsid w:val="00C41809"/>
    <w:rsid w:val="00C43CA5"/>
    <w:rsid w:val="00C43F7A"/>
    <w:rsid w:val="00C46138"/>
    <w:rsid w:val="00C511C6"/>
    <w:rsid w:val="00C51EB0"/>
    <w:rsid w:val="00C55D21"/>
    <w:rsid w:val="00C5743F"/>
    <w:rsid w:val="00C606CF"/>
    <w:rsid w:val="00C6124F"/>
    <w:rsid w:val="00C656D6"/>
    <w:rsid w:val="00C66879"/>
    <w:rsid w:val="00C67E28"/>
    <w:rsid w:val="00C71C04"/>
    <w:rsid w:val="00C743FD"/>
    <w:rsid w:val="00C75A6D"/>
    <w:rsid w:val="00C84C4A"/>
    <w:rsid w:val="00C85FA0"/>
    <w:rsid w:val="00C92CD8"/>
    <w:rsid w:val="00C9443D"/>
    <w:rsid w:val="00CA1E43"/>
    <w:rsid w:val="00CA3E46"/>
    <w:rsid w:val="00CA689A"/>
    <w:rsid w:val="00CB0EAE"/>
    <w:rsid w:val="00CB3B23"/>
    <w:rsid w:val="00CB4051"/>
    <w:rsid w:val="00CB78BF"/>
    <w:rsid w:val="00CB7BC0"/>
    <w:rsid w:val="00CC2536"/>
    <w:rsid w:val="00CC3FB2"/>
    <w:rsid w:val="00CC56BA"/>
    <w:rsid w:val="00CD192B"/>
    <w:rsid w:val="00CD2B10"/>
    <w:rsid w:val="00CD6409"/>
    <w:rsid w:val="00CD6EA3"/>
    <w:rsid w:val="00CD7B8C"/>
    <w:rsid w:val="00CE22F0"/>
    <w:rsid w:val="00CE2C82"/>
    <w:rsid w:val="00CE6214"/>
    <w:rsid w:val="00CE6C0D"/>
    <w:rsid w:val="00CF017D"/>
    <w:rsid w:val="00CF0D16"/>
    <w:rsid w:val="00CF4137"/>
    <w:rsid w:val="00CF5C3E"/>
    <w:rsid w:val="00D0271F"/>
    <w:rsid w:val="00D04C88"/>
    <w:rsid w:val="00D05D0D"/>
    <w:rsid w:val="00D07416"/>
    <w:rsid w:val="00D07515"/>
    <w:rsid w:val="00D10E98"/>
    <w:rsid w:val="00D1336F"/>
    <w:rsid w:val="00D159E6"/>
    <w:rsid w:val="00D16180"/>
    <w:rsid w:val="00D162F7"/>
    <w:rsid w:val="00D1652C"/>
    <w:rsid w:val="00D253A1"/>
    <w:rsid w:val="00D25A69"/>
    <w:rsid w:val="00D26DA1"/>
    <w:rsid w:val="00D31486"/>
    <w:rsid w:val="00D34909"/>
    <w:rsid w:val="00D3520F"/>
    <w:rsid w:val="00D374FF"/>
    <w:rsid w:val="00D40E4D"/>
    <w:rsid w:val="00D41099"/>
    <w:rsid w:val="00D4131B"/>
    <w:rsid w:val="00D457E5"/>
    <w:rsid w:val="00D46997"/>
    <w:rsid w:val="00D51B55"/>
    <w:rsid w:val="00D5686B"/>
    <w:rsid w:val="00D56B17"/>
    <w:rsid w:val="00D6069E"/>
    <w:rsid w:val="00D60A80"/>
    <w:rsid w:val="00D60AA5"/>
    <w:rsid w:val="00D60E86"/>
    <w:rsid w:val="00D61A8C"/>
    <w:rsid w:val="00D61E5A"/>
    <w:rsid w:val="00D712A1"/>
    <w:rsid w:val="00D71F49"/>
    <w:rsid w:val="00D73D87"/>
    <w:rsid w:val="00D74089"/>
    <w:rsid w:val="00D751EF"/>
    <w:rsid w:val="00D766B7"/>
    <w:rsid w:val="00D82FF6"/>
    <w:rsid w:val="00D84CC3"/>
    <w:rsid w:val="00D853D8"/>
    <w:rsid w:val="00D85F8B"/>
    <w:rsid w:val="00D94F6A"/>
    <w:rsid w:val="00D95947"/>
    <w:rsid w:val="00D95D57"/>
    <w:rsid w:val="00D96382"/>
    <w:rsid w:val="00DA1D7B"/>
    <w:rsid w:val="00DA48FF"/>
    <w:rsid w:val="00DA4E2D"/>
    <w:rsid w:val="00DA5394"/>
    <w:rsid w:val="00DA782A"/>
    <w:rsid w:val="00DB27A8"/>
    <w:rsid w:val="00DB474F"/>
    <w:rsid w:val="00DB4953"/>
    <w:rsid w:val="00DB528C"/>
    <w:rsid w:val="00DB75FF"/>
    <w:rsid w:val="00DB7DF1"/>
    <w:rsid w:val="00DC14EC"/>
    <w:rsid w:val="00DC619D"/>
    <w:rsid w:val="00DD1DA3"/>
    <w:rsid w:val="00DD3FED"/>
    <w:rsid w:val="00DD4485"/>
    <w:rsid w:val="00DD749A"/>
    <w:rsid w:val="00DE57A5"/>
    <w:rsid w:val="00DF08AA"/>
    <w:rsid w:val="00DF13DF"/>
    <w:rsid w:val="00DF240C"/>
    <w:rsid w:val="00DF77BB"/>
    <w:rsid w:val="00E01269"/>
    <w:rsid w:val="00E016C9"/>
    <w:rsid w:val="00E04DE5"/>
    <w:rsid w:val="00E169C1"/>
    <w:rsid w:val="00E2299B"/>
    <w:rsid w:val="00E30F83"/>
    <w:rsid w:val="00E31430"/>
    <w:rsid w:val="00E31A08"/>
    <w:rsid w:val="00E32456"/>
    <w:rsid w:val="00E32C51"/>
    <w:rsid w:val="00E52955"/>
    <w:rsid w:val="00E53FC3"/>
    <w:rsid w:val="00E54AD3"/>
    <w:rsid w:val="00E64B76"/>
    <w:rsid w:val="00E66C9E"/>
    <w:rsid w:val="00E70F18"/>
    <w:rsid w:val="00E722F2"/>
    <w:rsid w:val="00E72346"/>
    <w:rsid w:val="00E814C1"/>
    <w:rsid w:val="00E81937"/>
    <w:rsid w:val="00E84E6E"/>
    <w:rsid w:val="00E85843"/>
    <w:rsid w:val="00E8638D"/>
    <w:rsid w:val="00E900E0"/>
    <w:rsid w:val="00E908DA"/>
    <w:rsid w:val="00E9352A"/>
    <w:rsid w:val="00E939F8"/>
    <w:rsid w:val="00E97AC9"/>
    <w:rsid w:val="00EA1B13"/>
    <w:rsid w:val="00EA22A1"/>
    <w:rsid w:val="00EA2DE8"/>
    <w:rsid w:val="00EA6327"/>
    <w:rsid w:val="00EA7806"/>
    <w:rsid w:val="00EB3762"/>
    <w:rsid w:val="00EB3911"/>
    <w:rsid w:val="00EB3BB6"/>
    <w:rsid w:val="00EB3E19"/>
    <w:rsid w:val="00EC1C9E"/>
    <w:rsid w:val="00EC2B42"/>
    <w:rsid w:val="00EC356D"/>
    <w:rsid w:val="00EC658E"/>
    <w:rsid w:val="00ED121A"/>
    <w:rsid w:val="00ED2267"/>
    <w:rsid w:val="00ED588B"/>
    <w:rsid w:val="00EE193A"/>
    <w:rsid w:val="00EE359F"/>
    <w:rsid w:val="00EE63E0"/>
    <w:rsid w:val="00EE67E7"/>
    <w:rsid w:val="00EE7DCC"/>
    <w:rsid w:val="00EF27B9"/>
    <w:rsid w:val="00EF4143"/>
    <w:rsid w:val="00EF42E1"/>
    <w:rsid w:val="00EF4E6B"/>
    <w:rsid w:val="00EF77FE"/>
    <w:rsid w:val="00EF7F18"/>
    <w:rsid w:val="00F050C6"/>
    <w:rsid w:val="00F070F2"/>
    <w:rsid w:val="00F10CF3"/>
    <w:rsid w:val="00F11F09"/>
    <w:rsid w:val="00F125D1"/>
    <w:rsid w:val="00F160C4"/>
    <w:rsid w:val="00F23219"/>
    <w:rsid w:val="00F23E32"/>
    <w:rsid w:val="00F269DA"/>
    <w:rsid w:val="00F26A58"/>
    <w:rsid w:val="00F30E17"/>
    <w:rsid w:val="00F31724"/>
    <w:rsid w:val="00F34FAB"/>
    <w:rsid w:val="00F35859"/>
    <w:rsid w:val="00F40B7B"/>
    <w:rsid w:val="00F41E4B"/>
    <w:rsid w:val="00F4239E"/>
    <w:rsid w:val="00F4327D"/>
    <w:rsid w:val="00F46F70"/>
    <w:rsid w:val="00F474D4"/>
    <w:rsid w:val="00F50A13"/>
    <w:rsid w:val="00F61C97"/>
    <w:rsid w:val="00F649A3"/>
    <w:rsid w:val="00F65773"/>
    <w:rsid w:val="00F67843"/>
    <w:rsid w:val="00F708FB"/>
    <w:rsid w:val="00F73536"/>
    <w:rsid w:val="00F743C2"/>
    <w:rsid w:val="00F7759F"/>
    <w:rsid w:val="00F8020B"/>
    <w:rsid w:val="00F817BE"/>
    <w:rsid w:val="00F82920"/>
    <w:rsid w:val="00F82F28"/>
    <w:rsid w:val="00F8326F"/>
    <w:rsid w:val="00F83F12"/>
    <w:rsid w:val="00F9137E"/>
    <w:rsid w:val="00FA1775"/>
    <w:rsid w:val="00FA3BA8"/>
    <w:rsid w:val="00FA521C"/>
    <w:rsid w:val="00FA6F91"/>
    <w:rsid w:val="00FB01C9"/>
    <w:rsid w:val="00FB3054"/>
    <w:rsid w:val="00FC4942"/>
    <w:rsid w:val="00FC4C52"/>
    <w:rsid w:val="00FC63A9"/>
    <w:rsid w:val="00FC7584"/>
    <w:rsid w:val="00FC75B3"/>
    <w:rsid w:val="00FC7764"/>
    <w:rsid w:val="00FD08E9"/>
    <w:rsid w:val="00FD142D"/>
    <w:rsid w:val="00FD638A"/>
    <w:rsid w:val="00FE023F"/>
    <w:rsid w:val="00FE08FE"/>
    <w:rsid w:val="00FE1F4B"/>
    <w:rsid w:val="00FF14F1"/>
    <w:rsid w:val="00FF1ABE"/>
    <w:rsid w:val="00FF2C26"/>
    <w:rsid w:val="00FF34E0"/>
    <w:rsid w:val="00FF4B24"/>
    <w:rsid w:val="00FF596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2078"/>
  <w15:docId w15:val="{47B29578-43C7-486F-9B39-E86ECBA55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076"/>
    <w:rPr>
      <w:lang w:val="en-GB"/>
    </w:rPr>
  </w:style>
  <w:style w:type="paragraph" w:styleId="Titlu1">
    <w:name w:val="heading 1"/>
    <w:basedOn w:val="Normal"/>
    <w:next w:val="Normal"/>
    <w:link w:val="Titlu1Caracter"/>
    <w:uiPriority w:val="9"/>
    <w:qFormat/>
    <w:rsid w:val="007F73C5"/>
    <w:pPr>
      <w:spacing w:line="360" w:lineRule="auto"/>
      <w:jc w:val="both"/>
      <w:outlineLvl w:val="0"/>
    </w:pPr>
    <w:rPr>
      <w:rFonts w:ascii="Times New Roman" w:hAnsi="Times New Roman" w:cs="Times New Roman"/>
      <w:b/>
      <w:sz w:val="28"/>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unhideWhenUsed/>
    <w:rsid w:val="005D38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
    <w:rsid w:val="007F73C5"/>
    <w:rPr>
      <w:rFonts w:ascii="Times New Roman" w:hAnsi="Times New Roman" w:cs="Times New Roman"/>
      <w:b/>
      <w:sz w:val="28"/>
      <w:lang w:val="en-US"/>
    </w:rPr>
  </w:style>
  <w:style w:type="paragraph" w:styleId="Titlucuprins">
    <w:name w:val="TOC Heading"/>
    <w:basedOn w:val="Titlu1"/>
    <w:next w:val="Normal"/>
    <w:uiPriority w:val="39"/>
    <w:semiHidden/>
    <w:unhideWhenUsed/>
    <w:qFormat/>
    <w:rsid w:val="00500C88"/>
    <w:pPr>
      <w:keepNext/>
      <w:keepLines/>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Cuprins1">
    <w:name w:val="toc 1"/>
    <w:basedOn w:val="Normal"/>
    <w:next w:val="Normal"/>
    <w:autoRedefine/>
    <w:uiPriority w:val="39"/>
    <w:unhideWhenUsed/>
    <w:rsid w:val="00500C88"/>
    <w:pPr>
      <w:spacing w:after="100"/>
    </w:pPr>
  </w:style>
  <w:style w:type="character" w:styleId="Hyperlink">
    <w:name w:val="Hyperlink"/>
    <w:basedOn w:val="Fontdeparagrafimplicit"/>
    <w:uiPriority w:val="99"/>
    <w:unhideWhenUsed/>
    <w:rsid w:val="00500C88"/>
    <w:rPr>
      <w:color w:val="0563C1" w:themeColor="hyperlink"/>
      <w:u w:val="single"/>
    </w:rPr>
  </w:style>
  <w:style w:type="paragraph" w:styleId="TextnBalon">
    <w:name w:val="Balloon Text"/>
    <w:basedOn w:val="Normal"/>
    <w:link w:val="TextnBalonCaracter"/>
    <w:uiPriority w:val="99"/>
    <w:semiHidden/>
    <w:unhideWhenUsed/>
    <w:rsid w:val="00500C8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500C8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105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AB18E-EA82-4140-AA9E-4D888A57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2875</Words>
  <Characters>16391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hassan</dc:creator>
  <cp:lastModifiedBy>Alin Carare (2246440)</cp:lastModifiedBy>
  <cp:revision>2</cp:revision>
  <dcterms:created xsi:type="dcterms:W3CDTF">2024-07-26T16:53:00Z</dcterms:created>
  <dcterms:modified xsi:type="dcterms:W3CDTF">2024-07-26T16:53:00Z</dcterms:modified>
</cp:coreProperties>
</file>