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B6BDC" w14:textId="77777777" w:rsidR="006039DD" w:rsidRDefault="006039DD">
      <w:pPr>
        <w:spacing w:line="278" w:lineRule="auto"/>
        <w:jc w:val="left"/>
      </w:pPr>
    </w:p>
    <w:p w14:paraId="763D1E48" w14:textId="5A6161FE" w:rsidR="00964327" w:rsidRDefault="00964327" w:rsidP="00964327">
      <w:pPr>
        <w:spacing w:line="278" w:lineRule="auto"/>
        <w:rPr>
          <w:b/>
          <w:bCs/>
          <w:sz w:val="28"/>
          <w:szCs w:val="32"/>
        </w:rPr>
      </w:pPr>
    </w:p>
    <w:p w14:paraId="21BF9935" w14:textId="64F944C8" w:rsidR="00964327" w:rsidRDefault="00964327" w:rsidP="00964327">
      <w:pPr>
        <w:spacing w:line="278" w:lineRule="auto"/>
        <w:rPr>
          <w:b/>
          <w:bCs/>
          <w:sz w:val="28"/>
          <w:szCs w:val="32"/>
        </w:rPr>
      </w:pPr>
      <w:r w:rsidRPr="00074402">
        <w:rPr>
          <w:rFonts w:cs="Arial"/>
          <w:noProof/>
          <w:lang w:eastAsia="en-GB"/>
        </w:rPr>
        <w:drawing>
          <wp:anchor distT="0" distB="0" distL="114300" distR="114300" simplePos="0" relativeHeight="251659264" behindDoc="0" locked="0" layoutInCell="1" allowOverlap="1" wp14:anchorId="1A071EA0" wp14:editId="537C4C3C">
            <wp:simplePos x="0" y="0"/>
            <wp:positionH relativeFrom="margin">
              <wp:posOffset>31750</wp:posOffset>
            </wp:positionH>
            <wp:positionV relativeFrom="paragraph">
              <wp:posOffset>7620</wp:posOffset>
            </wp:positionV>
            <wp:extent cx="1866900" cy="9144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669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655334" w14:textId="77777777" w:rsidR="00964327" w:rsidRDefault="00964327" w:rsidP="00964327">
      <w:pPr>
        <w:spacing w:line="278" w:lineRule="auto"/>
        <w:rPr>
          <w:b/>
          <w:bCs/>
          <w:sz w:val="28"/>
          <w:szCs w:val="32"/>
        </w:rPr>
      </w:pPr>
    </w:p>
    <w:p w14:paraId="2035E0A3" w14:textId="77777777" w:rsidR="00964327" w:rsidRDefault="00964327" w:rsidP="00964327">
      <w:pPr>
        <w:spacing w:line="278" w:lineRule="auto"/>
        <w:rPr>
          <w:b/>
          <w:bCs/>
          <w:sz w:val="28"/>
          <w:szCs w:val="32"/>
        </w:rPr>
      </w:pPr>
    </w:p>
    <w:p w14:paraId="4DF79286" w14:textId="77777777" w:rsidR="00964327" w:rsidRDefault="00964327" w:rsidP="00964327">
      <w:pPr>
        <w:spacing w:line="278" w:lineRule="auto"/>
        <w:rPr>
          <w:b/>
          <w:bCs/>
          <w:sz w:val="28"/>
          <w:szCs w:val="32"/>
        </w:rPr>
      </w:pPr>
    </w:p>
    <w:p w14:paraId="5EE86062" w14:textId="5CD58614" w:rsidR="00E12360" w:rsidRDefault="00145CEF" w:rsidP="00964327">
      <w:pPr>
        <w:spacing w:line="278" w:lineRule="auto"/>
        <w:rPr>
          <w:b/>
          <w:bCs/>
          <w:sz w:val="28"/>
          <w:szCs w:val="32"/>
        </w:rPr>
      </w:pPr>
      <w:r>
        <w:rPr>
          <w:b/>
          <w:bCs/>
          <w:sz w:val="28"/>
          <w:szCs w:val="32"/>
        </w:rPr>
        <w:t>“</w:t>
      </w:r>
      <w:r w:rsidR="00C37FA3">
        <w:rPr>
          <w:b/>
          <w:bCs/>
          <w:sz w:val="28"/>
          <w:szCs w:val="32"/>
        </w:rPr>
        <w:t>C</w:t>
      </w:r>
      <w:r w:rsidR="00C37FA3" w:rsidRPr="00C37FA3">
        <w:rPr>
          <w:b/>
          <w:bCs/>
          <w:sz w:val="28"/>
          <w:szCs w:val="32"/>
        </w:rPr>
        <w:t xml:space="preserve">urrent Health, Wellbeing </w:t>
      </w:r>
      <w:r w:rsidR="00C37FA3">
        <w:rPr>
          <w:b/>
          <w:bCs/>
          <w:sz w:val="28"/>
          <w:szCs w:val="32"/>
        </w:rPr>
        <w:t>a</w:t>
      </w:r>
      <w:r w:rsidR="00C37FA3" w:rsidRPr="00C37FA3">
        <w:rPr>
          <w:b/>
          <w:bCs/>
          <w:sz w:val="28"/>
          <w:szCs w:val="32"/>
        </w:rPr>
        <w:t xml:space="preserve">nd Sustainability Policies </w:t>
      </w:r>
      <w:r w:rsidR="00C37FA3">
        <w:rPr>
          <w:b/>
          <w:bCs/>
          <w:sz w:val="28"/>
          <w:szCs w:val="32"/>
        </w:rPr>
        <w:t>a</w:t>
      </w:r>
      <w:r w:rsidR="00C37FA3" w:rsidRPr="00C37FA3">
        <w:rPr>
          <w:b/>
          <w:bCs/>
          <w:sz w:val="28"/>
          <w:szCs w:val="32"/>
        </w:rPr>
        <w:t xml:space="preserve">nd Initiatives That Impact Citizens </w:t>
      </w:r>
      <w:r w:rsidR="00C37FA3">
        <w:rPr>
          <w:b/>
          <w:bCs/>
          <w:sz w:val="28"/>
          <w:szCs w:val="32"/>
        </w:rPr>
        <w:t>o</w:t>
      </w:r>
      <w:r w:rsidR="00C37FA3" w:rsidRPr="00C37FA3">
        <w:rPr>
          <w:b/>
          <w:bCs/>
          <w:sz w:val="28"/>
          <w:szCs w:val="32"/>
        </w:rPr>
        <w:t xml:space="preserve">n </w:t>
      </w:r>
      <w:r w:rsidR="00C37FA3">
        <w:rPr>
          <w:b/>
          <w:bCs/>
          <w:sz w:val="28"/>
          <w:szCs w:val="32"/>
        </w:rPr>
        <w:t>a</w:t>
      </w:r>
      <w:r w:rsidR="00C37FA3" w:rsidRPr="00C37FA3">
        <w:rPr>
          <w:b/>
          <w:bCs/>
          <w:sz w:val="28"/>
          <w:szCs w:val="32"/>
        </w:rPr>
        <w:t xml:space="preserve"> Global, National </w:t>
      </w:r>
      <w:r w:rsidR="00C37FA3">
        <w:rPr>
          <w:b/>
          <w:bCs/>
          <w:sz w:val="28"/>
          <w:szCs w:val="32"/>
        </w:rPr>
        <w:t>a</w:t>
      </w:r>
      <w:r w:rsidR="00C37FA3" w:rsidRPr="00C37FA3">
        <w:rPr>
          <w:b/>
          <w:bCs/>
          <w:sz w:val="28"/>
          <w:szCs w:val="32"/>
        </w:rPr>
        <w:t>nd Local Level</w:t>
      </w:r>
      <w:r>
        <w:rPr>
          <w:b/>
          <w:bCs/>
          <w:sz w:val="28"/>
          <w:szCs w:val="32"/>
        </w:rPr>
        <w:t>”</w:t>
      </w:r>
    </w:p>
    <w:p w14:paraId="3D55B2C4" w14:textId="38BE8073" w:rsidR="006039DD" w:rsidRPr="00744F59" w:rsidRDefault="006039DD" w:rsidP="00744F59">
      <w:pPr>
        <w:spacing w:line="278" w:lineRule="auto"/>
        <w:jc w:val="center"/>
        <w:rPr>
          <w:b/>
          <w:bCs/>
          <w:sz w:val="28"/>
          <w:szCs w:val="32"/>
        </w:rPr>
      </w:pPr>
    </w:p>
    <w:p w14:paraId="77771B36" w14:textId="77777777" w:rsidR="006039DD" w:rsidRDefault="006039DD">
      <w:pPr>
        <w:spacing w:line="278" w:lineRule="auto"/>
        <w:jc w:val="left"/>
      </w:pPr>
    </w:p>
    <w:p w14:paraId="28C71313" w14:textId="77777777" w:rsidR="00694680" w:rsidRDefault="00694680">
      <w:pPr>
        <w:spacing w:line="278" w:lineRule="auto"/>
        <w:jc w:val="left"/>
      </w:pPr>
    </w:p>
    <w:p w14:paraId="6F36C531" w14:textId="77777777" w:rsidR="00744F59" w:rsidRDefault="00744F59">
      <w:pPr>
        <w:spacing w:line="278" w:lineRule="auto"/>
        <w:jc w:val="left"/>
      </w:pPr>
    </w:p>
    <w:p w14:paraId="2B0138A8" w14:textId="3BE878CF" w:rsidR="00694680" w:rsidRDefault="00694680" w:rsidP="00964327">
      <w:pPr>
        <w:spacing w:line="278" w:lineRule="auto"/>
        <w:jc w:val="left"/>
      </w:pPr>
      <w:r w:rsidRPr="00964327">
        <w:rPr>
          <w:b/>
          <w:sz w:val="28"/>
          <w:szCs w:val="28"/>
        </w:rPr>
        <w:t>Student Name</w:t>
      </w:r>
      <w:r w:rsidR="00964327" w:rsidRPr="00964327">
        <w:rPr>
          <w:b/>
          <w:sz w:val="28"/>
          <w:szCs w:val="28"/>
        </w:rPr>
        <w:t>:</w:t>
      </w:r>
      <w:r w:rsidR="00964327" w:rsidRPr="00964327">
        <w:rPr>
          <w:sz w:val="28"/>
          <w:szCs w:val="28"/>
        </w:rPr>
        <w:t xml:space="preserve"> Sindatche D. B. Baldé</w:t>
      </w:r>
    </w:p>
    <w:p w14:paraId="5AA2AD2A" w14:textId="19C0470A" w:rsidR="00694680" w:rsidRPr="00964327" w:rsidRDefault="00694680" w:rsidP="00964327">
      <w:pPr>
        <w:spacing w:line="278" w:lineRule="auto"/>
        <w:jc w:val="left"/>
        <w:rPr>
          <w:sz w:val="28"/>
          <w:szCs w:val="28"/>
        </w:rPr>
      </w:pPr>
      <w:r w:rsidRPr="00964327">
        <w:rPr>
          <w:b/>
          <w:sz w:val="28"/>
          <w:szCs w:val="28"/>
        </w:rPr>
        <w:t>Student Number</w:t>
      </w:r>
      <w:r w:rsidR="00964327" w:rsidRPr="00964327">
        <w:rPr>
          <w:sz w:val="28"/>
          <w:szCs w:val="28"/>
        </w:rPr>
        <w:t>: 2233643</w:t>
      </w:r>
    </w:p>
    <w:p w14:paraId="073E90EF" w14:textId="64F78B0F" w:rsidR="00230CB7" w:rsidRPr="00964327" w:rsidRDefault="00964327" w:rsidP="00964327">
      <w:pPr>
        <w:spacing w:line="278" w:lineRule="auto"/>
        <w:jc w:val="left"/>
        <w:rPr>
          <w:sz w:val="28"/>
          <w:szCs w:val="28"/>
        </w:rPr>
      </w:pPr>
      <w:r w:rsidRPr="00964327">
        <w:rPr>
          <w:b/>
          <w:sz w:val="28"/>
          <w:szCs w:val="28"/>
        </w:rPr>
        <w:t>Lecturer:</w:t>
      </w:r>
      <w:r w:rsidRPr="00964327">
        <w:rPr>
          <w:sz w:val="28"/>
          <w:szCs w:val="28"/>
        </w:rPr>
        <w:t xml:space="preserve"> Shepherd Zico </w:t>
      </w:r>
    </w:p>
    <w:p w14:paraId="2256D210" w14:textId="60AC926D" w:rsidR="00230CB7" w:rsidRPr="00964327" w:rsidRDefault="00964327" w:rsidP="00964327">
      <w:pPr>
        <w:spacing w:line="278" w:lineRule="auto"/>
        <w:jc w:val="left"/>
        <w:rPr>
          <w:sz w:val="28"/>
          <w:szCs w:val="28"/>
        </w:rPr>
      </w:pPr>
      <w:r w:rsidRPr="00964327">
        <w:rPr>
          <w:b/>
          <w:sz w:val="28"/>
          <w:szCs w:val="28"/>
        </w:rPr>
        <w:t>Module Name:</w:t>
      </w:r>
      <w:r w:rsidRPr="00964327">
        <w:rPr>
          <w:sz w:val="28"/>
          <w:szCs w:val="28"/>
        </w:rPr>
        <w:t xml:space="preserve"> </w:t>
      </w:r>
      <w:r w:rsidR="005D3939" w:rsidRPr="00964327">
        <w:rPr>
          <w:sz w:val="28"/>
          <w:szCs w:val="28"/>
        </w:rPr>
        <w:t>Health, Wellbeing and Sustainable Development</w:t>
      </w:r>
    </w:p>
    <w:p w14:paraId="6BA959BC" w14:textId="265C49F8" w:rsidR="00230CB7" w:rsidRPr="00964327" w:rsidRDefault="00964327" w:rsidP="00964327">
      <w:pPr>
        <w:spacing w:line="278" w:lineRule="auto"/>
        <w:jc w:val="left"/>
        <w:rPr>
          <w:sz w:val="28"/>
          <w:szCs w:val="28"/>
        </w:rPr>
      </w:pPr>
      <w:r w:rsidRPr="00964327">
        <w:rPr>
          <w:b/>
          <w:sz w:val="28"/>
          <w:szCs w:val="28"/>
        </w:rPr>
        <w:t>Module Code:</w:t>
      </w:r>
      <w:r w:rsidRPr="00964327">
        <w:rPr>
          <w:sz w:val="28"/>
          <w:szCs w:val="28"/>
        </w:rPr>
        <w:t xml:space="preserve"> BMHP6030</w:t>
      </w:r>
    </w:p>
    <w:p w14:paraId="3D8E6A83" w14:textId="77777777" w:rsidR="00964327" w:rsidRDefault="00964327" w:rsidP="00964327">
      <w:pPr>
        <w:spacing w:line="278" w:lineRule="auto"/>
        <w:jc w:val="left"/>
      </w:pPr>
    </w:p>
    <w:p w14:paraId="1B98FF01" w14:textId="77777777" w:rsidR="00964327" w:rsidRDefault="00964327" w:rsidP="00964327">
      <w:pPr>
        <w:spacing w:line="278" w:lineRule="auto"/>
        <w:jc w:val="left"/>
      </w:pPr>
    </w:p>
    <w:p w14:paraId="577B93EA" w14:textId="77777777" w:rsidR="00964327" w:rsidRDefault="00964327" w:rsidP="00964327">
      <w:pPr>
        <w:spacing w:line="278" w:lineRule="auto"/>
        <w:jc w:val="left"/>
      </w:pPr>
    </w:p>
    <w:p w14:paraId="3AE66DF2" w14:textId="77777777" w:rsidR="00964327" w:rsidRDefault="00964327" w:rsidP="00964327">
      <w:pPr>
        <w:spacing w:line="278" w:lineRule="auto"/>
        <w:jc w:val="left"/>
      </w:pPr>
    </w:p>
    <w:p w14:paraId="683BBD9C" w14:textId="77777777" w:rsidR="00964327" w:rsidRDefault="00964327" w:rsidP="00964327">
      <w:pPr>
        <w:tabs>
          <w:tab w:val="left" w:pos="6540"/>
        </w:tabs>
        <w:ind w:left="426"/>
        <w:rPr>
          <w:rFonts w:cs="Arial"/>
          <w:sz w:val="28"/>
          <w:szCs w:val="28"/>
        </w:rPr>
      </w:pPr>
      <w:r>
        <w:rPr>
          <w:rFonts w:cs="Arial"/>
          <w:b/>
          <w:bCs/>
          <w:sz w:val="28"/>
          <w:szCs w:val="28"/>
        </w:rPr>
        <w:t>Acknowledgement of the use/non-use of AI</w:t>
      </w:r>
      <w:r w:rsidRPr="004D2A07">
        <w:rPr>
          <w:rFonts w:cs="Arial"/>
          <w:sz w:val="28"/>
          <w:szCs w:val="28"/>
        </w:rPr>
        <w:t>:</w:t>
      </w:r>
    </w:p>
    <w:p w14:paraId="56E6042E" w14:textId="77777777" w:rsidR="00964327" w:rsidRPr="00964327" w:rsidRDefault="00964327" w:rsidP="00964327">
      <w:pPr>
        <w:tabs>
          <w:tab w:val="left" w:pos="6540"/>
        </w:tabs>
        <w:ind w:left="426"/>
        <w:rPr>
          <w:rFonts w:cs="Arial"/>
          <w:sz w:val="20"/>
          <w:szCs w:val="20"/>
        </w:rPr>
      </w:pPr>
      <w:r w:rsidRPr="00964327">
        <w:rPr>
          <w:rFonts w:cs="Arial"/>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D97992" w14:textId="77777777" w:rsidR="00964327" w:rsidRDefault="00964327" w:rsidP="00964327">
      <w:pPr>
        <w:spacing w:line="278" w:lineRule="auto"/>
        <w:jc w:val="left"/>
      </w:pPr>
    </w:p>
    <w:p w14:paraId="4183C322" w14:textId="4F397E26" w:rsidR="00151505" w:rsidRDefault="00151505" w:rsidP="00964327">
      <w:pPr>
        <w:spacing w:line="278" w:lineRule="auto"/>
        <w:jc w:val="left"/>
      </w:pPr>
      <w:r>
        <w:br w:type="page"/>
      </w:r>
    </w:p>
    <w:sdt>
      <w:sdtPr>
        <w:rPr>
          <w:rFonts w:ascii="Arial" w:eastAsiaTheme="minorHAnsi" w:hAnsi="Arial" w:cstheme="minorBidi"/>
          <w:color w:val="auto"/>
          <w:kern w:val="2"/>
          <w:sz w:val="22"/>
          <w:szCs w:val="24"/>
          <w:lang w:val="en-GB"/>
          <w14:ligatures w14:val="standardContextual"/>
        </w:rPr>
        <w:id w:val="1851519433"/>
        <w:docPartObj>
          <w:docPartGallery w:val="Table of Contents"/>
          <w:docPartUnique/>
        </w:docPartObj>
      </w:sdtPr>
      <w:sdtEndPr>
        <w:rPr>
          <w:b/>
          <w:bCs/>
          <w:noProof/>
        </w:rPr>
      </w:sdtEndPr>
      <w:sdtContent>
        <w:p w14:paraId="2A4FD8AC" w14:textId="5DFC67FB" w:rsidR="00096F38" w:rsidRPr="00096F38" w:rsidRDefault="00096F38" w:rsidP="00096F38">
          <w:pPr>
            <w:pStyle w:val="TOCHeading"/>
            <w:spacing w:before="0" w:after="240" w:line="360" w:lineRule="auto"/>
            <w:jc w:val="center"/>
            <w:rPr>
              <w:rFonts w:ascii="Arial" w:hAnsi="Arial" w:cs="Arial"/>
              <w:b/>
              <w:bCs/>
              <w:color w:val="auto"/>
              <w:sz w:val="28"/>
              <w:szCs w:val="28"/>
            </w:rPr>
          </w:pPr>
          <w:r w:rsidRPr="00096F38">
            <w:rPr>
              <w:rFonts w:ascii="Arial" w:hAnsi="Arial" w:cs="Arial"/>
              <w:b/>
              <w:bCs/>
              <w:color w:val="auto"/>
              <w:sz w:val="28"/>
              <w:szCs w:val="28"/>
            </w:rPr>
            <w:t>Table of Contents</w:t>
          </w:r>
        </w:p>
        <w:p w14:paraId="6A011AB1" w14:textId="324F166D" w:rsidR="00004689" w:rsidRDefault="00096F38">
          <w:pPr>
            <w:pStyle w:val="TOC1"/>
            <w:tabs>
              <w:tab w:val="right" w:leader="dot" w:pos="9350"/>
            </w:tabs>
            <w:rPr>
              <w:rFonts w:asciiTheme="minorHAnsi" w:eastAsiaTheme="minorEastAsia" w:hAnsiTheme="minorHAnsi"/>
              <w:noProof/>
              <w:sz w:val="24"/>
              <w:lang w:val="en-US"/>
            </w:rPr>
          </w:pPr>
          <w:r>
            <w:fldChar w:fldCharType="begin"/>
          </w:r>
          <w:r>
            <w:instrText xml:space="preserve"> TOC \o "1-3" \h \z \u </w:instrText>
          </w:r>
          <w:r>
            <w:fldChar w:fldCharType="separate"/>
          </w:r>
          <w:hyperlink w:anchor="_Toc211825572" w:history="1">
            <w:r w:rsidR="00004689" w:rsidRPr="00F00768">
              <w:rPr>
                <w:rStyle w:val="Hyperlink"/>
                <w:noProof/>
              </w:rPr>
              <w:t>1. Introduction</w:t>
            </w:r>
            <w:r w:rsidR="00004689">
              <w:rPr>
                <w:noProof/>
                <w:webHidden/>
              </w:rPr>
              <w:tab/>
            </w:r>
            <w:r w:rsidR="00004689">
              <w:rPr>
                <w:noProof/>
                <w:webHidden/>
              </w:rPr>
              <w:fldChar w:fldCharType="begin"/>
            </w:r>
            <w:r w:rsidR="00004689">
              <w:rPr>
                <w:noProof/>
                <w:webHidden/>
              </w:rPr>
              <w:instrText xml:space="preserve"> PAGEREF _Toc211825572 \h </w:instrText>
            </w:r>
            <w:r w:rsidR="00004689">
              <w:rPr>
                <w:noProof/>
                <w:webHidden/>
              </w:rPr>
            </w:r>
            <w:r w:rsidR="00004689">
              <w:rPr>
                <w:noProof/>
                <w:webHidden/>
              </w:rPr>
              <w:fldChar w:fldCharType="separate"/>
            </w:r>
            <w:r w:rsidR="00004689">
              <w:rPr>
                <w:noProof/>
                <w:webHidden/>
              </w:rPr>
              <w:t>3</w:t>
            </w:r>
            <w:r w:rsidR="00004689">
              <w:rPr>
                <w:noProof/>
                <w:webHidden/>
              </w:rPr>
              <w:fldChar w:fldCharType="end"/>
            </w:r>
          </w:hyperlink>
        </w:p>
        <w:p w14:paraId="4769D630" w14:textId="1666FA9B" w:rsidR="00004689" w:rsidRDefault="00817853">
          <w:pPr>
            <w:pStyle w:val="TOC1"/>
            <w:tabs>
              <w:tab w:val="right" w:leader="dot" w:pos="9350"/>
            </w:tabs>
            <w:rPr>
              <w:rFonts w:asciiTheme="minorHAnsi" w:eastAsiaTheme="minorEastAsia" w:hAnsiTheme="minorHAnsi"/>
              <w:noProof/>
              <w:sz w:val="24"/>
              <w:lang w:val="en-US"/>
            </w:rPr>
          </w:pPr>
          <w:hyperlink w:anchor="_Toc211825573" w:history="1">
            <w:r w:rsidR="00004689" w:rsidRPr="00F00768">
              <w:rPr>
                <w:rStyle w:val="Hyperlink"/>
                <w:noProof/>
              </w:rPr>
              <w:t>2. Sustainable Development Goal 3 - Good Health and Wellbeing</w:t>
            </w:r>
            <w:r w:rsidR="00004689">
              <w:rPr>
                <w:noProof/>
                <w:webHidden/>
              </w:rPr>
              <w:tab/>
            </w:r>
            <w:r w:rsidR="00004689">
              <w:rPr>
                <w:noProof/>
                <w:webHidden/>
              </w:rPr>
              <w:fldChar w:fldCharType="begin"/>
            </w:r>
            <w:r w:rsidR="00004689">
              <w:rPr>
                <w:noProof/>
                <w:webHidden/>
              </w:rPr>
              <w:instrText xml:space="preserve"> PAGEREF _Toc211825573 \h </w:instrText>
            </w:r>
            <w:r w:rsidR="00004689">
              <w:rPr>
                <w:noProof/>
                <w:webHidden/>
              </w:rPr>
            </w:r>
            <w:r w:rsidR="00004689">
              <w:rPr>
                <w:noProof/>
                <w:webHidden/>
              </w:rPr>
              <w:fldChar w:fldCharType="separate"/>
            </w:r>
            <w:r w:rsidR="00004689">
              <w:rPr>
                <w:noProof/>
                <w:webHidden/>
              </w:rPr>
              <w:t>3</w:t>
            </w:r>
            <w:r w:rsidR="00004689">
              <w:rPr>
                <w:noProof/>
                <w:webHidden/>
              </w:rPr>
              <w:fldChar w:fldCharType="end"/>
            </w:r>
          </w:hyperlink>
        </w:p>
        <w:p w14:paraId="424AB9C4" w14:textId="6FD8136E" w:rsidR="00004689" w:rsidRDefault="00817853">
          <w:pPr>
            <w:pStyle w:val="TOC1"/>
            <w:tabs>
              <w:tab w:val="right" w:leader="dot" w:pos="9350"/>
            </w:tabs>
            <w:rPr>
              <w:rFonts w:asciiTheme="minorHAnsi" w:eastAsiaTheme="minorEastAsia" w:hAnsiTheme="minorHAnsi"/>
              <w:noProof/>
              <w:sz w:val="24"/>
              <w:lang w:val="en-US"/>
            </w:rPr>
          </w:pPr>
          <w:hyperlink w:anchor="_Toc211825574" w:history="1">
            <w:r w:rsidR="00004689" w:rsidRPr="00F00768">
              <w:rPr>
                <w:rStyle w:val="Hyperlink"/>
                <w:noProof/>
              </w:rPr>
              <w:t>3. Sustainable Development Goal 13 - Climate Action</w:t>
            </w:r>
            <w:r w:rsidR="00004689">
              <w:rPr>
                <w:noProof/>
                <w:webHidden/>
              </w:rPr>
              <w:tab/>
            </w:r>
            <w:r w:rsidR="00004689">
              <w:rPr>
                <w:noProof/>
                <w:webHidden/>
              </w:rPr>
              <w:fldChar w:fldCharType="begin"/>
            </w:r>
            <w:r w:rsidR="00004689">
              <w:rPr>
                <w:noProof/>
                <w:webHidden/>
              </w:rPr>
              <w:instrText xml:space="preserve"> PAGEREF _Toc211825574 \h </w:instrText>
            </w:r>
            <w:r w:rsidR="00004689">
              <w:rPr>
                <w:noProof/>
                <w:webHidden/>
              </w:rPr>
            </w:r>
            <w:r w:rsidR="00004689">
              <w:rPr>
                <w:noProof/>
                <w:webHidden/>
              </w:rPr>
              <w:fldChar w:fldCharType="separate"/>
            </w:r>
            <w:r w:rsidR="00004689">
              <w:rPr>
                <w:noProof/>
                <w:webHidden/>
              </w:rPr>
              <w:t>4</w:t>
            </w:r>
            <w:r w:rsidR="00004689">
              <w:rPr>
                <w:noProof/>
                <w:webHidden/>
              </w:rPr>
              <w:fldChar w:fldCharType="end"/>
            </w:r>
          </w:hyperlink>
        </w:p>
        <w:p w14:paraId="47C5753C" w14:textId="5791A301" w:rsidR="00004689" w:rsidRDefault="00817853">
          <w:pPr>
            <w:pStyle w:val="TOC1"/>
            <w:tabs>
              <w:tab w:val="right" w:leader="dot" w:pos="9350"/>
            </w:tabs>
            <w:rPr>
              <w:rFonts w:asciiTheme="minorHAnsi" w:eastAsiaTheme="minorEastAsia" w:hAnsiTheme="minorHAnsi"/>
              <w:noProof/>
              <w:sz w:val="24"/>
              <w:lang w:val="en-US"/>
            </w:rPr>
          </w:pPr>
          <w:hyperlink w:anchor="_Toc211825575" w:history="1">
            <w:r w:rsidR="00004689" w:rsidRPr="00F00768">
              <w:rPr>
                <w:rStyle w:val="Hyperlink"/>
                <w:noProof/>
              </w:rPr>
              <w:t>4. National Wellbeing Initiatives</w:t>
            </w:r>
            <w:r w:rsidR="00004689">
              <w:rPr>
                <w:noProof/>
                <w:webHidden/>
              </w:rPr>
              <w:tab/>
            </w:r>
            <w:r w:rsidR="00004689">
              <w:rPr>
                <w:noProof/>
                <w:webHidden/>
              </w:rPr>
              <w:fldChar w:fldCharType="begin"/>
            </w:r>
            <w:r w:rsidR="00004689">
              <w:rPr>
                <w:noProof/>
                <w:webHidden/>
              </w:rPr>
              <w:instrText xml:space="preserve"> PAGEREF _Toc211825575 \h </w:instrText>
            </w:r>
            <w:r w:rsidR="00004689">
              <w:rPr>
                <w:noProof/>
                <w:webHidden/>
              </w:rPr>
            </w:r>
            <w:r w:rsidR="00004689">
              <w:rPr>
                <w:noProof/>
                <w:webHidden/>
              </w:rPr>
              <w:fldChar w:fldCharType="separate"/>
            </w:r>
            <w:r w:rsidR="00004689">
              <w:rPr>
                <w:noProof/>
                <w:webHidden/>
              </w:rPr>
              <w:t>6</w:t>
            </w:r>
            <w:r w:rsidR="00004689">
              <w:rPr>
                <w:noProof/>
                <w:webHidden/>
              </w:rPr>
              <w:fldChar w:fldCharType="end"/>
            </w:r>
          </w:hyperlink>
        </w:p>
        <w:p w14:paraId="7D2F6140" w14:textId="441E0DCA" w:rsidR="00004689" w:rsidRDefault="00817853">
          <w:pPr>
            <w:pStyle w:val="TOC1"/>
            <w:tabs>
              <w:tab w:val="right" w:leader="dot" w:pos="9350"/>
            </w:tabs>
            <w:rPr>
              <w:rFonts w:asciiTheme="minorHAnsi" w:eastAsiaTheme="minorEastAsia" w:hAnsiTheme="minorHAnsi"/>
              <w:noProof/>
              <w:sz w:val="24"/>
              <w:lang w:val="en-US"/>
            </w:rPr>
          </w:pPr>
          <w:hyperlink w:anchor="_Toc211825576" w:history="1">
            <w:r w:rsidR="00004689" w:rsidRPr="00F00768">
              <w:rPr>
                <w:rStyle w:val="Hyperlink"/>
                <w:noProof/>
              </w:rPr>
              <w:t>5. Local Wellbeing Initiatives</w:t>
            </w:r>
            <w:r w:rsidR="00004689">
              <w:rPr>
                <w:noProof/>
                <w:webHidden/>
              </w:rPr>
              <w:tab/>
            </w:r>
            <w:r w:rsidR="00004689">
              <w:rPr>
                <w:noProof/>
                <w:webHidden/>
              </w:rPr>
              <w:fldChar w:fldCharType="begin"/>
            </w:r>
            <w:r w:rsidR="00004689">
              <w:rPr>
                <w:noProof/>
                <w:webHidden/>
              </w:rPr>
              <w:instrText xml:space="preserve"> PAGEREF _Toc211825576 \h </w:instrText>
            </w:r>
            <w:r w:rsidR="00004689">
              <w:rPr>
                <w:noProof/>
                <w:webHidden/>
              </w:rPr>
            </w:r>
            <w:r w:rsidR="00004689">
              <w:rPr>
                <w:noProof/>
                <w:webHidden/>
              </w:rPr>
              <w:fldChar w:fldCharType="separate"/>
            </w:r>
            <w:r w:rsidR="00004689">
              <w:rPr>
                <w:noProof/>
                <w:webHidden/>
              </w:rPr>
              <w:t>7</w:t>
            </w:r>
            <w:r w:rsidR="00004689">
              <w:rPr>
                <w:noProof/>
                <w:webHidden/>
              </w:rPr>
              <w:fldChar w:fldCharType="end"/>
            </w:r>
          </w:hyperlink>
        </w:p>
        <w:p w14:paraId="1DB2C804" w14:textId="4037211C" w:rsidR="00004689" w:rsidRDefault="00817853">
          <w:pPr>
            <w:pStyle w:val="TOC1"/>
            <w:tabs>
              <w:tab w:val="right" w:leader="dot" w:pos="9350"/>
            </w:tabs>
            <w:rPr>
              <w:rFonts w:asciiTheme="minorHAnsi" w:eastAsiaTheme="minorEastAsia" w:hAnsiTheme="minorHAnsi"/>
              <w:noProof/>
              <w:sz w:val="24"/>
              <w:lang w:val="en-US"/>
            </w:rPr>
          </w:pPr>
          <w:hyperlink w:anchor="_Toc211825577" w:history="1">
            <w:r w:rsidR="00004689" w:rsidRPr="00F00768">
              <w:rPr>
                <w:rStyle w:val="Hyperlink"/>
                <w:noProof/>
              </w:rPr>
              <w:t>6. Conclusion</w:t>
            </w:r>
            <w:r w:rsidR="00004689">
              <w:rPr>
                <w:noProof/>
                <w:webHidden/>
              </w:rPr>
              <w:tab/>
            </w:r>
            <w:r w:rsidR="00004689">
              <w:rPr>
                <w:noProof/>
                <w:webHidden/>
              </w:rPr>
              <w:fldChar w:fldCharType="begin"/>
            </w:r>
            <w:r w:rsidR="00004689">
              <w:rPr>
                <w:noProof/>
                <w:webHidden/>
              </w:rPr>
              <w:instrText xml:space="preserve"> PAGEREF _Toc211825577 \h </w:instrText>
            </w:r>
            <w:r w:rsidR="00004689">
              <w:rPr>
                <w:noProof/>
                <w:webHidden/>
              </w:rPr>
            </w:r>
            <w:r w:rsidR="00004689">
              <w:rPr>
                <w:noProof/>
                <w:webHidden/>
              </w:rPr>
              <w:fldChar w:fldCharType="separate"/>
            </w:r>
            <w:r w:rsidR="00004689">
              <w:rPr>
                <w:noProof/>
                <w:webHidden/>
              </w:rPr>
              <w:t>8</w:t>
            </w:r>
            <w:r w:rsidR="00004689">
              <w:rPr>
                <w:noProof/>
                <w:webHidden/>
              </w:rPr>
              <w:fldChar w:fldCharType="end"/>
            </w:r>
          </w:hyperlink>
        </w:p>
        <w:p w14:paraId="6EB00D5A" w14:textId="3592AAED" w:rsidR="00004689" w:rsidRDefault="00817853">
          <w:pPr>
            <w:pStyle w:val="TOC1"/>
            <w:tabs>
              <w:tab w:val="right" w:leader="dot" w:pos="9350"/>
            </w:tabs>
            <w:rPr>
              <w:rFonts w:asciiTheme="minorHAnsi" w:eastAsiaTheme="minorEastAsia" w:hAnsiTheme="minorHAnsi"/>
              <w:noProof/>
              <w:sz w:val="24"/>
              <w:lang w:val="en-US"/>
            </w:rPr>
          </w:pPr>
          <w:hyperlink w:anchor="_Toc211825578" w:history="1">
            <w:r w:rsidR="00004689" w:rsidRPr="00F00768">
              <w:rPr>
                <w:rStyle w:val="Hyperlink"/>
                <w:noProof/>
              </w:rPr>
              <w:t>References</w:t>
            </w:r>
            <w:r w:rsidR="00004689">
              <w:rPr>
                <w:noProof/>
                <w:webHidden/>
              </w:rPr>
              <w:tab/>
            </w:r>
            <w:r w:rsidR="00004689">
              <w:rPr>
                <w:noProof/>
                <w:webHidden/>
              </w:rPr>
              <w:fldChar w:fldCharType="begin"/>
            </w:r>
            <w:r w:rsidR="00004689">
              <w:rPr>
                <w:noProof/>
                <w:webHidden/>
              </w:rPr>
              <w:instrText xml:space="preserve"> PAGEREF _Toc211825578 \h </w:instrText>
            </w:r>
            <w:r w:rsidR="00004689">
              <w:rPr>
                <w:noProof/>
                <w:webHidden/>
              </w:rPr>
            </w:r>
            <w:r w:rsidR="00004689">
              <w:rPr>
                <w:noProof/>
                <w:webHidden/>
              </w:rPr>
              <w:fldChar w:fldCharType="separate"/>
            </w:r>
            <w:r w:rsidR="00004689">
              <w:rPr>
                <w:noProof/>
                <w:webHidden/>
              </w:rPr>
              <w:t>9</w:t>
            </w:r>
            <w:r w:rsidR="00004689">
              <w:rPr>
                <w:noProof/>
                <w:webHidden/>
              </w:rPr>
              <w:fldChar w:fldCharType="end"/>
            </w:r>
          </w:hyperlink>
        </w:p>
        <w:p w14:paraId="54380E0F" w14:textId="72FD35F8" w:rsidR="00096F38" w:rsidRDefault="00096F38">
          <w:r>
            <w:rPr>
              <w:b/>
              <w:bCs/>
              <w:noProof/>
            </w:rPr>
            <w:fldChar w:fldCharType="end"/>
          </w:r>
        </w:p>
      </w:sdtContent>
    </w:sdt>
    <w:p w14:paraId="1DB47354" w14:textId="2EB91184" w:rsidR="00151505" w:rsidRDefault="00151505">
      <w:pPr>
        <w:spacing w:line="278" w:lineRule="auto"/>
        <w:jc w:val="left"/>
      </w:pPr>
      <w:r>
        <w:br w:type="page"/>
      </w:r>
    </w:p>
    <w:p w14:paraId="0CE1D10B" w14:textId="0581FBD1" w:rsidR="00831FC1" w:rsidRDefault="00096F38" w:rsidP="00151505">
      <w:pPr>
        <w:pStyle w:val="Heading1"/>
      </w:pPr>
      <w:bookmarkStart w:id="0" w:name="_Toc211825572"/>
      <w:r>
        <w:lastRenderedPageBreak/>
        <w:t xml:space="preserve">1. </w:t>
      </w:r>
      <w:r w:rsidR="00151505">
        <w:t>Introduction</w:t>
      </w:r>
      <w:bookmarkEnd w:id="0"/>
    </w:p>
    <w:p w14:paraId="79280F84" w14:textId="35521E21" w:rsidR="003B519F" w:rsidRDefault="00151505" w:rsidP="00151505">
      <w:r w:rsidRPr="00151505">
        <w:t>Wellbeing</w:t>
      </w:r>
      <w:r w:rsidR="00566AFD">
        <w:t>,</w:t>
      </w:r>
      <w:r w:rsidRPr="00151505">
        <w:t xml:space="preserve"> sustainable d</w:t>
      </w:r>
      <w:r w:rsidR="001F29CE">
        <w:t>e</w:t>
      </w:r>
      <w:r w:rsidRPr="00151505">
        <w:t>velopment, and health are interconnected priorities that are informing global and national policy responses to enhance quality of life and equity</w:t>
      </w:r>
      <w:r w:rsidR="003B519F">
        <w:t xml:space="preserve"> (</w:t>
      </w:r>
      <w:r w:rsidR="003B519F" w:rsidRPr="003B519F">
        <w:t>Lakioti</w:t>
      </w:r>
      <w:r w:rsidR="003B519F">
        <w:t xml:space="preserve"> et al., 2025)</w:t>
      </w:r>
      <w:r w:rsidRPr="00151505">
        <w:t>. Contemporary health approaches increasingly understand that sustainable development is the basis for fair access to care, environmental sustainability, and social justice</w:t>
      </w:r>
      <w:r w:rsidR="003B519F">
        <w:t xml:space="preserve"> (</w:t>
      </w:r>
      <w:r w:rsidR="003B519F" w:rsidRPr="003B519F">
        <w:t>Sahoo</w:t>
      </w:r>
      <w:r w:rsidR="003B519F">
        <w:t xml:space="preserve"> et al., 2022)</w:t>
      </w:r>
      <w:r w:rsidRPr="00151505">
        <w:t>. This report critically examines Sustainable Development Goal 3, Good Health and Wellbeing, and Sustainable Development Goal 13, Climate Action, its effect on the people at the global, national, and local level, ongoing initiatives, and giving evidence-based recommendations for the future.</w:t>
      </w:r>
      <w:r w:rsidR="003B519F">
        <w:t xml:space="preserve"> </w:t>
      </w:r>
    </w:p>
    <w:p w14:paraId="49EE63EC" w14:textId="7ED3731C" w:rsidR="00151505" w:rsidRDefault="00151505" w:rsidP="00151505">
      <w:pPr>
        <w:pStyle w:val="Heading1"/>
      </w:pPr>
      <w:bookmarkStart w:id="1" w:name="_Toc211825573"/>
      <w:r w:rsidRPr="00151505">
        <w:t>2. Sustainable Development Goal 3</w:t>
      </w:r>
      <w:r>
        <w:t xml:space="preserve"> -</w:t>
      </w:r>
      <w:r w:rsidRPr="00151505">
        <w:t xml:space="preserve"> Good Health and Wellbeing</w:t>
      </w:r>
      <w:bookmarkEnd w:id="1"/>
    </w:p>
    <w:p w14:paraId="6022B645" w14:textId="2FF63FCC" w:rsidR="00BB07EA" w:rsidRDefault="00BB07EA" w:rsidP="00BB07EA">
      <w:r>
        <w:t>Sustainable Development Goal 3 (SDG 3) - Good Health and Wellbeing targets healthy lives and well-being for all ages for all people</w:t>
      </w:r>
      <w:r w:rsidR="000975C9">
        <w:t xml:space="preserve"> (Macassa, 2021)</w:t>
      </w:r>
      <w:r>
        <w:t>. It was embraced by the United Nations in 2015 in the 2030 Agenda, which includes 1</w:t>
      </w:r>
      <w:r w:rsidR="00A3379A">
        <w:t>3</w:t>
      </w:r>
      <w:r>
        <w:t xml:space="preserve"> specific targets for several of the planet's largest health issues today, such as decreasing maternal and child deaths, halting outbreaks of infectious diseases such as HIV/AIDS, tuberculosis, and malaria, and ending early death from non-communicable diseases (NCDs) due to treatment and prevention</w:t>
      </w:r>
      <w:r w:rsidR="00A3379A">
        <w:t xml:space="preserve"> (Arora and Mishra, 2019)</w:t>
      </w:r>
      <w:r>
        <w:t>. It also places severe focus on mental health promotion, universal health coverage (UHC), access to health care of good quality, and prevention of pollution and toxic substance mortality. All of these together acknowledge that health is more than the absence of disease but complete physical, mental, and social well-being in a healthy way facilitated by sustainable systems</w:t>
      </w:r>
      <w:r w:rsidR="00A3379A">
        <w:t xml:space="preserve"> (</w:t>
      </w:r>
      <w:r w:rsidR="00A3379A" w:rsidRPr="00A3379A">
        <w:t>Lakioti</w:t>
      </w:r>
      <w:r w:rsidR="00A3379A">
        <w:t xml:space="preserve"> et al., 2025)</w:t>
      </w:r>
      <w:r>
        <w:t>.</w:t>
      </w:r>
    </w:p>
    <w:p w14:paraId="785CC485" w14:textId="1013C7FD" w:rsidR="00151505" w:rsidRDefault="00BB07EA" w:rsidP="00BB07EA">
      <w:r>
        <w:t>Globally, SDG 3 is central to reducing health disparities by ensuring universal access to treatment through global health policy leadership by the World Health Organi</w:t>
      </w:r>
      <w:r w:rsidR="00096F38">
        <w:t>s</w:t>
      </w:r>
      <w:r>
        <w:t>ation (WHO). WHO's UHC agenda aims to offer quality health services to everyone without financial depletion, thus eradicating the disparities in health between developed and developing countries</w:t>
      </w:r>
      <w:r w:rsidR="00BE30CE">
        <w:t xml:space="preserve"> (Royston et al., 2020)</w:t>
      </w:r>
      <w:r>
        <w:t>. The WHO says that efforts such as the Global Fund and GAVI, the Vaccine Alliance, have immensely increased access to vaccinations, disease surveillance, and pandemic preparedness</w:t>
      </w:r>
      <w:r w:rsidR="00BE30CE">
        <w:t xml:space="preserve"> (Pate and Bali, 2024)</w:t>
      </w:r>
      <w:r>
        <w:t xml:space="preserve">. Progress remains, however, uneven; while life expectancy has been rising globally, disparities are abetted by political unrest, poverty, and weak health systems. </w:t>
      </w:r>
      <w:r w:rsidR="00AA0FF1" w:rsidRPr="00AA0FF1">
        <w:t>Pandemic of COVID-19, among others, has shown the world the unfairness in the distribution of vaccines and health facilities, thus underlining the persistent need for the cooperation of different countries and investing together in health security (Takian et al., 2022).</w:t>
      </w:r>
    </w:p>
    <w:p w14:paraId="42AADA47" w14:textId="38F74C0D" w:rsidR="001552CB" w:rsidRDefault="001552CB" w:rsidP="001552CB">
      <w:r>
        <w:lastRenderedPageBreak/>
        <w:t>In the UK, SDG 3 is closely related to national public policy and public health systems. The Health and Social Care Act 2012 incorporated responsibilities for recruitment against health inequalities and increased accountability for the NHS and local government</w:t>
      </w:r>
      <w:r w:rsidR="006621D7">
        <w:t xml:space="preserve"> (Robertson et al., 2021)</w:t>
      </w:r>
      <w:r>
        <w:t>. The Five Year Forward View published a radical vision for health and social care meeting on the twin pillars of prevention and community orientation</w:t>
      </w:r>
      <w:r w:rsidR="005A1D81">
        <w:t xml:space="preserve"> (Ocloo et al., 2021)</w:t>
      </w:r>
      <w:r>
        <w:t>. Equally, Public Health England (now UK Health Security Agency) supports health inequity interventions through evidence-based policy, prevention of disease, and protection of vulnerable populations</w:t>
      </w:r>
      <w:r w:rsidR="005A1D81">
        <w:t xml:space="preserve"> (Robertson et al., 2021)</w:t>
      </w:r>
      <w:r>
        <w:t>. Policy is focused on addressing the causes of poor health by targeting social determinants of education, income, housing, and employment, principles highlighted in the Dahlgren and Whitehead model.</w:t>
      </w:r>
    </w:p>
    <w:p w14:paraId="0EA09F0E" w14:textId="0BD09994" w:rsidR="001552CB" w:rsidRDefault="001552CB" w:rsidP="001552CB">
      <w:r>
        <w:t>Locally, there are measures like Making Every Contact Count (MECC) where healthcare staff can harness the power of routine conversations to create good behaviour change, e.g., quitting smoking, healthy diets, and mental health</w:t>
      </w:r>
      <w:r w:rsidR="005A1D81">
        <w:t xml:space="preserve"> (Parchment et al., 2023)</w:t>
      </w:r>
      <w:r>
        <w:t>. Regional-priority-focused health improvement interventions are also brought in by local authorities, such as obesity reduction or mental health resilience development</w:t>
      </w:r>
      <w:r w:rsidR="00E4537D">
        <w:t xml:space="preserve"> (Jiang et al., 2025)</w:t>
      </w:r>
      <w:r>
        <w:t>. Despite continued funding shortages, socioeconomic inequality, and pandemic-induced service delay compress equal care access. They are surmountable through sustained political commitment, intersectoral action, and investing in prevention-oriented health systems.</w:t>
      </w:r>
    </w:p>
    <w:p w14:paraId="48A56CD8" w14:textId="591D7F1B" w:rsidR="005A1D81" w:rsidRDefault="001552CB" w:rsidP="001552CB">
      <w:r>
        <w:t>Finally, SDG 3 is an equity, prevention, and sustainability-focused vision of wellbeing. Its attainment is based on a comprehension of health as a global public good, with the social determinants of health considered in all policy, and safe collaborative action by global, national, and local partners to build resilient and inclusive health systems.</w:t>
      </w:r>
      <w:r w:rsidR="00E4537D">
        <w:t xml:space="preserve"> </w:t>
      </w:r>
    </w:p>
    <w:p w14:paraId="5F15387A" w14:textId="3084B9C3" w:rsidR="004568D6" w:rsidRDefault="00F76333" w:rsidP="00F76333">
      <w:pPr>
        <w:pStyle w:val="Heading1"/>
      </w:pPr>
      <w:bookmarkStart w:id="2" w:name="_Toc211825574"/>
      <w:r w:rsidRPr="00F76333">
        <w:t>3. Sustainable Development Goal 13</w:t>
      </w:r>
      <w:r w:rsidR="00716D9E">
        <w:t xml:space="preserve"> -</w:t>
      </w:r>
      <w:r w:rsidRPr="00F76333">
        <w:t xml:space="preserve"> Climate Action</w:t>
      </w:r>
      <w:bookmarkEnd w:id="2"/>
    </w:p>
    <w:p w14:paraId="07EC9292" w14:textId="28759C1D" w:rsidR="00740C59" w:rsidRDefault="00F4778D" w:rsidP="00F4778D">
      <w:r>
        <w:t>Sustainable Development Goal 13 (SDG 13) - Climate Action has the aim of taking urgent action to combat climate change and its effects. It aims at building resilience and adaptive capacity to climate-related hazards and extreme weather conditions and integrating climate change actions in national policy and strategy, and enhancing awareness and capacity-building</w:t>
      </w:r>
      <w:r w:rsidR="00CD0CD4">
        <w:t xml:space="preserve"> (Filho et al., 2023)</w:t>
      </w:r>
      <w:r>
        <w:t>. The objective acknowledges the reality that climate change is not merely an environmental concern but a particular risk to human health, livelihood, and sustainable development. Its targets are towards mitigating greenhouse gas emissions, supporting low-carbon economies, and urging worldwide cooperation towards resilient sustainability</w:t>
      </w:r>
      <w:r w:rsidR="002D6209">
        <w:t xml:space="preserve"> (Escap, 202</w:t>
      </w:r>
      <w:r w:rsidR="00740C59">
        <w:t>1</w:t>
      </w:r>
      <w:r w:rsidR="002D6209">
        <w:t>)</w:t>
      </w:r>
      <w:r>
        <w:t xml:space="preserve">. </w:t>
      </w:r>
      <w:r w:rsidR="00CD0CD4">
        <w:t>C</w:t>
      </w:r>
      <w:r>
        <w:t xml:space="preserve">limate change impacts on social and environmental wellbeing determinants of clean air, safe water, food security, and shelter are all essential dimensions of human well-being. </w:t>
      </w:r>
    </w:p>
    <w:p w14:paraId="7D58BB9A" w14:textId="45182F5E" w:rsidR="00AF31A8" w:rsidRDefault="00F4778D" w:rsidP="00F4778D">
      <w:r>
        <w:lastRenderedPageBreak/>
        <w:t>Intersectionality between SDG 13 and SDG 3 is seen through the impacts of health risk from environmental degradation, air pollution, and climatic extreme weather</w:t>
      </w:r>
      <w:r w:rsidR="00343DF8">
        <w:t xml:space="preserve"> (Menton et al., 2020)</w:t>
      </w:r>
      <w:r>
        <w:t>. WHO reports also show that almost 99% of the entire global population is inhaling polluted air with above-healthy thresholds of pollution, costing millions of premature deaths yearly from heart disease, stroke, and lung diseases</w:t>
      </w:r>
      <w:r w:rsidR="00343DF8">
        <w:t xml:space="preserve"> (</w:t>
      </w:r>
      <w:r w:rsidR="00343DF8" w:rsidRPr="00343DF8">
        <w:t>Rentschler</w:t>
      </w:r>
      <w:r w:rsidR="00343DF8">
        <w:t xml:space="preserve"> and Leonova, 2023)</w:t>
      </w:r>
      <w:r>
        <w:t>. Climate change also facilitates the transmission of infectious diseases, malnutrition, and heat illness, especially in developing nations with lower medical facilities</w:t>
      </w:r>
      <w:r w:rsidR="00343DF8">
        <w:t xml:space="preserve"> (</w:t>
      </w:r>
      <w:r w:rsidR="00343DF8" w:rsidRPr="00343DF8">
        <w:t>Semenza</w:t>
      </w:r>
      <w:r w:rsidR="00343DF8">
        <w:t xml:space="preserve"> et al., 2022)</w:t>
      </w:r>
      <w:r>
        <w:t xml:space="preserve">. </w:t>
      </w:r>
      <w:r w:rsidR="00343DF8">
        <w:t>B</w:t>
      </w:r>
      <w:r>
        <w:t>etween 2030 and 2050, climate change is likely to cause an estimated 250,000 extra deaths each year from malnutrition, malaria, diarrhoea, and heat stress</w:t>
      </w:r>
      <w:r w:rsidR="00343DF8">
        <w:t xml:space="preserve"> (</w:t>
      </w:r>
      <w:r w:rsidR="00343DF8" w:rsidRPr="00343DF8">
        <w:t>Amekpor</w:t>
      </w:r>
      <w:r w:rsidR="00343DF8">
        <w:t xml:space="preserve"> et al., 2025)</w:t>
      </w:r>
      <w:r>
        <w:t>. The facts mentioned above bring into perspective that environmental protection and health promotion need to progress in harmony to meet sustainable wellbeing.</w:t>
      </w:r>
    </w:p>
    <w:p w14:paraId="777B757A" w14:textId="3EE436DD" w:rsidR="00651BE5" w:rsidRDefault="00651BE5" w:rsidP="00651BE5">
      <w:r>
        <w:t xml:space="preserve">At the international level, organizations like WHO and United Nations have risen the frameworks that connect climate and health. WHO's Global Strategy on Health, Environment and Climate Change </w:t>
      </w:r>
      <w:r w:rsidR="001B08A7">
        <w:t>give</w:t>
      </w:r>
      <w:r>
        <w:t xml:space="preserve"> advice to incorporate climate resilience within health systems, while COP26 Health Programme united more than 50 nations under a single umbrella to pledge climate-resilient, low-carbon health care systems</w:t>
      </w:r>
      <w:r w:rsidR="00343DF8">
        <w:t xml:space="preserve"> (Blom et al., 2022)</w:t>
      </w:r>
      <w:r>
        <w:t xml:space="preserve">. </w:t>
      </w:r>
      <w:r w:rsidR="007F2483" w:rsidRPr="007F2483">
        <w:t>Climate-sensitive health programmes are also funded by the world bank and global fund which recognises environmentally friendly development as a key to sustainable growth in health</w:t>
      </w:r>
      <w:r w:rsidR="00331458">
        <w:t xml:space="preserve"> (</w:t>
      </w:r>
      <w:r w:rsidR="00331458" w:rsidRPr="00331458">
        <w:t>Schwerdtle</w:t>
      </w:r>
      <w:r w:rsidR="00331458">
        <w:t xml:space="preserve"> et al., 2024)</w:t>
      </w:r>
      <w:r w:rsidR="007F2483" w:rsidRPr="007F2483">
        <w:t>. Nevertheless, despite the policy emphasis, certain inequities are still present in terms of the implementation because of inadequate budgetary allocations, inconsistent national dedication, and ineffective incorporation of the health indicators into the environmental policy.</w:t>
      </w:r>
    </w:p>
    <w:p w14:paraId="1228D954" w14:textId="1D375821" w:rsidR="00331458" w:rsidRPr="00331458" w:rsidRDefault="003F3EF8" w:rsidP="00651BE5">
      <w:r w:rsidRPr="003F3EF8">
        <w:t xml:space="preserve">A national policy with SDG 13 and SDG 3 </w:t>
      </w:r>
      <w:r>
        <w:t>combined</w:t>
      </w:r>
      <w:r w:rsidRPr="003F3EF8">
        <w:t xml:space="preserve"> in the United Kingdom is the Clean Air Strategy (2019). The aim of this strategy is to minimise air pollution by minimising transportation, agricultural, and industrial emissions as well as preventing vulnerable groups to respiratory and cardiovascular diseases</w:t>
      </w:r>
      <w:r w:rsidR="00331458">
        <w:t xml:space="preserve"> (Stevenson et al., 2021)</w:t>
      </w:r>
      <w:r w:rsidRPr="003F3EF8">
        <w:t>. The gap between the safety of the population and the sustainability of the environment is also closed with the help of other measures such as the Net Zero Strategy (2021) and the Environment Act 2021. Locally, one will find climate-health action plans and air quality management areas at cities like Birmingham, Manchester and London</w:t>
      </w:r>
      <w:r w:rsidR="00331458">
        <w:t xml:space="preserve"> (</w:t>
      </w:r>
      <w:r w:rsidR="00331458" w:rsidRPr="00331458">
        <w:t>Whitmee</w:t>
      </w:r>
      <w:r w:rsidR="00331458">
        <w:t xml:space="preserve"> et al., 2024)</w:t>
      </w:r>
      <w:r w:rsidRPr="003F3EF8">
        <w:t>. They endorse energetic travelling, urban design that is eco-lively and information-based campaigns to the citizens that relate climate resilience with local prosperity.</w:t>
      </w:r>
    </w:p>
    <w:p w14:paraId="6B88501B" w14:textId="77777777" w:rsidR="00964327" w:rsidRDefault="00964327" w:rsidP="00651BE5"/>
    <w:p w14:paraId="67760D66" w14:textId="77777777" w:rsidR="00964327" w:rsidRDefault="00964327" w:rsidP="00651BE5"/>
    <w:p w14:paraId="590DB82B" w14:textId="394809AC" w:rsidR="00651BE5" w:rsidRDefault="00E30060" w:rsidP="00651BE5">
      <w:r w:rsidRPr="00E30060">
        <w:lastRenderedPageBreak/>
        <w:t>Interestingly, despite the good coherence on policy relevance in the UK, relating to the health and the environmental sustainability, there exists gaps in financing, monitoring, and also gaps in implementation. Environmental injustice includes poorer populations having a higher exposure and less adaptation to pollution, as well. According to the wider determinants of health model during the Tutorial Week 3, environmental determinants such as air quality, housing, and urban planning are some key determinants, which influence the course of health. There should therefore be action against this climate at any health policy level, which should be established on cross-sector collaboration and p</w:t>
      </w:r>
      <w:r>
        <w:t>ublic</w:t>
      </w:r>
      <w:r w:rsidRPr="00E30060">
        <w:t xml:space="preserve"> involvement.</w:t>
      </w:r>
    </w:p>
    <w:p w14:paraId="6EBF4113" w14:textId="7E5F23FB" w:rsidR="00B8282B" w:rsidRDefault="00651BE5" w:rsidP="00651BE5">
      <w:r>
        <w:t>In summary, SDG 13 upholds the global agreement that action on climate in a sustainable way is central to achieving good health and wellbeing. Effective progress requires bringing together environmental policy and health policy, prioritizing those in vulnerable groups, and anchoring the equity and sustainability principles at each level of governance.</w:t>
      </w:r>
    </w:p>
    <w:p w14:paraId="13A98980" w14:textId="142DABA4" w:rsidR="00993F8F" w:rsidRDefault="00993F8F" w:rsidP="00993F8F">
      <w:pPr>
        <w:pStyle w:val="Heading1"/>
      </w:pPr>
      <w:bookmarkStart w:id="3" w:name="_Toc211825575"/>
      <w:r w:rsidRPr="00993F8F">
        <w:t>4. National Wellbeing Initiatives</w:t>
      </w:r>
      <w:bookmarkEnd w:id="3"/>
    </w:p>
    <w:p w14:paraId="4C5D2C9A" w14:textId="2B6AD690" w:rsidR="00665BD0" w:rsidRPr="00665BD0" w:rsidRDefault="00DB1057" w:rsidP="00DB1057">
      <w:r>
        <w:t xml:space="preserve">United Kingdom national wellbeing programmes are a strategic action towards improved public health, inequalities reduction, and sustainable development for the populace. </w:t>
      </w:r>
      <w:r w:rsidR="001B5013" w:rsidRPr="001B5013">
        <w:t>The programmes resonate with Sustainable Development Goal 3 endeavours in comprehending how the foundation of national achievement and social wellbeing lies on wellbeing and health</w:t>
      </w:r>
      <w:r w:rsidR="00665BD0">
        <w:t xml:space="preserve"> (L</w:t>
      </w:r>
      <w:r w:rsidR="00665BD0" w:rsidRPr="00665BD0">
        <w:t>akioti</w:t>
      </w:r>
      <w:r w:rsidR="00665BD0">
        <w:t xml:space="preserve"> et al., 2025)</w:t>
      </w:r>
      <w:r w:rsidR="001B5013" w:rsidRPr="001B5013">
        <w:t>. The programmes aim to combine the delivery of the healthcare provision with the social and environmental policy in order to make people capable of living healthier and stronger lives. The new public health programme in the UK has prevention, equity and people empowerment as its core values.</w:t>
      </w:r>
    </w:p>
    <w:p w14:paraId="36ECE9FB" w14:textId="77777777" w:rsidR="00964327" w:rsidRDefault="00964327" w:rsidP="00DB1057"/>
    <w:p w14:paraId="39D9198D" w14:textId="77777777" w:rsidR="00964327" w:rsidRDefault="00964327" w:rsidP="00DB1057"/>
    <w:p w14:paraId="58B6081E" w14:textId="77777777" w:rsidR="00964327" w:rsidRDefault="00964327" w:rsidP="00DB1057"/>
    <w:p w14:paraId="5A625531" w14:textId="77777777" w:rsidR="00964327" w:rsidRDefault="00964327" w:rsidP="00DB1057"/>
    <w:p w14:paraId="096B2108" w14:textId="77777777" w:rsidR="00964327" w:rsidRDefault="00964327" w:rsidP="00DB1057"/>
    <w:p w14:paraId="6DDED66B" w14:textId="77777777" w:rsidR="00964327" w:rsidRDefault="00964327" w:rsidP="00DB1057"/>
    <w:p w14:paraId="18D4AEA6" w14:textId="77777777" w:rsidR="00964327" w:rsidRDefault="00964327" w:rsidP="00DB1057"/>
    <w:p w14:paraId="323CDFCF" w14:textId="77777777" w:rsidR="00964327" w:rsidRDefault="00964327" w:rsidP="00DB1057"/>
    <w:p w14:paraId="27414C28" w14:textId="6853B406" w:rsidR="00993F8F" w:rsidRDefault="00B84D16" w:rsidP="00DB1057">
      <w:r w:rsidRPr="00B84D16">
        <w:lastRenderedPageBreak/>
        <w:t>The NHS Five Year Forward View</w:t>
      </w:r>
      <w:r w:rsidR="00A75C42">
        <w:t xml:space="preserve"> </w:t>
      </w:r>
      <w:r w:rsidRPr="00B84D16">
        <w:t>was one of the most influential ones and presented a call towards radical change in the provided way of healthcare delivery (prevention and integration). The plan emphasised the shift in the reactive approach towards care and a proactive approach to improve the wellbeing and avoid sickness. It also demanded more cooperation among the NHS, local government, and the voluntary bod</w:t>
      </w:r>
      <w:r>
        <w:t>ies</w:t>
      </w:r>
      <w:r w:rsidRPr="00B84D16">
        <w:t xml:space="preserve"> to address the disparities in health care that were mainly those driven by social determinants, including housing, education, and income</w:t>
      </w:r>
      <w:r w:rsidR="00A75C42">
        <w:t xml:space="preserve"> (Ocloo et al., 2021)</w:t>
      </w:r>
      <w:r w:rsidRPr="00B84D16">
        <w:t>. This vision was accompanied with new models like the New Care Models Programme that advocated their application in collaboration of both hospitals, primary care trusts as well as community organisations in offering more coordinated services. Two-outcome improvements have been achieved in the programme of the long-term condition control and patient satisfaction, which is, however, worsened by the lack of personnel, financial resources, and regional disparities, particularly in the communities that are deprived</w:t>
      </w:r>
      <w:r w:rsidR="00665BD0">
        <w:t xml:space="preserve"> (</w:t>
      </w:r>
      <w:r w:rsidR="00665BD0" w:rsidRPr="00665BD0">
        <w:t>Williams,</w:t>
      </w:r>
      <w:r w:rsidR="00665BD0">
        <w:t xml:space="preserve"> 2025)</w:t>
      </w:r>
      <w:r w:rsidRPr="00B84D16">
        <w:t>.</w:t>
      </w:r>
    </w:p>
    <w:p w14:paraId="7F528BF2" w14:textId="77777777" w:rsidR="00964327" w:rsidRDefault="00964327" w:rsidP="007A6D27"/>
    <w:p w14:paraId="1CCFD0C1" w14:textId="77777777" w:rsidR="00964327" w:rsidRDefault="00964327" w:rsidP="007A6D27"/>
    <w:p w14:paraId="63093954" w14:textId="00BDF5DF" w:rsidR="007A6D27" w:rsidRDefault="004B6812" w:rsidP="007A6D27">
      <w:r w:rsidRPr="004B6812">
        <w:t>The other important policy was the policy of healthy lives healthy people (2010), which has aimed at reforming the public health by devolving the responsibility of improving the health to local governments. This devolution to improve health was to ensure that the public health would be more attentive to the local needs and further cultivate a culture of prevention rather than a culture of treatment</w:t>
      </w:r>
      <w:r w:rsidR="00665BD0">
        <w:t xml:space="preserve"> (Buck, 2020)</w:t>
      </w:r>
      <w:r w:rsidRPr="004B6812">
        <w:t>.</w:t>
      </w:r>
      <w:r w:rsidR="007A6D27">
        <w:t xml:space="preserve"> The strategy set out to tackle obesity, smoking, and mental illness while promoting physical activity, diet, and early intervention</w:t>
      </w:r>
      <w:r w:rsidR="00665BD0">
        <w:t xml:space="preserve"> (</w:t>
      </w:r>
      <w:r w:rsidR="00665BD0" w:rsidRPr="00665BD0">
        <w:t>Droogers</w:t>
      </w:r>
      <w:r w:rsidR="00665BD0">
        <w:t xml:space="preserve"> et al., 2020)</w:t>
      </w:r>
      <w:r w:rsidR="007A6D27">
        <w:t>.</w:t>
      </w:r>
      <w:r w:rsidR="00A34F7E">
        <w:t xml:space="preserve"> </w:t>
      </w:r>
      <w:r w:rsidR="007934ED" w:rsidRPr="007934ED">
        <w:t>It also established the stage where the establishment of the Public Health England (which is currently the UK Health Security Agency) was established which magnified the national capacity in reacting to health disparity and environmental risks. Although the initiative itself has had the best use of public and community involvement, its performance has been hampered with by austerity</w:t>
      </w:r>
      <w:r w:rsidR="00DD15DA">
        <w:t>-</w:t>
      </w:r>
      <w:r w:rsidR="007934ED" w:rsidRPr="007934ED">
        <w:t>based budgeting limitations and inconsistency of resources delivery to the regions.</w:t>
      </w:r>
    </w:p>
    <w:p w14:paraId="6AABF798" w14:textId="10B07157" w:rsidR="004B6DC5" w:rsidRDefault="007A6D27" w:rsidP="007A6D27">
      <w:r>
        <w:t xml:space="preserve">To finance national wellbeing policy, investment in preventive care and mental health should be boosted. Evidence-based choice can enhance surveillance and responsibility, while more intersectoral coordination among the health sector, education, housing, and the environment will </w:t>
      </w:r>
      <w:r w:rsidR="00323524">
        <w:t>promote</w:t>
      </w:r>
      <w:r>
        <w:t xml:space="preserve"> integrated outcomes. Maintaining such gains depends on continued policy innovation fuelled by equity, empowerment of people, and sustainable resource planning, the pillars of national wellbeing and development.</w:t>
      </w:r>
    </w:p>
    <w:p w14:paraId="746199CC" w14:textId="7804635D" w:rsidR="00323524" w:rsidRDefault="007E29DC" w:rsidP="007E29DC">
      <w:pPr>
        <w:pStyle w:val="Heading1"/>
      </w:pPr>
      <w:bookmarkStart w:id="4" w:name="_Toc211825576"/>
      <w:r w:rsidRPr="007E29DC">
        <w:lastRenderedPageBreak/>
        <w:t>5. Local Wellbeing Initiatives</w:t>
      </w:r>
      <w:bookmarkEnd w:id="4"/>
    </w:p>
    <w:p w14:paraId="7A52D296" w14:textId="5D47E4AF" w:rsidR="00A635DE" w:rsidRDefault="00A635DE" w:rsidP="00A635DE">
      <w:r>
        <w:t>Local health actions in the United Kingdom are of paramount sig</w:t>
      </w:r>
      <w:r w:rsidR="00AF2850">
        <w:t>n</w:t>
      </w:r>
      <w:r>
        <w:t>ificance to propel national health and sustainability agendas to the level of a concrete, community-based action. Local government possesses a unique ability to determine the particular needs of the community and enact evidence-based, goal-specific interventions locally that encourage healthier lifestyles, reduce health inequities, and confront broader determinants of health</w:t>
      </w:r>
      <w:r w:rsidR="00665BD0">
        <w:t xml:space="preserve"> (</w:t>
      </w:r>
      <w:r w:rsidR="00665BD0" w:rsidRPr="00665BD0">
        <w:t>Leonardi</w:t>
      </w:r>
      <w:r w:rsidR="00665BD0">
        <w:t xml:space="preserve"> et al., 2024)</w:t>
      </w:r>
      <w:r>
        <w:t>. Inter-working between voluntary organisations, local authorities, health professionals and community groups locali</w:t>
      </w:r>
      <w:r w:rsidR="00F518CB">
        <w:t>s</w:t>
      </w:r>
      <w:r>
        <w:t>es public health interventions and makes them participatory. These are supporte</w:t>
      </w:r>
      <w:r w:rsidR="00A70935">
        <w:t>d</w:t>
      </w:r>
      <w:r>
        <w:t xml:space="preserve"> by Sustainable Development Goal 3 principles of mainstreaming social, environmental, and economic wellbeing dimensions.</w:t>
      </w:r>
    </w:p>
    <w:p w14:paraId="248E4502" w14:textId="5C0B296D" w:rsidR="007E29DC" w:rsidRDefault="00A635DE" w:rsidP="00A635DE">
      <w:r>
        <w:t>"Making Every Contact Count (MECC)" is the most widely delivered, a nationally promoted system of locally delivered delivery to facilitate health-promoting behaviour through normal contact. MECC trains health workers, council workers, and voluntary community volunteers to provide short advice on quitting smoking, exercise, diet, and mental health. It is based on the belief that small, routine conversations can cause large behaviour changes in the population. Local authority evidence supports that MECC has been effective in raising public awareness of healthy living and optimi</w:t>
      </w:r>
      <w:r w:rsidR="00F518CB">
        <w:t>s</w:t>
      </w:r>
      <w:r>
        <w:t>ing uptake of preventive services</w:t>
      </w:r>
      <w:r w:rsidR="00665BD0">
        <w:t xml:space="preserve"> (Parchment, 2022)</w:t>
      </w:r>
      <w:r>
        <w:t>. Its advantages are its adaptability, it can be applied across all sectors including education, social care, and housing. Its problems are irregular application, poor staff training, and continuous evaluation to make health messages up-to-date and fair across various populations</w:t>
      </w:r>
      <w:r w:rsidR="00665BD0">
        <w:t xml:space="preserve"> (</w:t>
      </w:r>
      <w:r w:rsidR="00665BD0" w:rsidRPr="00665BD0">
        <w:t>Rodrigues</w:t>
      </w:r>
      <w:r w:rsidR="00665BD0">
        <w:t xml:space="preserve"> et al., 2024)</w:t>
      </w:r>
      <w:r>
        <w:t>.</w:t>
      </w:r>
    </w:p>
    <w:p w14:paraId="682F7F0C" w14:textId="6E0A827C" w:rsidR="0044466C" w:rsidRDefault="0044466C" w:rsidP="0044466C">
      <w:r>
        <w:t>Another is Local Authority Wellbeing Frameworks, for example, the Birmingham City Council Wellbeing Strategy and Healthy City Initiative in London. They seek to provide settings that promote health through good air quality, green spaces, active transport, and accessible housing</w:t>
      </w:r>
      <w:r w:rsidR="00004689">
        <w:t xml:space="preserve"> (</w:t>
      </w:r>
      <w:r w:rsidR="00004689" w:rsidRPr="00004689">
        <w:t>Rajendra</w:t>
      </w:r>
      <w:r w:rsidR="00004689">
        <w:t xml:space="preserve"> et al., 2020)</w:t>
      </w:r>
      <w:r>
        <w:t xml:space="preserve">. </w:t>
      </w:r>
      <w:r w:rsidR="00CB542C" w:rsidRPr="00CB542C">
        <w:t>They also address social determinants of health just as the Dahlgren and Whitehead model but in the case of structurally poverty, education, and employment whose effects on wellbeing are strong</w:t>
      </w:r>
      <w:r w:rsidR="00004689">
        <w:t xml:space="preserve"> (</w:t>
      </w:r>
      <w:r w:rsidR="00004689" w:rsidRPr="00004689">
        <w:t>Dahlgren</w:t>
      </w:r>
      <w:r w:rsidR="00004689">
        <w:t xml:space="preserve"> and Whitehead, 2021)</w:t>
      </w:r>
      <w:r w:rsidR="00CB542C" w:rsidRPr="00CB542C">
        <w:t>. Public Health England has added to these frameworks funds directives, data examination, and evidence-based interventions to yield quantifiable health benefits.</w:t>
      </w:r>
    </w:p>
    <w:p w14:paraId="6462E94E" w14:textId="77777777" w:rsidR="00964327" w:rsidRDefault="00964327" w:rsidP="0044466C"/>
    <w:p w14:paraId="419D3EC3" w14:textId="77777777" w:rsidR="00964327" w:rsidRDefault="00964327" w:rsidP="0044466C"/>
    <w:p w14:paraId="487D881F" w14:textId="77777777" w:rsidR="00964327" w:rsidRDefault="00964327" w:rsidP="0044466C"/>
    <w:p w14:paraId="12DBD978" w14:textId="77777777" w:rsidR="00964327" w:rsidRDefault="00964327" w:rsidP="0044466C"/>
    <w:p w14:paraId="0C705F5E" w14:textId="48BDCB52" w:rsidR="00004689" w:rsidRDefault="004F7AD3" w:rsidP="0044466C">
      <w:r w:rsidRPr="004F7AD3">
        <w:t>It is effective but local schemes are normally limited due to factors like an unstable funding, scattered information and unequal distribution of the resources among the councils. Other regional data tracking systems, and mechanisms of participation can also be utilised to enhance accountability and responsiveness</w:t>
      </w:r>
      <w:r w:rsidR="00004689">
        <w:t xml:space="preserve"> (Hick, 2022)</w:t>
      </w:r>
      <w:r w:rsidRPr="004F7AD3">
        <w:t>. In addition, developing sustainability investments and intersectoral cooperation between local governments, NGOs, and companies of the private sector will yield long-run outcomes</w:t>
      </w:r>
      <w:r w:rsidR="00004689">
        <w:t xml:space="preserve"> (Bai et al., 2024)</w:t>
      </w:r>
      <w:r w:rsidRPr="004F7AD3">
        <w:t>. By planting these as part of the local governance structures in place, there is increased conne</w:t>
      </w:r>
      <w:r w:rsidR="00CF6656">
        <w:t>ct</w:t>
      </w:r>
      <w:r w:rsidRPr="004F7AD3">
        <w:t>ion between wellbeing sustainably and localised empowerment, whereby, in sound populations, they are able to achieve both in terms of health and environmental performances.</w:t>
      </w:r>
    </w:p>
    <w:p w14:paraId="003F1E6C" w14:textId="29420DC8" w:rsidR="00A635DE" w:rsidRDefault="0093751D" w:rsidP="0093751D">
      <w:pPr>
        <w:pStyle w:val="Heading1"/>
      </w:pPr>
      <w:bookmarkStart w:id="5" w:name="_Toc211825577"/>
      <w:r w:rsidRPr="0093751D">
        <w:t>6. Conclusion</w:t>
      </w:r>
      <w:bookmarkEnd w:id="5"/>
    </w:p>
    <w:p w14:paraId="182D092A" w14:textId="1EDD7ADC" w:rsidR="009850F6" w:rsidRDefault="00F33392" w:rsidP="00DE425D">
      <w:r w:rsidRPr="00F33392">
        <w:t xml:space="preserve">Sustainable Development Goal 3 and 13 are inextricably connected, and it can be concluded that the sustainability of the global health and environmental system must </w:t>
      </w:r>
      <w:r w:rsidR="00EA185B">
        <w:t>move together</w:t>
      </w:r>
      <w:r w:rsidRPr="00F33392">
        <w:t xml:space="preserve"> in an attempt to enhance the wellbeing of the population in the long-term perspective. SDG 3 promotes the same access to medical care and disease prevention, and SDG 13 looks at the environmental determinants around which these impacts are dependent. On an individual level, they influence wellbeing at global level, national level and community level due to collective and community-based interventions. These visions can be actuali</w:t>
      </w:r>
      <w:r w:rsidR="00EA185B">
        <w:t>s</w:t>
      </w:r>
      <w:r w:rsidRPr="00F33392">
        <w:t>ed by supporting evidence-based, equity-driven and cross-government health policies that focus on prevention and resilience as well as sustainability that result to healthier people and a sustainable future of ev</w:t>
      </w:r>
      <w:r w:rsidR="00F55443">
        <w:t>e</w:t>
      </w:r>
      <w:r w:rsidRPr="00F33392">
        <w:t>ryone.</w:t>
      </w:r>
    </w:p>
    <w:p w14:paraId="173279A8" w14:textId="77777777" w:rsidR="00964327" w:rsidRDefault="00964327" w:rsidP="009850F6">
      <w:pPr>
        <w:pStyle w:val="Heading1"/>
      </w:pPr>
      <w:bookmarkStart w:id="6" w:name="_Toc211825578"/>
    </w:p>
    <w:p w14:paraId="0671EA31" w14:textId="77777777" w:rsidR="00964327" w:rsidRDefault="00964327" w:rsidP="009850F6">
      <w:pPr>
        <w:pStyle w:val="Heading1"/>
      </w:pPr>
    </w:p>
    <w:p w14:paraId="5B320A34" w14:textId="77777777" w:rsidR="00964327" w:rsidRDefault="00964327" w:rsidP="009850F6">
      <w:pPr>
        <w:pStyle w:val="Heading1"/>
      </w:pPr>
    </w:p>
    <w:p w14:paraId="29BE53C5" w14:textId="77777777" w:rsidR="00964327" w:rsidRDefault="00964327" w:rsidP="009850F6">
      <w:pPr>
        <w:pStyle w:val="Heading1"/>
      </w:pPr>
    </w:p>
    <w:p w14:paraId="0153ACBA" w14:textId="77777777" w:rsidR="00964327" w:rsidRDefault="00964327" w:rsidP="009850F6">
      <w:pPr>
        <w:pStyle w:val="Heading1"/>
      </w:pPr>
    </w:p>
    <w:p w14:paraId="0215FD98" w14:textId="77777777" w:rsidR="00964327" w:rsidRDefault="00964327" w:rsidP="009850F6">
      <w:pPr>
        <w:pStyle w:val="Heading1"/>
      </w:pPr>
    </w:p>
    <w:p w14:paraId="19DFCEF9" w14:textId="0019C5A5" w:rsidR="00DE425D" w:rsidRDefault="009850F6" w:rsidP="009850F6">
      <w:pPr>
        <w:pStyle w:val="Heading1"/>
      </w:pPr>
      <w:r>
        <w:t>Reference</w:t>
      </w:r>
      <w:r w:rsidR="00321FFE">
        <w:t>s</w:t>
      </w:r>
      <w:bookmarkStart w:id="7" w:name="_GoBack"/>
      <w:bookmarkEnd w:id="6"/>
      <w:bookmarkEnd w:id="7"/>
    </w:p>
    <w:p w14:paraId="5B9DF438" w14:textId="77777777" w:rsidR="00004689" w:rsidRDefault="00004689" w:rsidP="00004689">
      <w:pPr>
        <w:ind w:left="720" w:hanging="720"/>
      </w:pPr>
    </w:p>
    <w:p w14:paraId="5439C3E6" w14:textId="7C2F97D5" w:rsidR="00964327" w:rsidRPr="005854E5" w:rsidRDefault="00004689" w:rsidP="00964327">
      <w:pPr>
        <w:pStyle w:val="NormalWeb"/>
        <w:spacing w:before="0" w:beforeAutospacing="0" w:after="240" w:afterAutospacing="0" w:line="360" w:lineRule="auto"/>
      </w:pPr>
      <w:r w:rsidRPr="00343DF8">
        <w:t>Amekpor, F., Sakariyau, W., Kengo, N.E., Sandra, N.A., Agyapong, J., Dauda, Z.U., Kwarteng, S., Adedokun, D.A. and Darko, G., 2025. Integrating Maternal and Child Health Into Climate Change: A Holistic Approach. </w:t>
      </w:r>
      <w:r w:rsidRPr="00004689">
        <w:rPr>
          <w:i/>
          <w:iCs/>
        </w:rPr>
        <w:t>Public Health Reviews</w:t>
      </w:r>
      <w:r w:rsidRPr="00343DF8">
        <w:t>, </w:t>
      </w:r>
      <w:r w:rsidRPr="00004689">
        <w:rPr>
          <w:i/>
          <w:iCs/>
        </w:rPr>
        <w:t>45</w:t>
      </w:r>
      <w:r w:rsidRPr="00343DF8">
        <w:t>, p.1607553.</w:t>
      </w:r>
      <w:r w:rsidR="00964327" w:rsidRPr="00964327">
        <w:t xml:space="preserve"> </w:t>
      </w:r>
      <w:r w:rsidR="00964327">
        <w:t>Available at:</w:t>
      </w:r>
      <w:r>
        <w:t xml:space="preserve"> </w:t>
      </w:r>
      <w:hyperlink r:id="rId10" w:history="1">
        <w:r w:rsidRPr="00964327">
          <w:rPr>
            <w:rStyle w:val="Hyperlink"/>
            <w:i/>
          </w:rPr>
          <w:t>https://pmc.ncbi.nlm.nih.gov/articles/PMC11738619/</w:t>
        </w:r>
      </w:hyperlink>
      <w:r w:rsidRPr="00964327">
        <w:rPr>
          <w:i/>
        </w:rPr>
        <w:t xml:space="preserve"> </w:t>
      </w:r>
      <w:r w:rsidR="00964327">
        <w:t xml:space="preserve"> (Accessed 2</w:t>
      </w:r>
      <w:r w:rsidR="00E10C5A">
        <w:t xml:space="preserve">4 November </w:t>
      </w:r>
      <w:r w:rsidR="00964327">
        <w:t>2025)</w:t>
      </w:r>
    </w:p>
    <w:p w14:paraId="55AEDFC9" w14:textId="29E86A10" w:rsidR="00004689" w:rsidRPr="00964327" w:rsidRDefault="00004689" w:rsidP="00004689">
      <w:pPr>
        <w:ind w:left="720" w:hanging="720"/>
      </w:pPr>
    </w:p>
    <w:p w14:paraId="30CBFAE3" w14:textId="73A7A302" w:rsidR="00004689" w:rsidRPr="00E10C5A" w:rsidRDefault="00004689" w:rsidP="00004689">
      <w:pPr>
        <w:ind w:left="720" w:hanging="720"/>
      </w:pPr>
      <w:r w:rsidRPr="00BE30CE">
        <w:t>Arora, N.K. and Mishra, I., 2019. United Nations Sustainable Development Goals 2030 and environmental sustainability: race against time. </w:t>
      </w:r>
      <w:r w:rsidRPr="00004689">
        <w:rPr>
          <w:i/>
          <w:iCs/>
        </w:rPr>
        <w:t>Environmental Sustainability</w:t>
      </w:r>
      <w:r w:rsidRPr="00BE30CE">
        <w:t>, </w:t>
      </w:r>
      <w:r w:rsidRPr="00004689">
        <w:rPr>
          <w:i/>
          <w:iCs/>
        </w:rPr>
        <w:t>2</w:t>
      </w:r>
      <w:r w:rsidRPr="00BE30CE">
        <w:t>(4), pp.339-342.</w:t>
      </w:r>
      <w:r w:rsidR="00E10C5A">
        <w:t>Available at:</w:t>
      </w:r>
      <w:r w:rsidRPr="00BE30CE">
        <w:t xml:space="preserve"> </w:t>
      </w:r>
      <w:hyperlink r:id="rId11" w:history="1">
        <w:r w:rsidRPr="00E10C5A">
          <w:rPr>
            <w:rStyle w:val="Hyperlink"/>
            <w:i/>
          </w:rPr>
          <w:t>https://link.springer.com/content/pdf/10.1007/s42398-019-00092-y.pdf</w:t>
        </w:r>
      </w:hyperlink>
      <w:r w:rsidRPr="00E10C5A">
        <w:rPr>
          <w:i/>
        </w:rPr>
        <w:t xml:space="preserve"> </w:t>
      </w:r>
      <w:r w:rsidR="00E10C5A">
        <w:rPr>
          <w:i/>
        </w:rPr>
        <w:t xml:space="preserve"> </w:t>
      </w:r>
      <w:r w:rsidR="00E10C5A">
        <w:t>(Accessed 20 November 2025)</w:t>
      </w:r>
    </w:p>
    <w:p w14:paraId="1C649A47" w14:textId="131E6302" w:rsidR="00004689" w:rsidRPr="00BE30CE" w:rsidRDefault="00004689" w:rsidP="00004689">
      <w:pPr>
        <w:ind w:left="720" w:hanging="720"/>
      </w:pPr>
      <w:r w:rsidRPr="00004689">
        <w:t>Bai, Y., Lu, C., Dong, X. and Li, Y., 2024. Role of collaborative governance in unlocking private investment in sustainable projects. </w:t>
      </w:r>
      <w:r w:rsidRPr="00004689">
        <w:rPr>
          <w:i/>
          <w:iCs/>
        </w:rPr>
        <w:t>Humanities and Social Sciences Communications</w:t>
      </w:r>
      <w:r w:rsidRPr="00004689">
        <w:t>, </w:t>
      </w:r>
      <w:r w:rsidRPr="00004689">
        <w:rPr>
          <w:i/>
          <w:iCs/>
        </w:rPr>
        <w:t>11</w:t>
      </w:r>
      <w:r w:rsidRPr="00004689">
        <w:t>(1), pp.1-9.</w:t>
      </w:r>
      <w:r w:rsidR="00E10C5A">
        <w:t>Available at:</w:t>
      </w:r>
      <w:r>
        <w:t xml:space="preserve"> </w:t>
      </w:r>
      <w:hyperlink r:id="rId12" w:history="1">
        <w:r w:rsidRPr="002C671C">
          <w:rPr>
            <w:rStyle w:val="Hyperlink"/>
          </w:rPr>
          <w:t>https://www.nature.com/articles/s41599-024-03175-2.pdf</w:t>
        </w:r>
      </w:hyperlink>
      <w:r>
        <w:t xml:space="preserve"> </w:t>
      </w:r>
      <w:r w:rsidR="00E10C5A">
        <w:t>(Accessed 20 November 2025)</w:t>
      </w:r>
    </w:p>
    <w:p w14:paraId="7188E943" w14:textId="77777777" w:rsidR="00E10C5A" w:rsidRDefault="00E10C5A" w:rsidP="00004689">
      <w:pPr>
        <w:ind w:left="720" w:hanging="720"/>
      </w:pPr>
    </w:p>
    <w:p w14:paraId="2C69A162" w14:textId="77777777" w:rsidR="00E10C5A" w:rsidRDefault="00E10C5A" w:rsidP="00004689">
      <w:pPr>
        <w:ind w:left="720" w:hanging="720"/>
      </w:pPr>
    </w:p>
    <w:p w14:paraId="6B60F1C2" w14:textId="77777777" w:rsidR="00E10C5A" w:rsidRDefault="00E10C5A" w:rsidP="00004689">
      <w:pPr>
        <w:ind w:left="720" w:hanging="720"/>
      </w:pPr>
    </w:p>
    <w:p w14:paraId="5A7F5807" w14:textId="60265403" w:rsidR="00004689" w:rsidRPr="00343DF8" w:rsidRDefault="00004689" w:rsidP="00004689">
      <w:pPr>
        <w:ind w:left="720" w:hanging="720"/>
      </w:pPr>
      <w:r w:rsidRPr="00343DF8">
        <w:lastRenderedPageBreak/>
        <w:t>Blom, I.M., Beagley, J. and Quintana, A.V., 2022. The COP26 health commitments: A springboard towards environmentally sustainable and climate-resilient health care systems?. </w:t>
      </w:r>
      <w:r w:rsidRPr="00004689">
        <w:rPr>
          <w:i/>
          <w:iCs/>
        </w:rPr>
        <w:t>The Journal of Climate Change and Health</w:t>
      </w:r>
      <w:r w:rsidRPr="00343DF8">
        <w:t>, </w:t>
      </w:r>
      <w:r w:rsidRPr="00004689">
        <w:rPr>
          <w:i/>
          <w:iCs/>
        </w:rPr>
        <w:t>6</w:t>
      </w:r>
      <w:r w:rsidRPr="00343DF8">
        <w:t>, p.100136.</w:t>
      </w:r>
      <w:r w:rsidR="00E10C5A">
        <w:t>Available at:</w:t>
      </w:r>
      <w:r w:rsidRPr="00343DF8">
        <w:t xml:space="preserve"> </w:t>
      </w:r>
      <w:hyperlink r:id="rId13" w:history="1">
        <w:r w:rsidRPr="00742BEC">
          <w:rPr>
            <w:rStyle w:val="Hyperlink"/>
            <w:i/>
          </w:rPr>
          <w:t>https://www.sciencedirect.com/science/article/pii/S2667278222000256</w:t>
        </w:r>
      </w:hyperlink>
      <w:r w:rsidRPr="00742BEC">
        <w:rPr>
          <w:i/>
        </w:rPr>
        <w:t xml:space="preserve"> </w:t>
      </w:r>
      <w:r w:rsidR="00E10C5A">
        <w:t>(Accessed 22 November 2025)</w:t>
      </w:r>
    </w:p>
    <w:p w14:paraId="6260F442" w14:textId="2557005E" w:rsidR="00004689" w:rsidRDefault="00004689" w:rsidP="00004689">
      <w:pPr>
        <w:ind w:left="720" w:hanging="720"/>
      </w:pPr>
      <w:r w:rsidRPr="00665BD0">
        <w:t>Buck, D., 2020. The English local government public health reforms. </w:t>
      </w:r>
      <w:r w:rsidRPr="00004689">
        <w:rPr>
          <w:i/>
          <w:iCs/>
        </w:rPr>
        <w:t>An independent assessment. London: The King’s Fund</w:t>
      </w:r>
      <w:r w:rsidRPr="00665BD0">
        <w:t>.</w:t>
      </w:r>
      <w:r w:rsidR="00E10C5A">
        <w:t>Available at:</w:t>
      </w:r>
      <w:r>
        <w:t xml:space="preserve"> </w:t>
      </w:r>
      <w:hyperlink r:id="rId14" w:history="1">
        <w:r w:rsidRPr="00742BEC">
          <w:rPr>
            <w:rStyle w:val="Hyperlink"/>
            <w:i/>
          </w:rPr>
          <w:t>https://www.researchgate.net/profile/David-Buck-8/publication/352120549_The_English_local_government_public_health_reforms_An_independent_assessment/links/60b9eab2a6fdcc22ead4786d/The-English-local-government-public-health-reforms-An-independent-assessment.pdf</w:t>
        </w:r>
      </w:hyperlink>
      <w:r w:rsidRPr="00742BEC">
        <w:rPr>
          <w:i/>
        </w:rPr>
        <w:t xml:space="preserve"> </w:t>
      </w:r>
      <w:r w:rsidR="00E10C5A">
        <w:t>(Accessed 22 November</w:t>
      </w:r>
      <w:r w:rsidR="00817853">
        <w:t xml:space="preserve"> 2025</w:t>
      </w:r>
      <w:r w:rsidR="00E10C5A">
        <w:t>)</w:t>
      </w:r>
    </w:p>
    <w:p w14:paraId="3C878183" w14:textId="5E501304" w:rsidR="00004689" w:rsidRDefault="00004689" w:rsidP="00004689">
      <w:pPr>
        <w:ind w:left="720" w:hanging="720"/>
      </w:pPr>
      <w:r w:rsidRPr="00004689">
        <w:t>Dahlgren, G. and Whitehead, M., 2021. The Dahlgren-Whitehead model of health determinants: 30 years on and still chasing rainbows. </w:t>
      </w:r>
      <w:r w:rsidRPr="00004689">
        <w:rPr>
          <w:i/>
          <w:iCs/>
        </w:rPr>
        <w:t>Public health</w:t>
      </w:r>
      <w:r w:rsidRPr="00004689">
        <w:t>, </w:t>
      </w:r>
      <w:r w:rsidRPr="00004689">
        <w:rPr>
          <w:i/>
          <w:iCs/>
        </w:rPr>
        <w:t>199</w:t>
      </w:r>
      <w:r w:rsidRPr="00004689">
        <w:t>, pp.20-24.</w:t>
      </w:r>
      <w:r>
        <w:t xml:space="preserve"> </w:t>
      </w:r>
      <w:r w:rsidR="00E10C5A">
        <w:t>Available at:</w:t>
      </w:r>
      <w:hyperlink r:id="rId15" w:history="1">
        <w:r w:rsidRPr="00742BEC">
          <w:rPr>
            <w:rStyle w:val="Hyperlink"/>
            <w:i/>
          </w:rPr>
          <w:t>https://elevateni.org/app/uploads/2022/03/Dalgren-Whitehead-model-of-health-determinants-30-years-on-and-still-chasing-rainbows.pdf</w:t>
        </w:r>
      </w:hyperlink>
      <w:r>
        <w:t xml:space="preserve"> </w:t>
      </w:r>
      <w:r w:rsidR="00E10C5A">
        <w:t>(Accessed 22 November 2025)</w:t>
      </w:r>
    </w:p>
    <w:p w14:paraId="358049E5" w14:textId="25C47E0C" w:rsidR="00004689" w:rsidRDefault="00004689" w:rsidP="00004689">
      <w:pPr>
        <w:ind w:left="720" w:hanging="720"/>
      </w:pPr>
      <w:r w:rsidRPr="00665BD0">
        <w:t>Droogers, M., Jansen, D., Lindert, J., Saboga-Nunes, L., Rudén, M., Guichardon, M. and Zeegers Paget, D., 2020. Health-related Sustainable Development Goals: countdown on alcohol use, smoking prevalence, child overweight and suicide mortality. </w:t>
      </w:r>
      <w:r w:rsidRPr="00004689">
        <w:rPr>
          <w:i/>
          <w:iCs/>
        </w:rPr>
        <w:t>European journal of public health</w:t>
      </w:r>
      <w:r w:rsidRPr="00665BD0">
        <w:t>, </w:t>
      </w:r>
      <w:r w:rsidRPr="00004689">
        <w:rPr>
          <w:i/>
          <w:iCs/>
        </w:rPr>
        <w:t>30</w:t>
      </w:r>
      <w:r w:rsidRPr="00665BD0">
        <w:t>(Supplement_1), pp.i10-i13.</w:t>
      </w:r>
      <w:r w:rsidR="00E10C5A">
        <w:t>Available at:</w:t>
      </w:r>
      <w:r>
        <w:t xml:space="preserve"> </w:t>
      </w:r>
      <w:hyperlink r:id="rId16" w:history="1">
        <w:r w:rsidRPr="00742BEC">
          <w:rPr>
            <w:rStyle w:val="Hyperlink"/>
            <w:i/>
          </w:rPr>
          <w:t>https://academic.oup.com/eurpub/article-pdf/30/Supplement_1/i10/33202739/ckaa027.pdf</w:t>
        </w:r>
      </w:hyperlink>
      <w:r>
        <w:t xml:space="preserve"> </w:t>
      </w:r>
      <w:r w:rsidR="00E10C5A">
        <w:t>(Accessed 22 November</w:t>
      </w:r>
      <w:r w:rsidR="00817853">
        <w:t xml:space="preserve"> 2025</w:t>
      </w:r>
      <w:r w:rsidR="00E10C5A">
        <w:t>)</w:t>
      </w:r>
    </w:p>
    <w:p w14:paraId="159F9EBA" w14:textId="2F2B7350" w:rsidR="00004689" w:rsidRPr="00BE30CE" w:rsidRDefault="00004689" w:rsidP="00004689">
      <w:pPr>
        <w:ind w:left="720" w:hanging="720"/>
      </w:pPr>
      <w:r w:rsidRPr="00740C59">
        <w:t>ESCAP, U., 2021. SDG 13: Climate action: take urgent action to combat climate change and its impacts.</w:t>
      </w:r>
      <w:r w:rsidR="00E10C5A">
        <w:t>Available at:</w:t>
      </w:r>
      <w:r>
        <w:t xml:space="preserve"> </w:t>
      </w:r>
      <w:hyperlink r:id="rId17" w:history="1">
        <w:r w:rsidRPr="00742BEC">
          <w:rPr>
            <w:rStyle w:val="Hyperlink"/>
            <w:i/>
          </w:rPr>
          <w:t>https://repository.unescap.org/bitstream/handle/20.500.12870/4621/ESCAP-2019-PB-SDG13-goal-profile.pdf?sequence=1&amp;isAllowed=y</w:t>
        </w:r>
      </w:hyperlink>
      <w:r w:rsidRPr="00742BEC">
        <w:rPr>
          <w:i/>
        </w:rPr>
        <w:t xml:space="preserve"> </w:t>
      </w:r>
      <w:r w:rsidR="00E10C5A">
        <w:t xml:space="preserve">(Accessed </w:t>
      </w:r>
      <w:r w:rsidR="00817853">
        <w:t>22 November 2025)</w:t>
      </w:r>
    </w:p>
    <w:p w14:paraId="2798F274" w14:textId="75377B59" w:rsidR="00004689" w:rsidRDefault="00004689" w:rsidP="00004689">
      <w:pPr>
        <w:ind w:left="720" w:hanging="720"/>
      </w:pPr>
      <w:r w:rsidRPr="00CD0CD4">
        <w:t>Filho, W.L., Wall, T., Salvia, A.L., Dinis, M.A.P. and Mifsud, M., 2023. The central role of climate action in achieving the United Nations' Sustainable Development Goals. </w:t>
      </w:r>
      <w:r w:rsidRPr="00004689">
        <w:rPr>
          <w:i/>
          <w:iCs/>
        </w:rPr>
        <w:t>Scientific Reports</w:t>
      </w:r>
      <w:r w:rsidRPr="00CD0CD4">
        <w:t>, </w:t>
      </w:r>
      <w:r w:rsidRPr="00004689">
        <w:rPr>
          <w:i/>
          <w:iCs/>
        </w:rPr>
        <w:t>13</w:t>
      </w:r>
      <w:r w:rsidRPr="00CD0CD4">
        <w:t>(1), p.20582.</w:t>
      </w:r>
      <w:r w:rsidR="00817853">
        <w:t>Available at:</w:t>
      </w:r>
      <w:r>
        <w:t xml:space="preserve"> </w:t>
      </w:r>
      <w:hyperlink r:id="rId18" w:history="1">
        <w:r w:rsidRPr="00742BEC">
          <w:rPr>
            <w:rStyle w:val="Hyperlink"/>
            <w:i/>
          </w:rPr>
          <w:t>https://www.nature.com/articles/s41598-023-47746-w.pdf</w:t>
        </w:r>
      </w:hyperlink>
      <w:r w:rsidRPr="00742BEC">
        <w:rPr>
          <w:i/>
        </w:rPr>
        <w:t xml:space="preserve"> </w:t>
      </w:r>
      <w:r w:rsidR="00817853">
        <w:t>(Accessed 22 November 2025)</w:t>
      </w:r>
    </w:p>
    <w:p w14:paraId="7EA84B65" w14:textId="77777777" w:rsidR="00817853" w:rsidRDefault="00817853" w:rsidP="00004689">
      <w:pPr>
        <w:ind w:left="720" w:hanging="720"/>
      </w:pPr>
    </w:p>
    <w:p w14:paraId="196154EF" w14:textId="77777777" w:rsidR="00817853" w:rsidRDefault="00817853" w:rsidP="00004689">
      <w:pPr>
        <w:ind w:left="720" w:hanging="720"/>
      </w:pPr>
    </w:p>
    <w:p w14:paraId="319A1E6A" w14:textId="0F33CFC1" w:rsidR="00004689" w:rsidRDefault="00004689" w:rsidP="00004689">
      <w:pPr>
        <w:ind w:left="720" w:hanging="720"/>
      </w:pPr>
      <w:r w:rsidRPr="00004689">
        <w:lastRenderedPageBreak/>
        <w:t>Hick, R., 2022. Austerity, localism, and the possibility of politics: Explaining variation in three local social security schemes between elected councils in England. </w:t>
      </w:r>
      <w:r w:rsidRPr="00004689">
        <w:rPr>
          <w:i/>
          <w:iCs/>
        </w:rPr>
        <w:t>Sociological Research Online</w:t>
      </w:r>
      <w:r w:rsidRPr="00004689">
        <w:t>, </w:t>
      </w:r>
      <w:r w:rsidRPr="00004689">
        <w:rPr>
          <w:i/>
          <w:iCs/>
        </w:rPr>
        <w:t>27</w:t>
      </w:r>
      <w:r w:rsidRPr="00004689">
        <w:t>(2), pp.251-272.</w:t>
      </w:r>
      <w:r w:rsidR="00817853">
        <w:t>Available at:</w:t>
      </w:r>
      <w:r>
        <w:t xml:space="preserve"> </w:t>
      </w:r>
      <w:hyperlink r:id="rId19" w:history="1">
        <w:r w:rsidRPr="00742BEC">
          <w:rPr>
            <w:rStyle w:val="Hyperlink"/>
            <w:i/>
          </w:rPr>
          <w:t>https://orca.cardiff.ac.uk/id/eprint/140313/1/Hick_Austerity%2C%20localism%20and%20the%20possibility%20of%20politics.pdf</w:t>
        </w:r>
      </w:hyperlink>
      <w:r>
        <w:t xml:space="preserve"> </w:t>
      </w:r>
      <w:r w:rsidR="00817853">
        <w:t>(Accessed 26 November 2025)</w:t>
      </w:r>
    </w:p>
    <w:p w14:paraId="008D8CEC" w14:textId="08886771" w:rsidR="00004689" w:rsidRPr="00E4537D" w:rsidRDefault="00004689" w:rsidP="00004689">
      <w:pPr>
        <w:ind w:left="720" w:hanging="720"/>
      </w:pPr>
      <w:r w:rsidRPr="00E4537D">
        <w:t>Jiang, D., Zhou, J., Zhu, Y., Abdin, E., Afifi, T.O., Andrade, L.H.S., Bendayan, R., van der Sprenkel, E.E.B., Bruffaerts, R., Catalá-López, F. and Colman, I., 2025. Research priorities on physical-mental comorbidity in children and adolescents: an international consensus. </w:t>
      </w:r>
      <w:r w:rsidRPr="00004689">
        <w:rPr>
          <w:i/>
          <w:iCs/>
        </w:rPr>
        <w:t>eClinicalMedicine</w:t>
      </w:r>
      <w:r w:rsidRPr="00E4537D">
        <w:t>, </w:t>
      </w:r>
      <w:r w:rsidRPr="00004689">
        <w:rPr>
          <w:i/>
          <w:iCs/>
        </w:rPr>
        <w:t>89</w:t>
      </w:r>
      <w:r w:rsidRPr="00E4537D">
        <w:t>.</w:t>
      </w:r>
      <w:r w:rsidR="00817853">
        <w:t>Available at:</w:t>
      </w:r>
      <w:r>
        <w:t xml:space="preserve"> </w:t>
      </w:r>
      <w:hyperlink r:id="rId20" w:history="1">
        <w:r w:rsidRPr="00742BEC">
          <w:rPr>
            <w:rStyle w:val="Hyperlink"/>
            <w:i/>
          </w:rPr>
          <w:t>https://scholar.google.com/scholar?output=instlink&amp;q=info:vnjWTV7rySIJ:scholar.google.com/&amp;hl=en&amp;as_sdt=0,5&amp;as_ylo=2019&amp;as_yhi=2025&amp;scillfp=5429220541212268687&amp;oi=lle</w:t>
        </w:r>
      </w:hyperlink>
      <w:r w:rsidRPr="00742BEC">
        <w:rPr>
          <w:i/>
        </w:rPr>
        <w:t xml:space="preserve"> </w:t>
      </w:r>
      <w:r w:rsidR="00817853">
        <w:t>(Accessed 26 November 2025)</w:t>
      </w:r>
    </w:p>
    <w:p w14:paraId="5163E6FE" w14:textId="6CC1ED54" w:rsidR="00004689" w:rsidRDefault="00004689" w:rsidP="00004689">
      <w:pPr>
        <w:ind w:left="720" w:hanging="720"/>
      </w:pPr>
      <w:r w:rsidRPr="003B519F">
        <w:t>Lakioti, E., Pagonis, N., Flegkas, D., Itziou, A., Moustakas, K. and Karayannis, V., 2025. Social Factors and Policies Promoting Good Health and Well-Being as a Sustainable Development Goal: Current Achievements and Future Pathways. </w:t>
      </w:r>
      <w:r w:rsidRPr="00004689">
        <w:rPr>
          <w:i/>
          <w:iCs/>
        </w:rPr>
        <w:t>Sustainability</w:t>
      </w:r>
      <w:r w:rsidRPr="003B519F">
        <w:t>, </w:t>
      </w:r>
      <w:r w:rsidRPr="00004689">
        <w:rPr>
          <w:i/>
          <w:iCs/>
        </w:rPr>
        <w:t>17</w:t>
      </w:r>
      <w:r w:rsidRPr="003B519F">
        <w:t>(11), p.5063.</w:t>
      </w:r>
      <w:r w:rsidR="00817853">
        <w:t>Available at:</w:t>
      </w:r>
      <w:r>
        <w:t xml:space="preserve"> </w:t>
      </w:r>
      <w:hyperlink r:id="rId21" w:history="1">
        <w:r w:rsidRPr="00742BEC">
          <w:rPr>
            <w:rStyle w:val="Hyperlink"/>
            <w:i/>
          </w:rPr>
          <w:t>https://www.mdpi.com/2071-1050/17/11/5063</w:t>
        </w:r>
      </w:hyperlink>
      <w:r>
        <w:t xml:space="preserve"> </w:t>
      </w:r>
      <w:r w:rsidR="00817853">
        <w:t>(Accessed 27 November 2025)</w:t>
      </w:r>
    </w:p>
    <w:p w14:paraId="00A16D07" w14:textId="0431260E" w:rsidR="00004689" w:rsidRPr="00BE30CE" w:rsidRDefault="00004689" w:rsidP="00004689">
      <w:pPr>
        <w:ind w:left="720" w:hanging="720"/>
      </w:pPr>
      <w:r w:rsidRPr="00665BD0">
        <w:t>Leonardi, G.S., Zeka, A., Ashworth, M., Bouland, C., Crabbe, H., Duarte-Davidson, R., Etzel, R.A., Giuashvili, N., Gökdemir, Ö., Hanke, W. and van den Hazel, P., 2024. Building competency to deal with environmental health challenges: experiences and a proposal. </w:t>
      </w:r>
      <w:r w:rsidRPr="00004689">
        <w:rPr>
          <w:i/>
          <w:iCs/>
        </w:rPr>
        <w:t>Frontiers in Public Health</w:t>
      </w:r>
      <w:r w:rsidRPr="00665BD0">
        <w:t>, </w:t>
      </w:r>
      <w:r w:rsidRPr="00004689">
        <w:rPr>
          <w:i/>
          <w:iCs/>
        </w:rPr>
        <w:t>12</w:t>
      </w:r>
      <w:r w:rsidRPr="00665BD0">
        <w:t>, p.1373530.</w:t>
      </w:r>
      <w:r w:rsidR="00817853">
        <w:t>Available at:</w:t>
      </w:r>
      <w:r>
        <w:t xml:space="preserve"> </w:t>
      </w:r>
      <w:hyperlink r:id="rId22" w:history="1">
        <w:r w:rsidRPr="00742BEC">
          <w:rPr>
            <w:rStyle w:val="Hyperlink"/>
            <w:i/>
          </w:rPr>
          <w:t>https://www.frontiersin.org/journals/public-health/articles/10.3389/fpubh.2024.1373530/pdf</w:t>
        </w:r>
      </w:hyperlink>
      <w:r>
        <w:t xml:space="preserve"> </w:t>
      </w:r>
      <w:r w:rsidR="00817853">
        <w:t>(Accessed 27 November 2025)</w:t>
      </w:r>
    </w:p>
    <w:p w14:paraId="4BE060D0" w14:textId="25C7458D" w:rsidR="00004689" w:rsidRDefault="00004689" w:rsidP="00004689">
      <w:pPr>
        <w:ind w:left="720" w:hanging="720"/>
      </w:pPr>
      <w:r w:rsidRPr="00BE30CE">
        <w:t>Macassa, G., 2021. Can sustainable health behaviour contribute to ensure healthy lives and wellbeing for all at all ages (SDG 3)? A viewpoint. </w:t>
      </w:r>
      <w:r w:rsidRPr="00004689">
        <w:rPr>
          <w:i/>
          <w:iCs/>
        </w:rPr>
        <w:t>Journal of Public Health Research</w:t>
      </w:r>
      <w:r w:rsidRPr="00BE30CE">
        <w:t>, </w:t>
      </w:r>
      <w:r w:rsidRPr="00004689">
        <w:rPr>
          <w:i/>
          <w:iCs/>
        </w:rPr>
        <w:t>10</w:t>
      </w:r>
      <w:r w:rsidRPr="00BE30CE">
        <w:t xml:space="preserve">(3), pp.jphr-2021. </w:t>
      </w:r>
      <w:r w:rsidR="00817853">
        <w:t>Available at:</w:t>
      </w:r>
      <w:hyperlink r:id="rId23" w:history="1">
        <w:r w:rsidRPr="00742BEC">
          <w:rPr>
            <w:rStyle w:val="Hyperlink"/>
            <w:i/>
          </w:rPr>
          <w:t>https://journals.sagepub.com/doi/pdf/10.4081/jphr.2021.2051</w:t>
        </w:r>
      </w:hyperlink>
      <w:r w:rsidRPr="00BE30CE">
        <w:t xml:space="preserve"> </w:t>
      </w:r>
      <w:r w:rsidR="00817853">
        <w:t>(Accessed 19 November 2025)</w:t>
      </w:r>
    </w:p>
    <w:p w14:paraId="68C402B2" w14:textId="77777777" w:rsidR="00817853" w:rsidRDefault="00817853" w:rsidP="00004689">
      <w:pPr>
        <w:ind w:left="720" w:hanging="720"/>
      </w:pPr>
    </w:p>
    <w:p w14:paraId="42A843A6" w14:textId="77777777" w:rsidR="00817853" w:rsidRDefault="00817853" w:rsidP="00004689">
      <w:pPr>
        <w:ind w:left="720" w:hanging="720"/>
      </w:pPr>
    </w:p>
    <w:p w14:paraId="4C38211A" w14:textId="77777777" w:rsidR="00817853" w:rsidRDefault="00817853" w:rsidP="00004689">
      <w:pPr>
        <w:ind w:left="720" w:hanging="720"/>
      </w:pPr>
    </w:p>
    <w:p w14:paraId="79EED909" w14:textId="0411BDFD" w:rsidR="00004689" w:rsidRPr="00343DF8" w:rsidRDefault="00004689" w:rsidP="00004689">
      <w:pPr>
        <w:ind w:left="720" w:hanging="720"/>
      </w:pPr>
      <w:r w:rsidRPr="00343DF8">
        <w:lastRenderedPageBreak/>
        <w:t>Menton, M., Larrea, C., Latorre, S., Martinez-Alier, J., Peck, M., Temper, L. and Walter, M., 2020. Environmental justice and the SDGs: from synergies to gaps and contradictions. </w:t>
      </w:r>
      <w:r w:rsidRPr="00004689">
        <w:rPr>
          <w:i/>
          <w:iCs/>
        </w:rPr>
        <w:t>Sustainability science</w:t>
      </w:r>
      <w:r w:rsidRPr="00343DF8">
        <w:t>, </w:t>
      </w:r>
      <w:r w:rsidRPr="00004689">
        <w:rPr>
          <w:i/>
          <w:iCs/>
        </w:rPr>
        <w:t>15</w:t>
      </w:r>
      <w:r w:rsidRPr="00343DF8">
        <w:t>(6), pp.1621-1636.</w:t>
      </w:r>
      <w:r w:rsidR="00817853">
        <w:t>Available at:</w:t>
      </w:r>
      <w:r>
        <w:t xml:space="preserve"> </w:t>
      </w:r>
      <w:hyperlink r:id="rId24" w:history="1">
        <w:r w:rsidRPr="00742BEC">
          <w:rPr>
            <w:rStyle w:val="Hyperlink"/>
            <w:i/>
          </w:rPr>
          <w:t>https://link.springer.com/content/pdf/10.1007/s11625-020-00789-8.pdf</w:t>
        </w:r>
      </w:hyperlink>
      <w:r>
        <w:t xml:space="preserve"> </w:t>
      </w:r>
      <w:r w:rsidR="00817853">
        <w:t>(Accessed 15 November 2025)</w:t>
      </w:r>
    </w:p>
    <w:p w14:paraId="5B0932E4" w14:textId="13159801" w:rsidR="00004689" w:rsidRDefault="00004689" w:rsidP="00004689">
      <w:pPr>
        <w:ind w:left="720" w:hanging="720"/>
      </w:pPr>
      <w:r w:rsidRPr="005A1D81">
        <w:t>Ocloo, J., Garfield, S., Franklin, B.D. and Dawson, S., 2021. Exploring the theory, barriers and enablers for patient and public involvement across health, social care and patient safety: a systematic review of reviews. </w:t>
      </w:r>
      <w:r w:rsidRPr="00004689">
        <w:rPr>
          <w:i/>
          <w:iCs/>
        </w:rPr>
        <w:t>Health research policy and systems</w:t>
      </w:r>
      <w:r w:rsidRPr="005A1D81">
        <w:t>, </w:t>
      </w:r>
      <w:r w:rsidRPr="00004689">
        <w:rPr>
          <w:i/>
          <w:iCs/>
        </w:rPr>
        <w:t>19</w:t>
      </w:r>
      <w:r w:rsidRPr="005A1D81">
        <w:t>(1), p.8.</w:t>
      </w:r>
      <w:r w:rsidR="00817853">
        <w:t>Available at:</w:t>
      </w:r>
      <w:r>
        <w:t xml:space="preserve"> </w:t>
      </w:r>
      <w:hyperlink r:id="rId25" w:history="1">
        <w:r w:rsidRPr="00742BEC">
          <w:rPr>
            <w:rStyle w:val="Hyperlink"/>
            <w:i/>
          </w:rPr>
          <w:t>https://link.springer.com/content/pdf/10.1186/s12961-020-00644-3.pdf</w:t>
        </w:r>
      </w:hyperlink>
      <w:r>
        <w:t xml:space="preserve"> </w:t>
      </w:r>
      <w:r w:rsidR="00817853">
        <w:t>(Accessed 19 November 2025)</w:t>
      </w:r>
    </w:p>
    <w:p w14:paraId="67BF9EC1" w14:textId="48E92048" w:rsidR="00742BEC" w:rsidRPr="00742BEC" w:rsidRDefault="00004689" w:rsidP="00742BEC">
      <w:pPr>
        <w:ind w:left="720" w:hanging="720"/>
        <w:rPr>
          <w:i/>
          <w:color w:val="0563C1" w:themeColor="hyperlink"/>
          <w:u w:val="single"/>
        </w:rPr>
      </w:pPr>
      <w:r w:rsidRPr="00E4537D">
        <w:t>Parchment, A., Lawrence, W., Perry, R., Rahman, E., Townsend, N., Wainwright, E. and Wainwright, D., 2023. Making every contact count and healthy conversation skills as very brief or brief behaviour change interventions: a scoping review. </w:t>
      </w:r>
      <w:r w:rsidRPr="00004689">
        <w:rPr>
          <w:i/>
          <w:iCs/>
        </w:rPr>
        <w:t>Journal of Public Health</w:t>
      </w:r>
      <w:r w:rsidRPr="00E4537D">
        <w:t>, </w:t>
      </w:r>
      <w:r w:rsidRPr="00004689">
        <w:rPr>
          <w:i/>
          <w:iCs/>
        </w:rPr>
        <w:t>31</w:t>
      </w:r>
      <w:r w:rsidRPr="00E4537D">
        <w:t>(7), pp.1017-1034.</w:t>
      </w:r>
      <w:r w:rsidR="00742BEC">
        <w:t>Available at:</w:t>
      </w:r>
      <w:r>
        <w:t xml:space="preserve"> </w:t>
      </w:r>
      <w:hyperlink r:id="rId26" w:history="1">
        <w:r w:rsidRPr="00742BEC">
          <w:rPr>
            <w:rStyle w:val="Hyperlink"/>
            <w:i/>
          </w:rPr>
          <w:t>https://link.springer.com/content/pdf/10.1007/s10389-021-01653-4.pdf</w:t>
        </w:r>
      </w:hyperlink>
      <w:r w:rsidR="00742BEC" w:rsidRPr="00742BEC">
        <w:rPr>
          <w:rStyle w:val="Hyperlink"/>
          <w:i/>
        </w:rPr>
        <w:t xml:space="preserve">    (Accessed 19 November 2025)</w:t>
      </w:r>
    </w:p>
    <w:p w14:paraId="0AE0862C" w14:textId="7655B347" w:rsidR="00004689" w:rsidRPr="00004689" w:rsidRDefault="00004689" w:rsidP="00004689">
      <w:pPr>
        <w:ind w:left="720" w:hanging="720"/>
      </w:pPr>
      <w:r w:rsidRPr="00004689">
        <w:t>Rajendran, L.P., Boyko, C.T., Coulton, C.J., Hale, J.D. and Cooper, R.F., 2020. A socio-spatial approach to enable inclusive well-being in cities: a case study of Birmingham, UK. </w:t>
      </w:r>
      <w:r w:rsidRPr="00004689">
        <w:rPr>
          <w:i/>
          <w:iCs/>
        </w:rPr>
        <w:t>Social Sciences</w:t>
      </w:r>
      <w:r w:rsidRPr="00004689">
        <w:t>, </w:t>
      </w:r>
      <w:r w:rsidRPr="00004689">
        <w:rPr>
          <w:i/>
          <w:iCs/>
        </w:rPr>
        <w:t>9</w:t>
      </w:r>
      <w:r w:rsidRPr="00004689">
        <w:t>(6), p.109.</w:t>
      </w:r>
      <w:r w:rsidR="00742BEC">
        <w:t>Available at:</w:t>
      </w:r>
      <w:r>
        <w:t xml:space="preserve"> </w:t>
      </w:r>
      <w:hyperlink r:id="rId27" w:history="1">
        <w:r w:rsidRPr="00742BEC">
          <w:rPr>
            <w:rStyle w:val="Hyperlink"/>
            <w:i/>
          </w:rPr>
          <w:t>https://www.mdpi.com/2076-0760/9/6/109</w:t>
        </w:r>
      </w:hyperlink>
      <w:r>
        <w:t xml:space="preserve"> </w:t>
      </w:r>
      <w:r w:rsidR="00742BEC">
        <w:t>(Accessed 19 November 2025)</w:t>
      </w:r>
    </w:p>
    <w:p w14:paraId="6287FBB5" w14:textId="148A3672" w:rsidR="00004689" w:rsidRDefault="00004689" w:rsidP="00004689">
      <w:pPr>
        <w:ind w:left="720" w:hanging="720"/>
      </w:pPr>
      <w:r w:rsidRPr="00343DF8">
        <w:t>Rentschler, J. and Leonova, N., 2023. Global air pollution exposure and poverty. </w:t>
      </w:r>
      <w:r w:rsidRPr="00004689">
        <w:rPr>
          <w:i/>
          <w:iCs/>
        </w:rPr>
        <w:t>Nature communications</w:t>
      </w:r>
      <w:r w:rsidRPr="00343DF8">
        <w:t>, </w:t>
      </w:r>
      <w:r w:rsidRPr="00004689">
        <w:rPr>
          <w:i/>
          <w:iCs/>
        </w:rPr>
        <w:t>14</w:t>
      </w:r>
      <w:r w:rsidRPr="00343DF8">
        <w:t>(1), p.4432.</w:t>
      </w:r>
      <w:r w:rsidR="00742BEC">
        <w:t xml:space="preserve">Available at: </w:t>
      </w:r>
      <w:r>
        <w:t xml:space="preserve"> </w:t>
      </w:r>
      <w:hyperlink r:id="rId28" w:history="1">
        <w:r w:rsidRPr="00742BEC">
          <w:rPr>
            <w:rStyle w:val="Hyperlink"/>
            <w:i/>
          </w:rPr>
          <w:t>https://www.nature.com/articles/s41467-023-39797-4.pdf</w:t>
        </w:r>
      </w:hyperlink>
      <w:r w:rsidRPr="00742BEC">
        <w:rPr>
          <w:i/>
        </w:rPr>
        <w:t xml:space="preserve"> </w:t>
      </w:r>
      <w:r w:rsidR="00742BEC">
        <w:t>(Accessed 19 November 2025)</w:t>
      </w:r>
    </w:p>
    <w:p w14:paraId="1C263889" w14:textId="77777777" w:rsidR="00964327" w:rsidRDefault="00964327" w:rsidP="00004689">
      <w:pPr>
        <w:ind w:left="720" w:hanging="720"/>
      </w:pPr>
    </w:p>
    <w:p w14:paraId="15D031AA" w14:textId="13A315D3" w:rsidR="00004689" w:rsidRDefault="00004689" w:rsidP="00004689">
      <w:pPr>
        <w:ind w:left="720" w:hanging="720"/>
      </w:pPr>
      <w:r w:rsidRPr="006621D7">
        <w:t>Robertson, R., Williams, E., Buck, D. and Breckwoldt, J., 2021. Ethnic health inequalities and the NHS. </w:t>
      </w:r>
      <w:r w:rsidRPr="00004689">
        <w:rPr>
          <w:i/>
          <w:iCs/>
        </w:rPr>
        <w:t>The King’s Fund, commissioned by the NHS Race and Health Observatory</w:t>
      </w:r>
      <w:r w:rsidRPr="006621D7">
        <w:t>.</w:t>
      </w:r>
      <w:r>
        <w:t xml:space="preserve"> </w:t>
      </w:r>
      <w:r w:rsidR="00742BEC">
        <w:t>Available at:</w:t>
      </w:r>
      <w:hyperlink r:id="rId29" w:history="1">
        <w:r w:rsidRPr="00742BEC">
          <w:rPr>
            <w:rStyle w:val="Hyperlink"/>
            <w:i/>
          </w:rPr>
          <w:t>https://healthwatchgreenwich.co.uk/sites/healthwatchgreenwich.co.uk/files/Ethnic-Health-Inequalities-Kings-Fund-Report.pdf</w:t>
        </w:r>
      </w:hyperlink>
      <w:r w:rsidRPr="00742BEC">
        <w:rPr>
          <w:i/>
        </w:rPr>
        <w:t xml:space="preserve"> </w:t>
      </w:r>
      <w:r w:rsidR="00742BEC">
        <w:t>(Accessed 18 November 2025)</w:t>
      </w:r>
    </w:p>
    <w:p w14:paraId="72890D6D" w14:textId="77777777" w:rsidR="00742BEC" w:rsidRDefault="00742BEC" w:rsidP="00004689">
      <w:pPr>
        <w:ind w:left="720" w:hanging="720"/>
      </w:pPr>
    </w:p>
    <w:p w14:paraId="6F0DF13D" w14:textId="0B8475C3" w:rsidR="00004689" w:rsidRDefault="00004689" w:rsidP="00004689">
      <w:pPr>
        <w:ind w:left="720" w:hanging="720"/>
      </w:pPr>
      <w:r w:rsidRPr="00665BD0">
        <w:lastRenderedPageBreak/>
        <w:t>Rodrigues, A.M., Nichol, B., Wilson, R., Charlton, C., Gibson, B., Finch, T., Haighton, C., Maniatopoulos, G., Giles, E., Harrison, D. and Orange, D., 2024. Mapping regional implementation of ‘Making Every Contact Count’: mixed-methods evaluation of implementation stage, strategies, barriers and facilitators of implementation. </w:t>
      </w:r>
      <w:r w:rsidRPr="00004689">
        <w:rPr>
          <w:i/>
          <w:iCs/>
        </w:rPr>
        <w:t>BMJ open</w:t>
      </w:r>
      <w:r w:rsidRPr="00665BD0">
        <w:t>, </w:t>
      </w:r>
      <w:r w:rsidRPr="00004689">
        <w:rPr>
          <w:i/>
          <w:iCs/>
        </w:rPr>
        <w:t>14</w:t>
      </w:r>
      <w:r w:rsidRPr="00665BD0">
        <w:t>(7), p.e084208.</w:t>
      </w:r>
      <w:r w:rsidR="00742BEC">
        <w:t xml:space="preserve">Available at: </w:t>
      </w:r>
      <w:r>
        <w:t xml:space="preserve"> </w:t>
      </w:r>
      <w:hyperlink r:id="rId30" w:history="1">
        <w:r w:rsidRPr="00742BEC">
          <w:rPr>
            <w:rStyle w:val="Hyperlink"/>
            <w:i/>
          </w:rPr>
          <w:t>https://bmjopen.bmj.com/content/bmjopen/14/7/e084208.full.pdf</w:t>
        </w:r>
      </w:hyperlink>
      <w:r>
        <w:t xml:space="preserve"> </w:t>
      </w:r>
      <w:r w:rsidR="00742BEC">
        <w:t>(Accessed 18 November 2025)</w:t>
      </w:r>
    </w:p>
    <w:p w14:paraId="04ECB0FE" w14:textId="6E0DF57B" w:rsidR="00004689" w:rsidRPr="00742BEC" w:rsidRDefault="00004689" w:rsidP="00004689">
      <w:pPr>
        <w:ind w:left="720" w:hanging="720"/>
        <w:rPr>
          <w:i/>
        </w:rPr>
      </w:pPr>
      <w:r w:rsidRPr="003B519F">
        <w:t>Sahoo, A.K., Behera, H.C. and Behura, A.K., 2022. Philosophy of sustainable development: understanding public health. </w:t>
      </w:r>
      <w:r w:rsidRPr="00004689">
        <w:rPr>
          <w:i/>
          <w:iCs/>
        </w:rPr>
        <w:t>Environment, Development and Sustainability</w:t>
      </w:r>
      <w:r w:rsidRPr="003B519F">
        <w:t>, </w:t>
      </w:r>
      <w:r w:rsidRPr="00004689">
        <w:rPr>
          <w:i/>
          <w:iCs/>
        </w:rPr>
        <w:t>24</w:t>
      </w:r>
      <w:r w:rsidRPr="003B519F">
        <w:t>(10), pp.12248-12262.</w:t>
      </w:r>
      <w:r w:rsidR="00742BEC">
        <w:t>Available at:</w:t>
      </w:r>
      <w:r>
        <w:t xml:space="preserve"> </w:t>
      </w:r>
      <w:hyperlink r:id="rId31" w:history="1">
        <w:r w:rsidRPr="00742BEC">
          <w:rPr>
            <w:rStyle w:val="Hyperlink"/>
            <w:i/>
          </w:rPr>
          <w:t>https://www.researchgate.net/profile/Amiya-Sahoo-9/publication/356146728_Philosophy_of_sustainable_development_understanding_public_health/links/6352c5ce6e0d367d91b2920e/Philosophy-of-sustainable-development-understanding-public-health.pdf</w:t>
        </w:r>
      </w:hyperlink>
      <w:r w:rsidR="00742BEC" w:rsidRPr="00742BEC">
        <w:rPr>
          <w:rStyle w:val="Hyperlink"/>
          <w:i/>
        </w:rPr>
        <w:t xml:space="preserve">  (Accessed 22 November 2025)</w:t>
      </w:r>
    </w:p>
    <w:p w14:paraId="074EAF42" w14:textId="01B2B04D" w:rsidR="00004689" w:rsidRDefault="00004689" w:rsidP="00004689">
      <w:pPr>
        <w:ind w:left="720" w:hanging="720"/>
      </w:pPr>
      <w:r w:rsidRPr="00331458">
        <w:t>Schwerdtle, P.N., Ngo, T.A., Hasch, F., Phan, T.V., Quitmann, C. and Montenegro-Quinonez, C.A., 2024. Climate change resilient health facilities: a scoping review of case studies in low and middle-income countries. </w:t>
      </w:r>
      <w:r w:rsidRPr="00004689">
        <w:rPr>
          <w:i/>
          <w:iCs/>
        </w:rPr>
        <w:t>Environmental Research Letters</w:t>
      </w:r>
      <w:r w:rsidRPr="00331458">
        <w:t>, </w:t>
      </w:r>
      <w:r w:rsidRPr="00004689">
        <w:rPr>
          <w:i/>
          <w:iCs/>
        </w:rPr>
        <w:t>19</w:t>
      </w:r>
      <w:r w:rsidRPr="00331458">
        <w:t>(7), p.074041.</w:t>
      </w:r>
      <w:r w:rsidR="00742BEC">
        <w:t>Available at:</w:t>
      </w:r>
      <w:r>
        <w:t xml:space="preserve"> </w:t>
      </w:r>
      <w:hyperlink r:id="rId32" w:history="1">
        <w:r w:rsidRPr="00742BEC">
          <w:rPr>
            <w:rStyle w:val="Hyperlink"/>
            <w:i/>
          </w:rPr>
          <w:t>https://scholar.google.com/scholar?output=instlink&amp;q=info:XSYpFtDz8qMJ:scholar.google.com/&amp;hl=en&amp;as_sdt=0,5&amp;as_ylo=2019&amp;as_yhi=2025&amp;scillfp=11062780020017556932&amp;oi=lle</w:t>
        </w:r>
      </w:hyperlink>
      <w:r>
        <w:t xml:space="preserve"> </w:t>
      </w:r>
      <w:r w:rsidR="00742BEC">
        <w:t>(Accessed 22 November 2025)</w:t>
      </w:r>
    </w:p>
    <w:p w14:paraId="70A6262E" w14:textId="6F90FD16" w:rsidR="00004689" w:rsidRDefault="00004689" w:rsidP="00004689">
      <w:pPr>
        <w:ind w:left="720" w:hanging="720"/>
      </w:pPr>
      <w:r w:rsidRPr="00343DF8">
        <w:t>Semenza, J.C., Rocklöv, J. and Ebi, K.L., 2022. Climate change and cascading risks from infectious disease. </w:t>
      </w:r>
      <w:r w:rsidRPr="00004689">
        <w:rPr>
          <w:i/>
          <w:iCs/>
        </w:rPr>
        <w:t>Infectious diseases and therapy</w:t>
      </w:r>
      <w:r w:rsidRPr="00343DF8">
        <w:t>, </w:t>
      </w:r>
      <w:r w:rsidRPr="00004689">
        <w:rPr>
          <w:i/>
          <w:iCs/>
        </w:rPr>
        <w:t>11</w:t>
      </w:r>
      <w:r w:rsidRPr="00343DF8">
        <w:t>(4), pp.1371-1390.</w:t>
      </w:r>
      <w:r w:rsidR="00742BEC">
        <w:t>Available at:</w:t>
      </w:r>
      <w:r>
        <w:t xml:space="preserve"> </w:t>
      </w:r>
      <w:hyperlink r:id="rId33" w:history="1">
        <w:r w:rsidRPr="00742BEC">
          <w:rPr>
            <w:rStyle w:val="Hyperlink"/>
            <w:i/>
          </w:rPr>
          <w:t>https://link.springer.com/content/pdf/10.1007/s40121-022-00647-3.pdf</w:t>
        </w:r>
      </w:hyperlink>
      <w:r>
        <w:t xml:space="preserve"> </w:t>
      </w:r>
      <w:r w:rsidR="00742BEC">
        <w:t>(Accessed 22 November 2025)</w:t>
      </w:r>
    </w:p>
    <w:p w14:paraId="31139D2F" w14:textId="2A8B6067" w:rsidR="00004689" w:rsidRDefault="00004689" w:rsidP="00004689">
      <w:pPr>
        <w:ind w:left="720" w:hanging="720"/>
      </w:pPr>
      <w:r w:rsidRPr="00331458">
        <w:t>Stevenson, S., Collins, A., Jennings, N., Köberle, A.C., Laumann, F., Laverty, A.A., Vineis, P., Woods, J. and Gambhir, A., 2021. A hybrid approach to identifying and assessing interactions between climate action (SDG13) policies and a range of SDGs in a UK context. </w:t>
      </w:r>
      <w:r w:rsidRPr="00004689">
        <w:rPr>
          <w:i/>
          <w:iCs/>
        </w:rPr>
        <w:t>Discover Sustainability</w:t>
      </w:r>
      <w:r w:rsidRPr="00331458">
        <w:t>, </w:t>
      </w:r>
      <w:r w:rsidRPr="00004689">
        <w:rPr>
          <w:i/>
          <w:iCs/>
        </w:rPr>
        <w:t>2</w:t>
      </w:r>
      <w:r w:rsidRPr="00331458">
        <w:t>(1), p.43.</w:t>
      </w:r>
      <w:r>
        <w:t xml:space="preserve"> </w:t>
      </w:r>
      <w:r w:rsidR="00742BEC">
        <w:t>Available at:</w:t>
      </w:r>
      <w:hyperlink r:id="rId34" w:history="1">
        <w:r w:rsidRPr="00742BEC">
          <w:rPr>
            <w:rStyle w:val="Hyperlink"/>
            <w:i/>
          </w:rPr>
          <w:t>https://link.springer.com/content/pdf/10.1007/s43621-021-00051-w.pdf</w:t>
        </w:r>
      </w:hyperlink>
      <w:r w:rsidRPr="00742BEC">
        <w:rPr>
          <w:i/>
        </w:rPr>
        <w:t xml:space="preserve"> </w:t>
      </w:r>
      <w:r w:rsidR="00742BEC">
        <w:t>(Accessed 22 Nobember 2025)</w:t>
      </w:r>
    </w:p>
    <w:p w14:paraId="3FFE20F1" w14:textId="77777777" w:rsidR="00742BEC" w:rsidRDefault="00742BEC" w:rsidP="00004689">
      <w:pPr>
        <w:ind w:left="720" w:hanging="720"/>
      </w:pPr>
    </w:p>
    <w:p w14:paraId="5881F242" w14:textId="22190A92" w:rsidR="00004689" w:rsidRDefault="00004689" w:rsidP="00004689">
      <w:pPr>
        <w:ind w:left="720" w:hanging="720"/>
      </w:pPr>
      <w:r w:rsidRPr="00BE30CE">
        <w:lastRenderedPageBreak/>
        <w:t>Takian, A., Raoofi, A. and Haghighi, H., 2022. COVID-19 pandemic: The fears and hopes for SDG 3, with focus on prevention and control of noncommunicable diseases (SDG 3.4) and universal health coverage (SDG 3.8). In </w:t>
      </w:r>
      <w:r w:rsidRPr="00004689">
        <w:rPr>
          <w:i/>
          <w:iCs/>
        </w:rPr>
        <w:t>COVID-19 and the Sustainable Development Goals</w:t>
      </w:r>
      <w:r w:rsidRPr="00BE30CE">
        <w:t> (pp. 211-234). Elsevier.</w:t>
      </w:r>
      <w:r w:rsidR="00742BEC">
        <w:t>Available at:</w:t>
      </w:r>
      <w:r w:rsidRPr="00BE30CE">
        <w:t xml:space="preserve"> </w:t>
      </w:r>
      <w:hyperlink r:id="rId35" w:history="1">
        <w:r w:rsidRPr="00742BEC">
          <w:rPr>
            <w:rStyle w:val="Hyperlink"/>
            <w:i/>
          </w:rPr>
          <w:t>https://pmc.ncbi.nlm.nih.gov/articles/PMC9334993/pdf/main.pdf</w:t>
        </w:r>
      </w:hyperlink>
      <w:r w:rsidRPr="00742BEC">
        <w:rPr>
          <w:i/>
        </w:rPr>
        <w:t xml:space="preserve"> </w:t>
      </w:r>
      <w:r w:rsidR="00742BEC">
        <w:t>(Accessed 22 November 2025)</w:t>
      </w:r>
    </w:p>
    <w:p w14:paraId="0C37B42F" w14:textId="12213CF4" w:rsidR="00004689" w:rsidRDefault="00004689" w:rsidP="00004689">
      <w:pPr>
        <w:ind w:left="720" w:hanging="720"/>
      </w:pPr>
      <w:r w:rsidRPr="00331458">
        <w:t>Whitmee, S., Green, R., Belesova, K., Hassan, S., Cuevas, S., Murage, P., Picetti, R., Clercq-Roques, R., Murray, K., Falconer, J. and Anton, B., 2024. Pathways to a healthy net-zero future: report of the Lancet Pathfinder Commission. </w:t>
      </w:r>
      <w:r w:rsidRPr="00004689">
        <w:rPr>
          <w:i/>
          <w:iCs/>
        </w:rPr>
        <w:t>The Lancet</w:t>
      </w:r>
      <w:r w:rsidRPr="00331458">
        <w:t>, </w:t>
      </w:r>
      <w:r w:rsidRPr="00004689">
        <w:rPr>
          <w:i/>
          <w:iCs/>
        </w:rPr>
        <w:t>403</w:t>
      </w:r>
      <w:r w:rsidRPr="00331458">
        <w:t>(10421), pp.67-110.</w:t>
      </w:r>
      <w:r w:rsidR="00742BEC">
        <w:t>Available at:</w:t>
      </w:r>
      <w:r>
        <w:t xml:space="preserve"> </w:t>
      </w:r>
      <w:hyperlink r:id="rId36" w:history="1">
        <w:r w:rsidRPr="00742BEC">
          <w:rPr>
            <w:rStyle w:val="Hyperlink"/>
            <w:i/>
          </w:rPr>
          <w:t>https://researchportal.bath.ac.uk/files/312465810/Whitmee_et_al_Pathfinder_Commission_Report_Accepted_Manuscript.pd</w:t>
        </w:r>
        <w:r w:rsidRPr="002C671C">
          <w:rPr>
            <w:rStyle w:val="Hyperlink"/>
          </w:rPr>
          <w:t>f</w:t>
        </w:r>
      </w:hyperlink>
      <w:r>
        <w:t xml:space="preserve"> </w:t>
      </w:r>
      <w:r w:rsidR="00742BEC">
        <w:t>(Accessed 22 November 2025)</w:t>
      </w:r>
    </w:p>
    <w:p w14:paraId="50081942" w14:textId="38F186C0" w:rsidR="00004689" w:rsidRDefault="00004689" w:rsidP="00004689">
      <w:pPr>
        <w:ind w:left="720" w:hanging="720"/>
      </w:pPr>
      <w:r w:rsidRPr="00665BD0">
        <w:t>Williams, B., 2025. The British NHS at 75: Past, contemporary, and future challenges. </w:t>
      </w:r>
      <w:r w:rsidRPr="00004689">
        <w:rPr>
          <w:i/>
          <w:iCs/>
        </w:rPr>
        <w:t>International Journal of Social Determinants of Health and Health Services</w:t>
      </w:r>
      <w:r w:rsidRPr="00665BD0">
        <w:t>, </w:t>
      </w:r>
      <w:r w:rsidRPr="00004689">
        <w:rPr>
          <w:i/>
          <w:iCs/>
        </w:rPr>
        <w:t>55</w:t>
      </w:r>
      <w:r w:rsidRPr="00665BD0">
        <w:t>(1), pp.76-87.</w:t>
      </w:r>
      <w:r w:rsidR="00742BEC">
        <w:t>Available at:</w:t>
      </w:r>
      <w:r w:rsidRPr="00665BD0">
        <w:t xml:space="preserve"> </w:t>
      </w:r>
      <w:hyperlink r:id="rId37" w:history="1">
        <w:r w:rsidRPr="00742BEC">
          <w:rPr>
            <w:rStyle w:val="Hyperlink"/>
            <w:i/>
          </w:rPr>
          <w:t>https://journals.sagepub.com/doi/pdf/10.1177/27551938241280175</w:t>
        </w:r>
      </w:hyperlink>
      <w:r w:rsidRPr="00665BD0">
        <w:t xml:space="preserve"> </w:t>
      </w:r>
      <w:r w:rsidR="00742BEC">
        <w:t>(Accessed 22 November 2025)</w:t>
      </w:r>
    </w:p>
    <w:p w14:paraId="7BD9BA7F" w14:textId="77777777" w:rsidR="00BE30CE" w:rsidRPr="004906C3" w:rsidRDefault="00BE30CE" w:rsidP="004906C3"/>
    <w:sectPr w:rsidR="00BE30CE" w:rsidRPr="004906C3">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9A618" w14:textId="77777777" w:rsidR="009B576F" w:rsidRDefault="009B576F" w:rsidP="006039DD">
      <w:pPr>
        <w:spacing w:after="0" w:line="240" w:lineRule="auto"/>
      </w:pPr>
      <w:r>
        <w:separator/>
      </w:r>
    </w:p>
  </w:endnote>
  <w:endnote w:type="continuationSeparator" w:id="0">
    <w:p w14:paraId="646CA256" w14:textId="77777777" w:rsidR="009B576F" w:rsidRDefault="009B576F" w:rsidP="0060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1916627"/>
      <w:docPartObj>
        <w:docPartGallery w:val="Page Numbers (Bottom of Page)"/>
        <w:docPartUnique/>
      </w:docPartObj>
    </w:sdtPr>
    <w:sdtEndPr>
      <w:rPr>
        <w:noProof/>
      </w:rPr>
    </w:sdtEndPr>
    <w:sdtContent>
      <w:p w14:paraId="27F8B482" w14:textId="09C15EF4" w:rsidR="00817853" w:rsidRDefault="00817853">
        <w:pPr>
          <w:pStyle w:val="Footer"/>
          <w:jc w:val="right"/>
        </w:pPr>
        <w:r>
          <w:fldChar w:fldCharType="begin"/>
        </w:r>
        <w:r>
          <w:instrText xml:space="preserve"> PAGE   \* MERGEFORMAT </w:instrText>
        </w:r>
        <w:r>
          <w:fldChar w:fldCharType="separate"/>
        </w:r>
        <w:r w:rsidR="008A6A5D">
          <w:rPr>
            <w:noProof/>
          </w:rPr>
          <w:t>1</w:t>
        </w:r>
        <w:r>
          <w:rPr>
            <w:noProof/>
          </w:rPr>
          <w:fldChar w:fldCharType="end"/>
        </w:r>
      </w:p>
    </w:sdtContent>
  </w:sdt>
  <w:p w14:paraId="35461622" w14:textId="77777777" w:rsidR="00817853" w:rsidRDefault="00817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27D93" w14:textId="77777777" w:rsidR="009B576F" w:rsidRDefault="009B576F" w:rsidP="006039DD">
      <w:pPr>
        <w:spacing w:after="0" w:line="240" w:lineRule="auto"/>
      </w:pPr>
      <w:r>
        <w:separator/>
      </w:r>
    </w:p>
  </w:footnote>
  <w:footnote w:type="continuationSeparator" w:id="0">
    <w:p w14:paraId="7650B57D" w14:textId="77777777" w:rsidR="009B576F" w:rsidRDefault="009B576F" w:rsidP="006039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5911FF"/>
    <w:multiLevelType w:val="hybridMultilevel"/>
    <w:tmpl w:val="274C1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505"/>
    <w:rsid w:val="00004689"/>
    <w:rsid w:val="00010D33"/>
    <w:rsid w:val="0005011D"/>
    <w:rsid w:val="00096F38"/>
    <w:rsid w:val="000975C9"/>
    <w:rsid w:val="000F7308"/>
    <w:rsid w:val="00145CEF"/>
    <w:rsid w:val="00151505"/>
    <w:rsid w:val="001552CB"/>
    <w:rsid w:val="0019119E"/>
    <w:rsid w:val="001B08A7"/>
    <w:rsid w:val="001B5013"/>
    <w:rsid w:val="001D0BA2"/>
    <w:rsid w:val="001F29CE"/>
    <w:rsid w:val="00230CB7"/>
    <w:rsid w:val="002B62E5"/>
    <w:rsid w:val="002D6209"/>
    <w:rsid w:val="00321FFE"/>
    <w:rsid w:val="00323524"/>
    <w:rsid w:val="00331458"/>
    <w:rsid w:val="00343DF8"/>
    <w:rsid w:val="003B519F"/>
    <w:rsid w:val="003E623F"/>
    <w:rsid w:val="003F3EF8"/>
    <w:rsid w:val="00425626"/>
    <w:rsid w:val="00442A49"/>
    <w:rsid w:val="0044466C"/>
    <w:rsid w:val="004568D6"/>
    <w:rsid w:val="004906C3"/>
    <w:rsid w:val="004950DC"/>
    <w:rsid w:val="004A0BE4"/>
    <w:rsid w:val="004B6812"/>
    <w:rsid w:val="004B6DC5"/>
    <w:rsid w:val="004F7AD3"/>
    <w:rsid w:val="005318AB"/>
    <w:rsid w:val="00566AFD"/>
    <w:rsid w:val="00581360"/>
    <w:rsid w:val="005A1D81"/>
    <w:rsid w:val="005D3939"/>
    <w:rsid w:val="005D71BC"/>
    <w:rsid w:val="005E720D"/>
    <w:rsid w:val="006039DD"/>
    <w:rsid w:val="006317F5"/>
    <w:rsid w:val="00651BE5"/>
    <w:rsid w:val="006621D7"/>
    <w:rsid w:val="00665BD0"/>
    <w:rsid w:val="00694610"/>
    <w:rsid w:val="00694680"/>
    <w:rsid w:val="006B2DD4"/>
    <w:rsid w:val="00713AA8"/>
    <w:rsid w:val="00716D9E"/>
    <w:rsid w:val="00740C59"/>
    <w:rsid w:val="00742BEC"/>
    <w:rsid w:val="00744F59"/>
    <w:rsid w:val="007934ED"/>
    <w:rsid w:val="007A6D27"/>
    <w:rsid w:val="007B16C2"/>
    <w:rsid w:val="007C1BDC"/>
    <w:rsid w:val="007D15A5"/>
    <w:rsid w:val="007D520D"/>
    <w:rsid w:val="007E29DC"/>
    <w:rsid w:val="007F2483"/>
    <w:rsid w:val="00817853"/>
    <w:rsid w:val="00831FC1"/>
    <w:rsid w:val="008515C5"/>
    <w:rsid w:val="008A6A5D"/>
    <w:rsid w:val="008C7566"/>
    <w:rsid w:val="008E0978"/>
    <w:rsid w:val="008E5BAE"/>
    <w:rsid w:val="00906A07"/>
    <w:rsid w:val="0093751D"/>
    <w:rsid w:val="00964327"/>
    <w:rsid w:val="009850F6"/>
    <w:rsid w:val="00993F8F"/>
    <w:rsid w:val="009A09F6"/>
    <w:rsid w:val="009B576F"/>
    <w:rsid w:val="009D5AC2"/>
    <w:rsid w:val="009E1C74"/>
    <w:rsid w:val="00A3379A"/>
    <w:rsid w:val="00A34F7E"/>
    <w:rsid w:val="00A45C62"/>
    <w:rsid w:val="00A635DE"/>
    <w:rsid w:val="00A70192"/>
    <w:rsid w:val="00A70935"/>
    <w:rsid w:val="00A75C42"/>
    <w:rsid w:val="00AA0FF1"/>
    <w:rsid w:val="00AB6C24"/>
    <w:rsid w:val="00AC10A0"/>
    <w:rsid w:val="00AE6D30"/>
    <w:rsid w:val="00AF2850"/>
    <w:rsid w:val="00AF31A8"/>
    <w:rsid w:val="00B8282B"/>
    <w:rsid w:val="00B84D16"/>
    <w:rsid w:val="00B93A34"/>
    <w:rsid w:val="00BB07EA"/>
    <w:rsid w:val="00BE30CE"/>
    <w:rsid w:val="00C01D17"/>
    <w:rsid w:val="00C04F78"/>
    <w:rsid w:val="00C37FA3"/>
    <w:rsid w:val="00CB542C"/>
    <w:rsid w:val="00CC4E7D"/>
    <w:rsid w:val="00CD0CD4"/>
    <w:rsid w:val="00CF6656"/>
    <w:rsid w:val="00D22EBA"/>
    <w:rsid w:val="00DB1057"/>
    <w:rsid w:val="00DD15DA"/>
    <w:rsid w:val="00DE425D"/>
    <w:rsid w:val="00DF58D5"/>
    <w:rsid w:val="00E10C5A"/>
    <w:rsid w:val="00E12360"/>
    <w:rsid w:val="00E15B54"/>
    <w:rsid w:val="00E30060"/>
    <w:rsid w:val="00E452FC"/>
    <w:rsid w:val="00E4537D"/>
    <w:rsid w:val="00EA185B"/>
    <w:rsid w:val="00F23AA0"/>
    <w:rsid w:val="00F33392"/>
    <w:rsid w:val="00F4778D"/>
    <w:rsid w:val="00F518CB"/>
    <w:rsid w:val="00F55443"/>
    <w:rsid w:val="00F76333"/>
    <w:rsid w:val="00FA6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5B66"/>
  <w15:chartTrackingRefBased/>
  <w15:docId w15:val="{696F5CD1-9B6C-41B2-B370-A93262F3A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505"/>
    <w:pPr>
      <w:spacing w:line="360" w:lineRule="auto"/>
      <w:jc w:val="both"/>
    </w:pPr>
    <w:rPr>
      <w:rFonts w:ascii="Arial" w:hAnsi="Arial"/>
      <w:sz w:val="22"/>
      <w:lang w:val="en-GB"/>
    </w:rPr>
  </w:style>
  <w:style w:type="paragraph" w:styleId="Heading1">
    <w:name w:val="heading 1"/>
    <w:basedOn w:val="Normal"/>
    <w:next w:val="Normal"/>
    <w:link w:val="Heading1Char"/>
    <w:autoRedefine/>
    <w:uiPriority w:val="9"/>
    <w:qFormat/>
    <w:rsid w:val="00151505"/>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151505"/>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51505"/>
    <w:pPr>
      <w:keepNext/>
      <w:keepLines/>
      <w:spacing w:before="160" w:after="8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1515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5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505"/>
    <w:rPr>
      <w:rFonts w:ascii="Arial" w:eastAsiaTheme="majorEastAsia" w:hAnsi="Arial" w:cstheme="majorBidi"/>
      <w:b/>
      <w:sz w:val="22"/>
      <w:szCs w:val="40"/>
      <w:lang w:val="en-GB"/>
    </w:rPr>
  </w:style>
  <w:style w:type="character" w:customStyle="1" w:styleId="Heading2Char">
    <w:name w:val="Heading 2 Char"/>
    <w:basedOn w:val="DefaultParagraphFont"/>
    <w:link w:val="Heading2"/>
    <w:uiPriority w:val="9"/>
    <w:rsid w:val="00151505"/>
    <w:rPr>
      <w:rFonts w:ascii="Arial" w:eastAsiaTheme="majorEastAsia" w:hAnsi="Arial" w:cstheme="majorBidi"/>
      <w:b/>
      <w:sz w:val="22"/>
      <w:szCs w:val="32"/>
      <w:lang w:val="en-GB"/>
    </w:rPr>
  </w:style>
  <w:style w:type="character" w:customStyle="1" w:styleId="Heading3Char">
    <w:name w:val="Heading 3 Char"/>
    <w:basedOn w:val="DefaultParagraphFont"/>
    <w:link w:val="Heading3"/>
    <w:uiPriority w:val="9"/>
    <w:rsid w:val="00151505"/>
    <w:rPr>
      <w:rFonts w:ascii="Arial" w:eastAsiaTheme="majorEastAsia" w:hAnsi="Arial" w:cstheme="majorBidi"/>
      <w:sz w:val="22"/>
      <w:szCs w:val="28"/>
      <w:lang w:val="en-GB"/>
    </w:rPr>
  </w:style>
  <w:style w:type="character" w:customStyle="1" w:styleId="Heading4Char">
    <w:name w:val="Heading 4 Char"/>
    <w:basedOn w:val="DefaultParagraphFont"/>
    <w:link w:val="Heading4"/>
    <w:uiPriority w:val="9"/>
    <w:semiHidden/>
    <w:rsid w:val="0015150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5150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5150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5150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5150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5150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51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50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51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50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51505"/>
    <w:pPr>
      <w:spacing w:before="160"/>
      <w:jc w:val="center"/>
    </w:pPr>
    <w:rPr>
      <w:i/>
      <w:iCs/>
      <w:color w:val="404040" w:themeColor="text1" w:themeTint="BF"/>
    </w:rPr>
  </w:style>
  <w:style w:type="character" w:customStyle="1" w:styleId="QuoteChar">
    <w:name w:val="Quote Char"/>
    <w:basedOn w:val="DefaultParagraphFont"/>
    <w:link w:val="Quote"/>
    <w:uiPriority w:val="29"/>
    <w:rsid w:val="00151505"/>
    <w:rPr>
      <w:i/>
      <w:iCs/>
      <w:color w:val="404040" w:themeColor="text1" w:themeTint="BF"/>
      <w:lang w:val="en-GB"/>
    </w:rPr>
  </w:style>
  <w:style w:type="paragraph" w:styleId="ListParagraph">
    <w:name w:val="List Paragraph"/>
    <w:basedOn w:val="Normal"/>
    <w:uiPriority w:val="34"/>
    <w:qFormat/>
    <w:rsid w:val="00151505"/>
    <w:pPr>
      <w:ind w:left="720"/>
      <w:contextualSpacing/>
    </w:pPr>
  </w:style>
  <w:style w:type="character" w:styleId="IntenseEmphasis">
    <w:name w:val="Intense Emphasis"/>
    <w:basedOn w:val="DefaultParagraphFont"/>
    <w:uiPriority w:val="21"/>
    <w:qFormat/>
    <w:rsid w:val="00151505"/>
    <w:rPr>
      <w:i/>
      <w:iCs/>
      <w:color w:val="2F5496" w:themeColor="accent1" w:themeShade="BF"/>
    </w:rPr>
  </w:style>
  <w:style w:type="paragraph" w:styleId="IntenseQuote">
    <w:name w:val="Intense Quote"/>
    <w:basedOn w:val="Normal"/>
    <w:next w:val="Normal"/>
    <w:link w:val="IntenseQuoteChar"/>
    <w:uiPriority w:val="30"/>
    <w:qFormat/>
    <w:rsid w:val="00151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505"/>
    <w:rPr>
      <w:i/>
      <w:iCs/>
      <w:color w:val="2F5496" w:themeColor="accent1" w:themeShade="BF"/>
      <w:lang w:val="en-GB"/>
    </w:rPr>
  </w:style>
  <w:style w:type="character" w:styleId="IntenseReference">
    <w:name w:val="Intense Reference"/>
    <w:basedOn w:val="DefaultParagraphFont"/>
    <w:uiPriority w:val="32"/>
    <w:qFormat/>
    <w:rsid w:val="00151505"/>
    <w:rPr>
      <w:b/>
      <w:bCs/>
      <w:smallCaps/>
      <w:color w:val="2F5496" w:themeColor="accent1" w:themeShade="BF"/>
      <w:spacing w:val="5"/>
    </w:rPr>
  </w:style>
  <w:style w:type="paragraph" w:styleId="TOCHeading">
    <w:name w:val="TOC Heading"/>
    <w:basedOn w:val="Heading1"/>
    <w:next w:val="Normal"/>
    <w:uiPriority w:val="39"/>
    <w:unhideWhenUsed/>
    <w:qFormat/>
    <w:rsid w:val="00096F38"/>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96F38"/>
    <w:pPr>
      <w:spacing w:after="100"/>
    </w:pPr>
  </w:style>
  <w:style w:type="character" w:styleId="Hyperlink">
    <w:name w:val="Hyperlink"/>
    <w:basedOn w:val="DefaultParagraphFont"/>
    <w:uiPriority w:val="99"/>
    <w:unhideWhenUsed/>
    <w:rsid w:val="00096F38"/>
    <w:rPr>
      <w:color w:val="0563C1" w:themeColor="hyperlink"/>
      <w:u w:val="single"/>
    </w:rPr>
  </w:style>
  <w:style w:type="paragraph" w:styleId="Header">
    <w:name w:val="header"/>
    <w:basedOn w:val="Normal"/>
    <w:link w:val="HeaderChar"/>
    <w:uiPriority w:val="99"/>
    <w:unhideWhenUsed/>
    <w:rsid w:val="006039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9DD"/>
    <w:rPr>
      <w:rFonts w:ascii="Arial" w:hAnsi="Arial"/>
      <w:sz w:val="22"/>
      <w:lang w:val="en-GB"/>
    </w:rPr>
  </w:style>
  <w:style w:type="paragraph" w:styleId="Footer">
    <w:name w:val="footer"/>
    <w:basedOn w:val="Normal"/>
    <w:link w:val="FooterChar"/>
    <w:uiPriority w:val="99"/>
    <w:unhideWhenUsed/>
    <w:rsid w:val="006039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9DD"/>
    <w:rPr>
      <w:rFonts w:ascii="Arial" w:hAnsi="Arial"/>
      <w:sz w:val="22"/>
      <w:lang w:val="en-GB"/>
    </w:rPr>
  </w:style>
  <w:style w:type="character" w:customStyle="1" w:styleId="UnresolvedMention">
    <w:name w:val="Unresolved Mention"/>
    <w:basedOn w:val="DefaultParagraphFont"/>
    <w:uiPriority w:val="99"/>
    <w:semiHidden/>
    <w:unhideWhenUsed/>
    <w:rsid w:val="003B519F"/>
    <w:rPr>
      <w:color w:val="605E5C"/>
      <w:shd w:val="clear" w:color="auto" w:fill="E1DFDD"/>
    </w:rPr>
  </w:style>
  <w:style w:type="paragraph" w:styleId="NormalWeb">
    <w:name w:val="Normal (Web)"/>
    <w:basedOn w:val="Normal"/>
    <w:uiPriority w:val="99"/>
    <w:semiHidden/>
    <w:unhideWhenUsed/>
    <w:rsid w:val="00964327"/>
    <w:pPr>
      <w:spacing w:before="100" w:beforeAutospacing="1" w:after="100" w:afterAutospacing="1" w:line="240" w:lineRule="auto"/>
      <w:jc w:val="left"/>
    </w:pPr>
    <w:rPr>
      <w:rFonts w:ascii="Times New Roman" w:eastAsia="Times New Roman" w:hAnsi="Times New Roman" w:cs="Times New Roman"/>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2667278222000256" TargetMode="External"/><Relationship Id="rId18" Type="http://schemas.openxmlformats.org/officeDocument/2006/relationships/hyperlink" Target="https://www.nature.com/articles/s41598-023-47746-w.pdf" TargetMode="External"/><Relationship Id="rId26" Type="http://schemas.openxmlformats.org/officeDocument/2006/relationships/hyperlink" Target="https://link.springer.com/content/pdf/10.1007/s10389-021-01653-4.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dpi.com/2071-1050/17/11/5063" TargetMode="External"/><Relationship Id="rId34" Type="http://schemas.openxmlformats.org/officeDocument/2006/relationships/hyperlink" Target="https://link.springer.com/content/pdf/10.1007/s43621-021-00051-w.pdf" TargetMode="External"/><Relationship Id="rId7" Type="http://schemas.openxmlformats.org/officeDocument/2006/relationships/endnotes" Target="endnotes.xml"/><Relationship Id="rId12" Type="http://schemas.openxmlformats.org/officeDocument/2006/relationships/hyperlink" Target="https://www.nature.com/articles/s41599-024-03175-2.pdf" TargetMode="External"/><Relationship Id="rId17" Type="http://schemas.openxmlformats.org/officeDocument/2006/relationships/hyperlink" Target="https://repository.unescap.org/bitstream/handle/20.500.12870/4621/ESCAP-2019-PB-SDG13-goal-profile.pdf?sequence=1&amp;isAllowed=y" TargetMode="External"/><Relationship Id="rId25" Type="http://schemas.openxmlformats.org/officeDocument/2006/relationships/hyperlink" Target="https://link.springer.com/content/pdf/10.1186/s12961-020-00644-3.pdf" TargetMode="External"/><Relationship Id="rId33" Type="http://schemas.openxmlformats.org/officeDocument/2006/relationships/hyperlink" Target="https://link.springer.com/content/pdf/10.1007/s40121-022-00647-3.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cademic.oup.com/eurpub/article-pdf/30/Supplement_1/i10/33202739/ckaa027.pdf" TargetMode="External"/><Relationship Id="rId20" Type="http://schemas.openxmlformats.org/officeDocument/2006/relationships/hyperlink" Target="https://scholar.google.com/scholar?output=instlink&amp;q=info:vnjWTV7rySIJ:scholar.google.com/&amp;hl=en&amp;as_sdt=0,5&amp;as_ylo=2019&amp;as_yhi=2025&amp;scillfp=5429220541212268687&amp;oi=lle" TargetMode="External"/><Relationship Id="rId29" Type="http://schemas.openxmlformats.org/officeDocument/2006/relationships/hyperlink" Target="https://healthwatchgreenwich.co.uk/sites/healthwatchgreenwich.co.uk/files/Ethnic-Health-Inequalities-Kings-Fund-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07/s42398-019-00092-y.pdf" TargetMode="External"/><Relationship Id="rId24" Type="http://schemas.openxmlformats.org/officeDocument/2006/relationships/hyperlink" Target="https://link.springer.com/content/pdf/10.1007/s11625-020-00789-8.pdf" TargetMode="External"/><Relationship Id="rId32" Type="http://schemas.openxmlformats.org/officeDocument/2006/relationships/hyperlink" Target="https://scholar.google.com/scholar?output=instlink&amp;q=info:XSYpFtDz8qMJ:scholar.google.com/&amp;hl=en&amp;as_sdt=0,5&amp;as_ylo=2019&amp;as_yhi=2025&amp;scillfp=11062780020017556932&amp;oi=lle" TargetMode="External"/><Relationship Id="rId37" Type="http://schemas.openxmlformats.org/officeDocument/2006/relationships/hyperlink" Target="https://journals.sagepub.com/doi/pdf/10.1177/2755193824128017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levateni.org/app/uploads/2022/03/Dalgren-Whitehead-model-of-health-determinants-30-years-on-and-still-chasing-rainbows.pdf" TargetMode="External"/><Relationship Id="rId23" Type="http://schemas.openxmlformats.org/officeDocument/2006/relationships/hyperlink" Target="https://journals.sagepub.com/doi/pdf/10.4081/jphr.2021.2051" TargetMode="External"/><Relationship Id="rId28" Type="http://schemas.openxmlformats.org/officeDocument/2006/relationships/hyperlink" Target="https://www.nature.com/articles/s41467-023-39797-4.pdf" TargetMode="External"/><Relationship Id="rId36" Type="http://schemas.openxmlformats.org/officeDocument/2006/relationships/hyperlink" Target="https://researchportal.bath.ac.uk/files/312465810/Whitmee_et_al_Pathfinder_Commission_Report_Accepted_Manuscript.pdf" TargetMode="External"/><Relationship Id="rId10" Type="http://schemas.openxmlformats.org/officeDocument/2006/relationships/hyperlink" Target="https://pmc.ncbi.nlm.nih.gov/articles/PMC11738619/" TargetMode="External"/><Relationship Id="rId19" Type="http://schemas.openxmlformats.org/officeDocument/2006/relationships/hyperlink" Target="https://orca.cardiff.ac.uk/id/eprint/140313/1/Hick_Austerity%2C%20localism%20and%20the%20possibility%20of%20politics.pdf" TargetMode="External"/><Relationship Id="rId31" Type="http://schemas.openxmlformats.org/officeDocument/2006/relationships/hyperlink" Target="https://www.researchgate.net/profile/Amiya-Sahoo-9/publication/356146728_Philosophy_of_sustainable_development_understanding_public_health/links/6352c5ce6e0d367d91b2920e/Philosophy-of-sustainable-development-understanding-public-health.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researchgate.net/profile/David-Buck-8/publication/352120549_The_English_local_government_public_health_reforms_An_independent_assessment/links/60b9eab2a6fdcc22ead4786d/The-English-local-government-public-health-reforms-An-independent-assessment.pdf" TargetMode="External"/><Relationship Id="rId22" Type="http://schemas.openxmlformats.org/officeDocument/2006/relationships/hyperlink" Target="https://www.frontiersin.org/journals/public-health/articles/10.3389/fpubh.2024.1373530/pdf" TargetMode="External"/><Relationship Id="rId27" Type="http://schemas.openxmlformats.org/officeDocument/2006/relationships/hyperlink" Target="https://www.mdpi.com/2076-0760/9/6/109" TargetMode="External"/><Relationship Id="rId30" Type="http://schemas.openxmlformats.org/officeDocument/2006/relationships/hyperlink" Target="https://bmjopen.bmj.com/content/bmjopen/14/7/e084208.full.pdf" TargetMode="External"/><Relationship Id="rId35" Type="http://schemas.openxmlformats.org/officeDocument/2006/relationships/hyperlink" Target="https://pmc.ncbi.nlm.nih.gov/articles/PMC9334993/pdf/ma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F637C-005A-453E-88FD-A77F90494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4711</Words>
  <Characters>26859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Sindatche Bigna</dc:creator>
  <cp:keywords/>
  <dc:description/>
  <cp:lastModifiedBy>Sindatche D. B. Baldé</cp:lastModifiedBy>
  <cp:revision>2</cp:revision>
  <dcterms:created xsi:type="dcterms:W3CDTF">2025-12-10T19:37:00Z</dcterms:created>
  <dcterms:modified xsi:type="dcterms:W3CDTF">2025-12-10T19:37:00Z</dcterms:modified>
</cp:coreProperties>
</file>