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0D1821" w14:textId="4FF2C1DF" w:rsidR="00663C08" w:rsidRPr="00D729CF" w:rsidRDefault="004B5590" w:rsidP="000F3083">
      <w:pPr>
        <w:pStyle w:val="p1"/>
        <w:spacing w:line="360" w:lineRule="auto"/>
        <w:rPr>
          <w:rStyle w:val="s1"/>
          <w:rFonts w:ascii="Arial" w:hAnsi="Arial" w:cs="Arial"/>
          <w:sz w:val="22"/>
          <w:szCs w:val="22"/>
        </w:rPr>
      </w:pPr>
      <w:r w:rsidRPr="00D729CF">
        <w:rPr>
          <w:rStyle w:val="s1"/>
          <w:rFonts w:ascii="Arial" w:hAnsi="Arial" w:cs="Arial"/>
          <w:sz w:val="22"/>
          <w:szCs w:val="22"/>
        </w:rPr>
        <w:t>Student Name: Nuha Kassim</w:t>
      </w:r>
    </w:p>
    <w:p w14:paraId="5572C225" w14:textId="6022A794" w:rsidR="004B5590" w:rsidRPr="00D729CF" w:rsidRDefault="004B5590" w:rsidP="000F3083">
      <w:pPr>
        <w:pStyle w:val="p1"/>
        <w:spacing w:line="360" w:lineRule="auto"/>
        <w:rPr>
          <w:rStyle w:val="s1"/>
          <w:rFonts w:ascii="Arial" w:hAnsi="Arial" w:cs="Arial"/>
          <w:sz w:val="22"/>
          <w:szCs w:val="22"/>
        </w:rPr>
      </w:pPr>
      <w:r w:rsidRPr="00D729CF">
        <w:rPr>
          <w:rStyle w:val="s1"/>
          <w:rFonts w:ascii="Arial" w:hAnsi="Arial" w:cs="Arial"/>
          <w:sz w:val="22"/>
          <w:szCs w:val="22"/>
        </w:rPr>
        <w:t>Student ID number: 2414478</w:t>
      </w:r>
    </w:p>
    <w:p w14:paraId="1FA6E06B" w14:textId="416EFE15" w:rsidR="004B5590" w:rsidRPr="00D729CF" w:rsidRDefault="00D756D1" w:rsidP="000F3083">
      <w:pPr>
        <w:pStyle w:val="p1"/>
        <w:spacing w:line="360" w:lineRule="auto"/>
        <w:rPr>
          <w:rStyle w:val="s1"/>
          <w:rFonts w:ascii="Arial" w:hAnsi="Arial" w:cs="Arial"/>
          <w:sz w:val="22"/>
          <w:szCs w:val="22"/>
        </w:rPr>
      </w:pPr>
      <w:r w:rsidRPr="00D729CF">
        <w:rPr>
          <w:rStyle w:val="s1"/>
          <w:rFonts w:ascii="Arial" w:hAnsi="Arial" w:cs="Arial"/>
          <w:sz w:val="22"/>
          <w:szCs w:val="22"/>
        </w:rPr>
        <w:t>Module code: LCH</w:t>
      </w:r>
      <w:r w:rsidR="00B56D91" w:rsidRPr="00D729CF">
        <w:rPr>
          <w:rStyle w:val="s1"/>
          <w:rFonts w:ascii="Arial" w:hAnsi="Arial" w:cs="Arial"/>
          <w:sz w:val="22"/>
          <w:szCs w:val="22"/>
        </w:rPr>
        <w:t>S</w:t>
      </w:r>
      <w:r w:rsidR="0063193C" w:rsidRPr="00D729CF">
        <w:rPr>
          <w:rStyle w:val="s1"/>
          <w:rFonts w:ascii="Arial" w:hAnsi="Arial" w:cs="Arial"/>
          <w:sz w:val="22"/>
          <w:szCs w:val="22"/>
        </w:rPr>
        <w:t>4010</w:t>
      </w:r>
    </w:p>
    <w:p w14:paraId="2151B6D7" w14:textId="3988750C" w:rsidR="0063193C" w:rsidRDefault="0063193C" w:rsidP="000F3083">
      <w:pPr>
        <w:pStyle w:val="p1"/>
        <w:spacing w:line="360" w:lineRule="auto"/>
        <w:rPr>
          <w:rStyle w:val="s1"/>
          <w:rFonts w:ascii="Arial" w:hAnsi="Arial" w:cs="Arial"/>
          <w:sz w:val="22"/>
          <w:szCs w:val="22"/>
        </w:rPr>
      </w:pPr>
      <w:r w:rsidRPr="00D729CF">
        <w:rPr>
          <w:rStyle w:val="s1"/>
          <w:rFonts w:ascii="Arial" w:hAnsi="Arial" w:cs="Arial"/>
          <w:sz w:val="22"/>
          <w:szCs w:val="22"/>
        </w:rPr>
        <w:t>Module: Psychology in Health and Social Care</w:t>
      </w:r>
    </w:p>
    <w:p w14:paraId="580DC070" w14:textId="670489DD" w:rsidR="00A53715" w:rsidRPr="00D729CF" w:rsidRDefault="00E069B6" w:rsidP="000F3083">
      <w:pPr>
        <w:pStyle w:val="p1"/>
        <w:spacing w:line="360" w:lineRule="auto"/>
        <w:rPr>
          <w:rStyle w:val="s1"/>
          <w:rFonts w:ascii="Arial" w:hAnsi="Arial" w:cs="Arial"/>
          <w:sz w:val="22"/>
          <w:szCs w:val="22"/>
        </w:rPr>
      </w:pPr>
      <w:r>
        <w:rPr>
          <w:rStyle w:val="s1"/>
          <w:rFonts w:ascii="Arial" w:hAnsi="Arial" w:cs="Arial"/>
          <w:sz w:val="22"/>
          <w:szCs w:val="22"/>
        </w:rPr>
        <w:t>Module lead</w:t>
      </w:r>
      <w:r w:rsidR="00A53715">
        <w:rPr>
          <w:rStyle w:val="s1"/>
          <w:rFonts w:ascii="Arial" w:hAnsi="Arial" w:cs="Arial"/>
          <w:sz w:val="22"/>
          <w:szCs w:val="22"/>
        </w:rPr>
        <w:t>:</w:t>
      </w:r>
      <w:r>
        <w:rPr>
          <w:rStyle w:val="s1"/>
          <w:rFonts w:ascii="Arial" w:hAnsi="Arial" w:cs="Arial"/>
          <w:sz w:val="22"/>
          <w:szCs w:val="22"/>
        </w:rPr>
        <w:t xml:space="preserve"> </w:t>
      </w:r>
      <w:r w:rsidR="00346E51">
        <w:rPr>
          <w:rStyle w:val="s1"/>
          <w:rFonts w:ascii="Arial" w:hAnsi="Arial" w:cs="Arial"/>
          <w:sz w:val="22"/>
          <w:szCs w:val="22"/>
        </w:rPr>
        <w:t>Neale Haddon</w:t>
      </w:r>
      <w:r w:rsidR="00A53715">
        <w:rPr>
          <w:rStyle w:val="s1"/>
          <w:rFonts w:ascii="Arial" w:hAnsi="Arial" w:cs="Arial"/>
          <w:sz w:val="22"/>
          <w:szCs w:val="22"/>
        </w:rPr>
        <w:t xml:space="preserve"> </w:t>
      </w:r>
    </w:p>
    <w:p w14:paraId="54F46FBE" w14:textId="12D4F072" w:rsidR="008543A5" w:rsidRPr="00D729CF" w:rsidRDefault="008543A5" w:rsidP="000F3083">
      <w:pPr>
        <w:pStyle w:val="p1"/>
        <w:spacing w:line="360" w:lineRule="auto"/>
        <w:rPr>
          <w:rStyle w:val="s1"/>
          <w:rFonts w:ascii="Arial" w:hAnsi="Arial" w:cs="Arial"/>
          <w:sz w:val="22"/>
          <w:szCs w:val="22"/>
        </w:rPr>
      </w:pPr>
      <w:r w:rsidRPr="00D729CF">
        <w:rPr>
          <w:rStyle w:val="s1"/>
          <w:rFonts w:ascii="Arial" w:hAnsi="Arial" w:cs="Arial"/>
          <w:sz w:val="22"/>
          <w:szCs w:val="22"/>
        </w:rPr>
        <w:t>Assessment Title: Assessment 2: Bib</w:t>
      </w:r>
      <w:r w:rsidR="003169C4" w:rsidRPr="00D729CF">
        <w:rPr>
          <w:rStyle w:val="s1"/>
          <w:rFonts w:ascii="Arial" w:hAnsi="Arial" w:cs="Arial"/>
          <w:sz w:val="22"/>
          <w:szCs w:val="22"/>
        </w:rPr>
        <w:t>liography and report</w:t>
      </w:r>
    </w:p>
    <w:p w14:paraId="73DD0F9F" w14:textId="2AF32173" w:rsidR="0058785E" w:rsidRPr="00D729CF" w:rsidRDefault="0060088F" w:rsidP="000F3083">
      <w:pPr>
        <w:pStyle w:val="p1"/>
        <w:spacing w:line="360" w:lineRule="auto"/>
        <w:rPr>
          <w:rFonts w:ascii="Arial" w:hAnsi="Arial" w:cs="Arial"/>
          <w:sz w:val="22"/>
          <w:szCs w:val="22"/>
        </w:rPr>
      </w:pPr>
      <w:r w:rsidRPr="00D729CF">
        <w:rPr>
          <w:rStyle w:val="s1"/>
          <w:rFonts w:ascii="Arial" w:hAnsi="Arial" w:cs="Arial"/>
          <w:sz w:val="22"/>
          <w:szCs w:val="22"/>
        </w:rPr>
        <w:t>Submission: Tuesday, 24</w:t>
      </w:r>
      <w:r w:rsidRPr="00D729CF">
        <w:rPr>
          <w:rStyle w:val="s1"/>
          <w:rFonts w:ascii="Arial" w:hAnsi="Arial" w:cs="Arial"/>
          <w:sz w:val="22"/>
          <w:szCs w:val="22"/>
          <w:vertAlign w:val="superscript"/>
        </w:rPr>
        <w:t xml:space="preserve">th </w:t>
      </w:r>
      <w:r w:rsidRPr="00D729CF">
        <w:rPr>
          <w:rStyle w:val="s1"/>
          <w:rFonts w:ascii="Arial" w:hAnsi="Arial" w:cs="Arial"/>
          <w:sz w:val="22"/>
          <w:szCs w:val="22"/>
        </w:rPr>
        <w:t>March 2026, 10AM</w:t>
      </w:r>
    </w:p>
    <w:p w14:paraId="02AD4039" w14:textId="77777777" w:rsidR="0058785E" w:rsidRPr="00D729CF" w:rsidRDefault="0058785E" w:rsidP="000F3083">
      <w:pPr>
        <w:pStyle w:val="p2"/>
        <w:spacing w:line="360" w:lineRule="auto"/>
        <w:rPr>
          <w:rFonts w:ascii="Arial" w:hAnsi="Arial" w:cs="Arial"/>
          <w:sz w:val="22"/>
          <w:szCs w:val="22"/>
        </w:rPr>
      </w:pPr>
    </w:p>
    <w:p w14:paraId="3EB7DF84" w14:textId="0F7A8E21" w:rsidR="00346E51" w:rsidRPr="00D729CF" w:rsidRDefault="00346E51" w:rsidP="000F3083">
      <w:pPr>
        <w:spacing w:line="360" w:lineRule="auto"/>
        <w:rPr>
          <w:rFonts w:ascii="Arial" w:hAnsi="Arial" w:cs="Arial"/>
          <w:sz w:val="22"/>
          <w:szCs w:val="22"/>
        </w:rPr>
      </w:pPr>
      <w:r>
        <w:rPr>
          <w:rFonts w:ascii="Arial" w:hAnsi="Arial" w:cs="Arial"/>
          <w:sz w:val="22"/>
          <w:szCs w:val="22"/>
        </w:rPr>
        <w:t xml:space="preserve">Part </w:t>
      </w:r>
      <w:r w:rsidR="0057741C">
        <w:rPr>
          <w:rFonts w:ascii="Arial" w:hAnsi="Arial" w:cs="Arial"/>
          <w:sz w:val="22"/>
          <w:szCs w:val="22"/>
        </w:rPr>
        <w:t>A: Bibliography</w:t>
      </w:r>
    </w:p>
    <w:p w14:paraId="439C5090" w14:textId="53CB81C7" w:rsidR="00EC5AD7" w:rsidRPr="00D729CF" w:rsidRDefault="004976D8" w:rsidP="000F3083">
      <w:pPr>
        <w:pStyle w:val="p1"/>
        <w:spacing w:line="360" w:lineRule="auto"/>
        <w:rPr>
          <w:rFonts w:ascii="Arial" w:hAnsi="Arial" w:cs="Arial"/>
          <w:sz w:val="22"/>
          <w:szCs w:val="22"/>
        </w:rPr>
      </w:pPr>
      <w:r w:rsidRPr="00D729CF">
        <w:rPr>
          <w:rStyle w:val="s1"/>
          <w:rFonts w:ascii="Arial" w:hAnsi="Arial" w:cs="Arial"/>
          <w:sz w:val="22"/>
          <w:szCs w:val="22"/>
        </w:rPr>
        <w:t xml:space="preserve">Source 1. </w:t>
      </w:r>
      <w:r w:rsidR="00EC5AD7" w:rsidRPr="00D729CF">
        <w:rPr>
          <w:rStyle w:val="s1"/>
          <w:rFonts w:ascii="Arial" w:hAnsi="Arial" w:cs="Arial"/>
          <w:sz w:val="22"/>
          <w:szCs w:val="22"/>
        </w:rPr>
        <w:t>Erikson, E.H. (1982) The Life Cycle Completed. New York: Norton.</w:t>
      </w:r>
    </w:p>
    <w:p w14:paraId="5ECB70D0" w14:textId="77777777" w:rsidR="00EC5AD7" w:rsidRPr="00D729CF" w:rsidRDefault="00EC5AD7" w:rsidP="000F3083">
      <w:pPr>
        <w:pStyle w:val="p2"/>
        <w:spacing w:line="360" w:lineRule="auto"/>
        <w:rPr>
          <w:rFonts w:ascii="Arial" w:hAnsi="Arial" w:cs="Arial"/>
          <w:sz w:val="22"/>
          <w:szCs w:val="22"/>
        </w:rPr>
      </w:pPr>
    </w:p>
    <w:p w14:paraId="3DB3C6DC" w14:textId="77777777" w:rsidR="00EC5AD7" w:rsidRPr="00D729CF" w:rsidRDefault="00EC5AD7" w:rsidP="000F3083">
      <w:pPr>
        <w:pStyle w:val="p1"/>
        <w:spacing w:line="360" w:lineRule="auto"/>
        <w:rPr>
          <w:rFonts w:ascii="Arial" w:hAnsi="Arial" w:cs="Arial"/>
          <w:sz w:val="22"/>
          <w:szCs w:val="22"/>
        </w:rPr>
      </w:pPr>
      <w:r w:rsidRPr="00D729CF">
        <w:rPr>
          <w:rStyle w:val="s1"/>
          <w:rFonts w:ascii="Arial" w:hAnsi="Arial" w:cs="Arial"/>
          <w:sz w:val="22"/>
          <w:szCs w:val="22"/>
        </w:rPr>
        <w:t>Summary:</w:t>
      </w:r>
    </w:p>
    <w:p w14:paraId="34E0C3F5" w14:textId="77777777" w:rsidR="00EC5AD7" w:rsidRPr="00D729CF" w:rsidRDefault="00EC5AD7" w:rsidP="000F3083">
      <w:pPr>
        <w:pStyle w:val="p1"/>
        <w:spacing w:line="360" w:lineRule="auto"/>
        <w:rPr>
          <w:rFonts w:ascii="Arial" w:hAnsi="Arial" w:cs="Arial"/>
          <w:sz w:val="22"/>
          <w:szCs w:val="22"/>
        </w:rPr>
      </w:pPr>
      <w:r w:rsidRPr="00D729CF">
        <w:rPr>
          <w:rStyle w:val="s1"/>
          <w:rFonts w:ascii="Arial" w:hAnsi="Arial" w:cs="Arial"/>
          <w:sz w:val="22"/>
          <w:szCs w:val="22"/>
        </w:rPr>
        <w:t>Erikson’s psychosocial theory of development outlines eight key stages that individuals progress through from infancy to old age, with each stage characterised by a central psychological conflict. In later adulthood, the relevant stage is ego integrity versus despair. At this point, individuals reflect on their lives, assessing their achievements, relationships, and overall sense of meaning. Those who feel satisfied with their life experiences are more likely to develop a sense of integrity, leading to feelings of wisdom, acceptance, and peace. In contrast, individuals who focus on regrets or missed opportunities may experience despair, which can manifest as bitterness, anxiety, or depression.</w:t>
      </w:r>
    </w:p>
    <w:p w14:paraId="2DCA6645" w14:textId="77777777" w:rsidR="00EC5AD7" w:rsidRPr="00D729CF" w:rsidRDefault="00EC5AD7" w:rsidP="000F3083">
      <w:pPr>
        <w:pStyle w:val="p2"/>
        <w:spacing w:line="360" w:lineRule="auto"/>
        <w:rPr>
          <w:rFonts w:ascii="Arial" w:hAnsi="Arial" w:cs="Arial"/>
          <w:sz w:val="22"/>
          <w:szCs w:val="22"/>
        </w:rPr>
      </w:pPr>
    </w:p>
    <w:p w14:paraId="48C23DDB" w14:textId="77777777" w:rsidR="00EC5AD7" w:rsidRPr="00D729CF" w:rsidRDefault="00EC5AD7" w:rsidP="000F3083">
      <w:pPr>
        <w:pStyle w:val="p1"/>
        <w:spacing w:line="360" w:lineRule="auto"/>
        <w:rPr>
          <w:rFonts w:ascii="Arial" w:hAnsi="Arial" w:cs="Arial"/>
          <w:sz w:val="22"/>
          <w:szCs w:val="22"/>
        </w:rPr>
      </w:pPr>
      <w:r w:rsidRPr="00D729CF">
        <w:rPr>
          <w:rStyle w:val="s1"/>
          <w:rFonts w:ascii="Arial" w:hAnsi="Arial" w:cs="Arial"/>
          <w:sz w:val="22"/>
          <w:szCs w:val="22"/>
        </w:rPr>
        <w:t>Critical Comment:</w:t>
      </w:r>
    </w:p>
    <w:p w14:paraId="5ECBDDC3" w14:textId="77777777" w:rsidR="00EC5AD7" w:rsidRPr="00D729CF" w:rsidRDefault="00EC5AD7" w:rsidP="000F3083">
      <w:pPr>
        <w:pStyle w:val="p1"/>
        <w:spacing w:line="360" w:lineRule="auto"/>
        <w:rPr>
          <w:rFonts w:ascii="Arial" w:hAnsi="Arial" w:cs="Arial"/>
          <w:sz w:val="22"/>
          <w:szCs w:val="22"/>
        </w:rPr>
      </w:pPr>
      <w:r w:rsidRPr="00D729CF">
        <w:rPr>
          <w:rStyle w:val="s1"/>
          <w:rFonts w:ascii="Arial" w:hAnsi="Arial" w:cs="Arial"/>
          <w:sz w:val="22"/>
          <w:szCs w:val="22"/>
        </w:rPr>
        <w:t>This theory is highly applicable within health and social care settings, particularly when supporting older adults in residential environments. It highlights the importance of life review and emotional reflection, which can be encouraged through structured interventions such as reminiscence therapy or storytelling activities. These approaches can help individuals reframe negative experiences and focus on achievements, thereby promoting a sense of fulfilment. However, a limitation of Erikson’s theory is that it assumes a linear progression through stages and may not account for the complexity of individual life courses. Additionally, cultural differences in how ageing and life satisfaction are perceived are not fully explored, which may reduce its universal applicability.</w:t>
      </w:r>
    </w:p>
    <w:p w14:paraId="626D3AF0" w14:textId="77777777" w:rsidR="00EC5AD7" w:rsidRPr="00D729CF" w:rsidRDefault="00EC5AD7" w:rsidP="000F3083">
      <w:pPr>
        <w:pStyle w:val="p2"/>
        <w:spacing w:line="360" w:lineRule="auto"/>
        <w:rPr>
          <w:rFonts w:ascii="Arial" w:hAnsi="Arial" w:cs="Arial"/>
          <w:sz w:val="22"/>
          <w:szCs w:val="22"/>
        </w:rPr>
      </w:pPr>
    </w:p>
    <w:p w14:paraId="137AE919" w14:textId="708E5AB6" w:rsidR="00EC5AD7" w:rsidRPr="00D729CF" w:rsidRDefault="004976D8" w:rsidP="000F3083">
      <w:pPr>
        <w:pStyle w:val="p1"/>
        <w:spacing w:line="360" w:lineRule="auto"/>
        <w:rPr>
          <w:rFonts w:ascii="Arial" w:hAnsi="Arial" w:cs="Arial"/>
          <w:sz w:val="22"/>
          <w:szCs w:val="22"/>
        </w:rPr>
      </w:pPr>
      <w:r w:rsidRPr="00D729CF">
        <w:rPr>
          <w:rStyle w:val="s1"/>
          <w:rFonts w:ascii="Arial" w:hAnsi="Arial" w:cs="Arial"/>
          <w:sz w:val="22"/>
          <w:szCs w:val="22"/>
        </w:rPr>
        <w:t xml:space="preserve">Source </w:t>
      </w:r>
      <w:r w:rsidR="00EC5AD7" w:rsidRPr="00D729CF">
        <w:rPr>
          <w:rStyle w:val="s1"/>
          <w:rFonts w:ascii="Arial" w:hAnsi="Arial" w:cs="Arial"/>
          <w:sz w:val="22"/>
          <w:szCs w:val="22"/>
        </w:rPr>
        <w:t>2. Havighurst, R.J. (1961) ‘Successful aging’, The Gerontologist, 1(1), pp. 8–13.</w:t>
      </w:r>
    </w:p>
    <w:p w14:paraId="6D4D2ABD" w14:textId="77777777" w:rsidR="00EC5AD7" w:rsidRPr="00D729CF" w:rsidRDefault="00EC5AD7" w:rsidP="000F3083">
      <w:pPr>
        <w:pStyle w:val="p2"/>
        <w:spacing w:line="360" w:lineRule="auto"/>
        <w:rPr>
          <w:rFonts w:ascii="Arial" w:hAnsi="Arial" w:cs="Arial"/>
          <w:sz w:val="22"/>
          <w:szCs w:val="22"/>
        </w:rPr>
      </w:pPr>
    </w:p>
    <w:p w14:paraId="446D7984" w14:textId="77777777" w:rsidR="00EC5AD7" w:rsidRPr="00D729CF" w:rsidRDefault="00EC5AD7" w:rsidP="000F3083">
      <w:pPr>
        <w:pStyle w:val="p1"/>
        <w:spacing w:line="360" w:lineRule="auto"/>
        <w:rPr>
          <w:rFonts w:ascii="Arial" w:hAnsi="Arial" w:cs="Arial"/>
          <w:sz w:val="22"/>
          <w:szCs w:val="22"/>
        </w:rPr>
      </w:pPr>
      <w:r w:rsidRPr="00D729CF">
        <w:rPr>
          <w:rStyle w:val="s1"/>
          <w:rFonts w:ascii="Arial" w:hAnsi="Arial" w:cs="Arial"/>
          <w:sz w:val="22"/>
          <w:szCs w:val="22"/>
        </w:rPr>
        <w:t>Summary:</w:t>
      </w:r>
    </w:p>
    <w:p w14:paraId="36DB8329" w14:textId="77777777" w:rsidR="00EC5AD7" w:rsidRPr="00D729CF" w:rsidRDefault="00EC5AD7" w:rsidP="000F3083">
      <w:pPr>
        <w:pStyle w:val="p1"/>
        <w:spacing w:line="360" w:lineRule="auto"/>
        <w:rPr>
          <w:rFonts w:ascii="Arial" w:hAnsi="Arial" w:cs="Arial"/>
          <w:sz w:val="22"/>
          <w:szCs w:val="22"/>
        </w:rPr>
      </w:pPr>
      <w:r w:rsidRPr="00D729CF">
        <w:rPr>
          <w:rStyle w:val="s1"/>
          <w:rFonts w:ascii="Arial" w:hAnsi="Arial" w:cs="Arial"/>
          <w:sz w:val="22"/>
          <w:szCs w:val="22"/>
        </w:rPr>
        <w:lastRenderedPageBreak/>
        <w:t>Havighurst’s Activity Theory suggests that successful ageing is achieved when older adults remain physically, socially, and mentally active. The theory proposes that maintaining roles, relationships, and daily routines contributes significantly to overall life satisfaction. Rather than withdrawing from society, individuals are encouraged to replace lost roles (such as employment) with new forms of engagement, including hobbies, volunteering, or social participation. This continued involvement supports both emotional wellbeing and a sense of identity.</w:t>
      </w:r>
    </w:p>
    <w:p w14:paraId="1E439D4E" w14:textId="77777777" w:rsidR="00EC5AD7" w:rsidRPr="00D729CF" w:rsidRDefault="00EC5AD7" w:rsidP="000F3083">
      <w:pPr>
        <w:pStyle w:val="p2"/>
        <w:spacing w:line="360" w:lineRule="auto"/>
        <w:rPr>
          <w:rFonts w:ascii="Arial" w:hAnsi="Arial" w:cs="Arial"/>
          <w:sz w:val="22"/>
          <w:szCs w:val="22"/>
        </w:rPr>
      </w:pPr>
    </w:p>
    <w:p w14:paraId="22F671E9" w14:textId="77777777" w:rsidR="00EC5AD7" w:rsidRPr="00D729CF" w:rsidRDefault="00EC5AD7" w:rsidP="000F3083">
      <w:pPr>
        <w:pStyle w:val="p1"/>
        <w:spacing w:line="360" w:lineRule="auto"/>
        <w:rPr>
          <w:rFonts w:ascii="Arial" w:hAnsi="Arial" w:cs="Arial"/>
          <w:sz w:val="22"/>
          <w:szCs w:val="22"/>
        </w:rPr>
      </w:pPr>
      <w:r w:rsidRPr="00D729CF">
        <w:rPr>
          <w:rStyle w:val="s1"/>
          <w:rFonts w:ascii="Arial" w:hAnsi="Arial" w:cs="Arial"/>
          <w:sz w:val="22"/>
          <w:szCs w:val="22"/>
        </w:rPr>
        <w:t>Critical Comment:</w:t>
      </w:r>
    </w:p>
    <w:p w14:paraId="4DAF8055" w14:textId="5AF2F9E1" w:rsidR="00270823" w:rsidRPr="00D729CF" w:rsidRDefault="00EC5AD7" w:rsidP="000F3083">
      <w:pPr>
        <w:pStyle w:val="p1"/>
        <w:spacing w:line="360" w:lineRule="auto"/>
        <w:rPr>
          <w:rFonts w:ascii="Arial" w:hAnsi="Arial" w:cs="Arial"/>
          <w:sz w:val="22"/>
          <w:szCs w:val="22"/>
        </w:rPr>
      </w:pPr>
      <w:r w:rsidRPr="00D729CF">
        <w:rPr>
          <w:rStyle w:val="s1"/>
          <w:rFonts w:ascii="Arial" w:hAnsi="Arial" w:cs="Arial"/>
          <w:sz w:val="22"/>
          <w:szCs w:val="22"/>
        </w:rPr>
        <w:t>Activity Theory is particularly valuable in guiding practice within residential care settings, as it provides a clear rationale for promoting engagement through organised activities and social opportunities. Care professionals can use this approach to design programmes that encourage interaction, creativity, and participation, which can reduce loneliness and improve mental health outcomes. However, the theory has limitations, as it may place unrealistic expectations on individuals who have significant health conditions or disabilities. Not all older adults are able or willing to remain highly active, and some may prefer quieter, more reflective lifestyles. Therefore, it is important that this theory is applied flexibly and alongside person-centred care principles.</w:t>
      </w:r>
    </w:p>
    <w:p w14:paraId="1604099B" w14:textId="77777777" w:rsidR="00EC5AD7" w:rsidRPr="00D729CF" w:rsidRDefault="00EC5AD7" w:rsidP="000F3083">
      <w:pPr>
        <w:pStyle w:val="p2"/>
        <w:spacing w:line="360" w:lineRule="auto"/>
        <w:rPr>
          <w:rFonts w:ascii="Arial" w:hAnsi="Arial" w:cs="Arial"/>
          <w:sz w:val="22"/>
          <w:szCs w:val="22"/>
        </w:rPr>
      </w:pPr>
    </w:p>
    <w:p w14:paraId="33F13735" w14:textId="2D5035FA" w:rsidR="00EC5AD7" w:rsidRPr="00D729CF" w:rsidRDefault="004976D8" w:rsidP="000F3083">
      <w:pPr>
        <w:pStyle w:val="p1"/>
        <w:spacing w:line="360" w:lineRule="auto"/>
        <w:rPr>
          <w:rFonts w:ascii="Arial" w:hAnsi="Arial" w:cs="Arial"/>
          <w:sz w:val="22"/>
          <w:szCs w:val="22"/>
        </w:rPr>
      </w:pPr>
      <w:r w:rsidRPr="00D729CF">
        <w:rPr>
          <w:rStyle w:val="s1"/>
          <w:rFonts w:ascii="Arial" w:hAnsi="Arial" w:cs="Arial"/>
          <w:sz w:val="22"/>
          <w:szCs w:val="22"/>
        </w:rPr>
        <w:t xml:space="preserve">Source </w:t>
      </w:r>
      <w:r w:rsidR="00EC5AD7" w:rsidRPr="00D729CF">
        <w:rPr>
          <w:rStyle w:val="s1"/>
          <w:rFonts w:ascii="Arial" w:hAnsi="Arial" w:cs="Arial"/>
          <w:sz w:val="22"/>
          <w:szCs w:val="22"/>
        </w:rPr>
        <w:t>3. Bowlby, J. (1988) A Secure Base: Parent-Child Attachment and Healthy Human Development. London: Routledge.</w:t>
      </w:r>
    </w:p>
    <w:p w14:paraId="47DFB310" w14:textId="77777777" w:rsidR="00EC5AD7" w:rsidRPr="00D729CF" w:rsidRDefault="00EC5AD7" w:rsidP="000F3083">
      <w:pPr>
        <w:pStyle w:val="p2"/>
        <w:spacing w:line="360" w:lineRule="auto"/>
        <w:rPr>
          <w:rFonts w:ascii="Arial" w:hAnsi="Arial" w:cs="Arial"/>
          <w:sz w:val="22"/>
          <w:szCs w:val="22"/>
        </w:rPr>
      </w:pPr>
    </w:p>
    <w:p w14:paraId="6BE5393D" w14:textId="77777777" w:rsidR="00EC5AD7" w:rsidRPr="00D729CF" w:rsidRDefault="00EC5AD7" w:rsidP="000F3083">
      <w:pPr>
        <w:pStyle w:val="p1"/>
        <w:spacing w:line="360" w:lineRule="auto"/>
        <w:rPr>
          <w:rFonts w:ascii="Arial" w:hAnsi="Arial" w:cs="Arial"/>
          <w:sz w:val="22"/>
          <w:szCs w:val="22"/>
        </w:rPr>
      </w:pPr>
      <w:r w:rsidRPr="00D729CF">
        <w:rPr>
          <w:rStyle w:val="s1"/>
          <w:rFonts w:ascii="Arial" w:hAnsi="Arial" w:cs="Arial"/>
          <w:sz w:val="22"/>
          <w:szCs w:val="22"/>
        </w:rPr>
        <w:t>Summary:</w:t>
      </w:r>
    </w:p>
    <w:p w14:paraId="53D1BD7D" w14:textId="77777777" w:rsidR="00EC5AD7" w:rsidRPr="00D729CF" w:rsidRDefault="00EC5AD7" w:rsidP="000F3083">
      <w:pPr>
        <w:pStyle w:val="p1"/>
        <w:spacing w:line="360" w:lineRule="auto"/>
        <w:rPr>
          <w:rFonts w:ascii="Arial" w:hAnsi="Arial" w:cs="Arial"/>
          <w:sz w:val="22"/>
          <w:szCs w:val="22"/>
        </w:rPr>
      </w:pPr>
      <w:r w:rsidRPr="00D729CF">
        <w:rPr>
          <w:rStyle w:val="s1"/>
          <w:rFonts w:ascii="Arial" w:hAnsi="Arial" w:cs="Arial"/>
          <w:sz w:val="22"/>
          <w:szCs w:val="22"/>
        </w:rPr>
        <w:t>Bowlby’s attachment theory focuses on the importance of early emotional bonds between individuals and their caregivers, suggesting that these relationships influence behaviour and emotional responses throughout life. Although the theory was initially developed in the context of childhood, it remains relevant in later adulthood, particularly during periods of vulnerability such as illness, loss, or relocation into care settings. Older adults may seek comfort, reassurance, and stability, reflecting a continued need for secure attachments.</w:t>
      </w:r>
    </w:p>
    <w:p w14:paraId="305F46A4" w14:textId="77777777" w:rsidR="00EC5AD7" w:rsidRPr="00D729CF" w:rsidRDefault="00EC5AD7" w:rsidP="000F3083">
      <w:pPr>
        <w:pStyle w:val="p2"/>
        <w:spacing w:line="360" w:lineRule="auto"/>
        <w:rPr>
          <w:rFonts w:ascii="Arial" w:hAnsi="Arial" w:cs="Arial"/>
          <w:sz w:val="22"/>
          <w:szCs w:val="22"/>
        </w:rPr>
      </w:pPr>
    </w:p>
    <w:p w14:paraId="5225E070" w14:textId="77777777" w:rsidR="00EC5AD7" w:rsidRPr="00D729CF" w:rsidRDefault="00EC5AD7" w:rsidP="000F3083">
      <w:pPr>
        <w:pStyle w:val="p1"/>
        <w:spacing w:line="360" w:lineRule="auto"/>
        <w:rPr>
          <w:rFonts w:ascii="Arial" w:hAnsi="Arial" w:cs="Arial"/>
          <w:sz w:val="22"/>
          <w:szCs w:val="22"/>
        </w:rPr>
      </w:pPr>
      <w:r w:rsidRPr="00D729CF">
        <w:rPr>
          <w:rStyle w:val="s1"/>
          <w:rFonts w:ascii="Arial" w:hAnsi="Arial" w:cs="Arial"/>
          <w:sz w:val="22"/>
          <w:szCs w:val="22"/>
        </w:rPr>
        <w:t>Critical Comment:</w:t>
      </w:r>
    </w:p>
    <w:p w14:paraId="7A16806E" w14:textId="5FC76C20" w:rsidR="00270823" w:rsidRPr="00D729CF" w:rsidRDefault="00EC5AD7" w:rsidP="000F3083">
      <w:pPr>
        <w:pStyle w:val="p1"/>
        <w:spacing w:line="360" w:lineRule="auto"/>
        <w:rPr>
          <w:rFonts w:ascii="Arial" w:hAnsi="Arial" w:cs="Arial"/>
          <w:sz w:val="22"/>
          <w:szCs w:val="22"/>
        </w:rPr>
      </w:pPr>
      <w:r w:rsidRPr="00D729CF">
        <w:rPr>
          <w:rStyle w:val="s1"/>
          <w:rFonts w:ascii="Arial" w:hAnsi="Arial" w:cs="Arial"/>
          <w:sz w:val="22"/>
          <w:szCs w:val="22"/>
        </w:rPr>
        <w:t xml:space="preserve">In health and social care, attachment theory provides valuable insights into how older adults may respond to changes in their environment, such as moving into residential care. Individuals who experience separation from familiar surroundings or loved ones may feel anxious or distressed, highlighting the importance of building trusting relationships with care staff. Consistency, empathy, and emotional support can help create a sense of security and belonging. However, one limitation of the theory is that it places strong emphasis on early life </w:t>
      </w:r>
      <w:r w:rsidRPr="00D729CF">
        <w:rPr>
          <w:rStyle w:val="s1"/>
          <w:rFonts w:ascii="Arial" w:hAnsi="Arial" w:cs="Arial"/>
          <w:sz w:val="22"/>
          <w:szCs w:val="22"/>
        </w:rPr>
        <w:lastRenderedPageBreak/>
        <w:t>experiences and may not fully consider how attachment styles can change or adapt over time. As a result, it should be used in combination with other theories to provide a more comprehensive understanding of older adults’ needs.</w:t>
      </w:r>
    </w:p>
    <w:p w14:paraId="537CDBDA" w14:textId="77777777" w:rsidR="00EC5AD7" w:rsidRPr="00D729CF" w:rsidRDefault="00EC5AD7" w:rsidP="000F3083">
      <w:pPr>
        <w:pStyle w:val="p2"/>
        <w:spacing w:line="360" w:lineRule="auto"/>
        <w:rPr>
          <w:rFonts w:ascii="Arial" w:hAnsi="Arial" w:cs="Arial"/>
          <w:sz w:val="22"/>
          <w:szCs w:val="22"/>
        </w:rPr>
      </w:pPr>
    </w:p>
    <w:p w14:paraId="780B0DAA" w14:textId="57317A22" w:rsidR="00EC5AD7" w:rsidRPr="00D729CF" w:rsidRDefault="004976D8" w:rsidP="000F3083">
      <w:pPr>
        <w:pStyle w:val="p1"/>
        <w:spacing w:line="360" w:lineRule="auto"/>
        <w:rPr>
          <w:rFonts w:ascii="Arial" w:hAnsi="Arial" w:cs="Arial"/>
          <w:sz w:val="22"/>
          <w:szCs w:val="22"/>
        </w:rPr>
      </w:pPr>
      <w:r w:rsidRPr="00D729CF">
        <w:rPr>
          <w:rStyle w:val="s1"/>
          <w:rFonts w:ascii="Arial" w:hAnsi="Arial" w:cs="Arial"/>
          <w:sz w:val="22"/>
          <w:szCs w:val="22"/>
        </w:rPr>
        <w:t xml:space="preserve">Source </w:t>
      </w:r>
      <w:r w:rsidR="00EC5AD7" w:rsidRPr="00D729CF">
        <w:rPr>
          <w:rStyle w:val="s1"/>
          <w:rFonts w:ascii="Arial" w:hAnsi="Arial" w:cs="Arial"/>
          <w:sz w:val="22"/>
          <w:szCs w:val="22"/>
        </w:rPr>
        <w:t>4. Seligman, M.E.P. (2011) Flourish: A Visionary New Understanding of Happiness and Wellbeing. New York: Free Press.</w:t>
      </w:r>
    </w:p>
    <w:p w14:paraId="5B1819EF" w14:textId="77777777" w:rsidR="00EC5AD7" w:rsidRPr="00D729CF" w:rsidRDefault="00EC5AD7" w:rsidP="000F3083">
      <w:pPr>
        <w:pStyle w:val="p2"/>
        <w:spacing w:line="360" w:lineRule="auto"/>
        <w:rPr>
          <w:rFonts w:ascii="Arial" w:hAnsi="Arial" w:cs="Arial"/>
          <w:sz w:val="22"/>
          <w:szCs w:val="22"/>
        </w:rPr>
      </w:pPr>
    </w:p>
    <w:p w14:paraId="46A7C44F" w14:textId="77777777" w:rsidR="00EC5AD7" w:rsidRPr="00D729CF" w:rsidRDefault="00EC5AD7" w:rsidP="000F3083">
      <w:pPr>
        <w:pStyle w:val="p1"/>
        <w:spacing w:line="360" w:lineRule="auto"/>
        <w:rPr>
          <w:rFonts w:ascii="Arial" w:hAnsi="Arial" w:cs="Arial"/>
          <w:sz w:val="22"/>
          <w:szCs w:val="22"/>
        </w:rPr>
      </w:pPr>
      <w:r w:rsidRPr="00D729CF">
        <w:rPr>
          <w:rStyle w:val="s1"/>
          <w:rFonts w:ascii="Arial" w:hAnsi="Arial" w:cs="Arial"/>
          <w:sz w:val="22"/>
          <w:szCs w:val="22"/>
        </w:rPr>
        <w:t>Summary:</w:t>
      </w:r>
    </w:p>
    <w:p w14:paraId="2D22E66A" w14:textId="77777777" w:rsidR="00EC5AD7" w:rsidRPr="00D729CF" w:rsidRDefault="00EC5AD7" w:rsidP="000F3083">
      <w:pPr>
        <w:pStyle w:val="p1"/>
        <w:spacing w:line="360" w:lineRule="auto"/>
        <w:rPr>
          <w:rFonts w:ascii="Arial" w:hAnsi="Arial" w:cs="Arial"/>
          <w:sz w:val="22"/>
          <w:szCs w:val="22"/>
        </w:rPr>
      </w:pPr>
      <w:r w:rsidRPr="00D729CF">
        <w:rPr>
          <w:rStyle w:val="s1"/>
          <w:rFonts w:ascii="Arial" w:hAnsi="Arial" w:cs="Arial"/>
          <w:sz w:val="22"/>
          <w:szCs w:val="22"/>
        </w:rPr>
        <w:t>Seligman’s theory of positive psychology shifts the focus from treating mental illness to promoting wellbeing and human flourishing. Central to this approach is the PERMA model, which identifies five key elements of wellbeing: positive emotions, engagement, relationships, meaning, and accomplishment. This framework suggests that individuals can improve their quality of life by developing strengths, building positive relationships, and finding purpose, regardless of age or circumstance.</w:t>
      </w:r>
    </w:p>
    <w:p w14:paraId="2EEE3093" w14:textId="77777777" w:rsidR="00EC5AD7" w:rsidRPr="00D729CF" w:rsidRDefault="00EC5AD7" w:rsidP="000F3083">
      <w:pPr>
        <w:pStyle w:val="p2"/>
        <w:spacing w:line="360" w:lineRule="auto"/>
        <w:rPr>
          <w:rFonts w:ascii="Arial" w:hAnsi="Arial" w:cs="Arial"/>
          <w:sz w:val="22"/>
          <w:szCs w:val="22"/>
        </w:rPr>
      </w:pPr>
    </w:p>
    <w:p w14:paraId="02CA367F" w14:textId="77777777" w:rsidR="00EC5AD7" w:rsidRPr="00D729CF" w:rsidRDefault="00EC5AD7" w:rsidP="000F3083">
      <w:pPr>
        <w:pStyle w:val="p1"/>
        <w:spacing w:line="360" w:lineRule="auto"/>
        <w:rPr>
          <w:rFonts w:ascii="Arial" w:hAnsi="Arial" w:cs="Arial"/>
          <w:sz w:val="22"/>
          <w:szCs w:val="22"/>
        </w:rPr>
      </w:pPr>
      <w:r w:rsidRPr="00D729CF">
        <w:rPr>
          <w:rStyle w:val="s1"/>
          <w:rFonts w:ascii="Arial" w:hAnsi="Arial" w:cs="Arial"/>
          <w:sz w:val="22"/>
          <w:szCs w:val="22"/>
        </w:rPr>
        <w:t>Critical Comment:</w:t>
      </w:r>
    </w:p>
    <w:p w14:paraId="2299575E" w14:textId="77777777" w:rsidR="00EC5AD7" w:rsidRPr="00D729CF" w:rsidRDefault="00EC5AD7" w:rsidP="000F3083">
      <w:pPr>
        <w:pStyle w:val="p1"/>
        <w:spacing w:line="360" w:lineRule="auto"/>
        <w:rPr>
          <w:rFonts w:ascii="Arial" w:hAnsi="Arial" w:cs="Arial"/>
          <w:sz w:val="22"/>
          <w:szCs w:val="22"/>
        </w:rPr>
      </w:pPr>
      <w:r w:rsidRPr="00D729CF">
        <w:rPr>
          <w:rStyle w:val="s1"/>
          <w:rFonts w:ascii="Arial" w:hAnsi="Arial" w:cs="Arial"/>
          <w:sz w:val="22"/>
          <w:szCs w:val="22"/>
        </w:rPr>
        <w:t>Positive psychology offers a valuable perspective in health and social care by encouraging a strengths-based approach that focuses on enhancing quality of life rather than simply managing decline. In residential care settings, this can involve promoting social connections, recognising achievements, and supporting meaningful activities. Such approaches can help improve self-esteem and resilience among older adults. However, critics argue that positive psychology may overlook broader structural and environmental factors that influence wellbeing, such as staffing levels, funding limitations, and organisational culture. Therefore, while the theory is useful, it should be applied alongside an awareness of these external influences.</w:t>
      </w:r>
    </w:p>
    <w:p w14:paraId="327EF949" w14:textId="77777777" w:rsidR="00EC5AD7" w:rsidRPr="00D729CF" w:rsidRDefault="00EC5AD7" w:rsidP="000F3083">
      <w:pPr>
        <w:pStyle w:val="p1"/>
        <w:spacing w:line="360" w:lineRule="auto"/>
        <w:rPr>
          <w:rStyle w:val="s1"/>
          <w:rFonts w:ascii="Arial" w:hAnsi="Arial" w:cs="Arial"/>
          <w:sz w:val="22"/>
          <w:szCs w:val="22"/>
        </w:rPr>
      </w:pPr>
    </w:p>
    <w:p w14:paraId="254CFD94" w14:textId="77777777" w:rsidR="00EC5AD7" w:rsidRPr="00D729CF" w:rsidRDefault="00EC5AD7" w:rsidP="000F3083">
      <w:pPr>
        <w:pStyle w:val="p1"/>
        <w:spacing w:line="360" w:lineRule="auto"/>
        <w:rPr>
          <w:rStyle w:val="s1"/>
          <w:rFonts w:ascii="Arial" w:hAnsi="Arial" w:cs="Arial"/>
          <w:sz w:val="22"/>
          <w:szCs w:val="22"/>
        </w:rPr>
      </w:pPr>
    </w:p>
    <w:p w14:paraId="7D5FEB2F" w14:textId="77777777" w:rsidR="00EC5AD7" w:rsidRPr="00D729CF" w:rsidRDefault="00EC5AD7" w:rsidP="000F3083">
      <w:pPr>
        <w:pStyle w:val="p1"/>
        <w:spacing w:line="360" w:lineRule="auto"/>
        <w:rPr>
          <w:rStyle w:val="s1"/>
          <w:rFonts w:ascii="Arial" w:hAnsi="Arial" w:cs="Arial"/>
          <w:sz w:val="22"/>
          <w:szCs w:val="22"/>
        </w:rPr>
      </w:pPr>
    </w:p>
    <w:p w14:paraId="7677A0DB" w14:textId="6C1AFEC4" w:rsidR="00F70EB0" w:rsidRPr="00D729CF" w:rsidRDefault="00E237D5" w:rsidP="000F3083">
      <w:pPr>
        <w:pStyle w:val="p1"/>
        <w:spacing w:line="360" w:lineRule="auto"/>
        <w:rPr>
          <w:rFonts w:ascii="Arial" w:hAnsi="Arial" w:cs="Arial"/>
          <w:sz w:val="22"/>
          <w:szCs w:val="22"/>
        </w:rPr>
      </w:pPr>
      <w:r w:rsidRPr="00D729CF">
        <w:rPr>
          <w:rStyle w:val="s1"/>
          <w:rFonts w:ascii="Arial" w:hAnsi="Arial" w:cs="Arial"/>
          <w:sz w:val="22"/>
          <w:szCs w:val="22"/>
        </w:rPr>
        <w:t>Part B: Short Report</w:t>
      </w:r>
    </w:p>
    <w:p w14:paraId="5128AD6A" w14:textId="77777777" w:rsidR="00E237D5" w:rsidRPr="00D729CF" w:rsidRDefault="00E237D5" w:rsidP="000F3083">
      <w:pPr>
        <w:pStyle w:val="p2"/>
        <w:spacing w:line="360" w:lineRule="auto"/>
        <w:rPr>
          <w:rFonts w:ascii="Arial" w:hAnsi="Arial" w:cs="Arial"/>
          <w:sz w:val="22"/>
          <w:szCs w:val="22"/>
        </w:rPr>
      </w:pPr>
    </w:p>
    <w:p w14:paraId="20919F51" w14:textId="77777777" w:rsidR="00E237D5" w:rsidRPr="00D729CF" w:rsidRDefault="00E237D5" w:rsidP="000F3083">
      <w:pPr>
        <w:pStyle w:val="p1"/>
        <w:spacing w:line="360" w:lineRule="auto"/>
        <w:rPr>
          <w:rFonts w:ascii="Arial" w:hAnsi="Arial" w:cs="Arial"/>
          <w:sz w:val="22"/>
          <w:szCs w:val="22"/>
        </w:rPr>
      </w:pPr>
      <w:r w:rsidRPr="00D729CF">
        <w:rPr>
          <w:rStyle w:val="s1"/>
          <w:rFonts w:ascii="Arial" w:hAnsi="Arial" w:cs="Arial"/>
          <w:sz w:val="22"/>
          <w:szCs w:val="22"/>
        </w:rPr>
        <w:t>Applying Activity Theory to Improve Psychological Wellbeing in Residential Care</w:t>
      </w:r>
    </w:p>
    <w:p w14:paraId="0D9997CF" w14:textId="77777777" w:rsidR="00E237D5" w:rsidRPr="00D729CF" w:rsidRDefault="00E237D5" w:rsidP="000F3083">
      <w:pPr>
        <w:pStyle w:val="p2"/>
        <w:spacing w:line="360" w:lineRule="auto"/>
        <w:rPr>
          <w:rFonts w:ascii="Arial" w:hAnsi="Arial" w:cs="Arial"/>
          <w:sz w:val="22"/>
          <w:szCs w:val="22"/>
        </w:rPr>
      </w:pPr>
    </w:p>
    <w:p w14:paraId="58618836" w14:textId="5A5244EB" w:rsidR="00E237D5" w:rsidRPr="00D729CF" w:rsidRDefault="00E237D5" w:rsidP="000F3083">
      <w:pPr>
        <w:pStyle w:val="p1"/>
        <w:spacing w:line="360" w:lineRule="auto"/>
        <w:rPr>
          <w:rFonts w:ascii="Arial" w:hAnsi="Arial" w:cs="Arial"/>
          <w:sz w:val="22"/>
          <w:szCs w:val="22"/>
        </w:rPr>
      </w:pPr>
      <w:r w:rsidRPr="00D729CF">
        <w:rPr>
          <w:rStyle w:val="s1"/>
          <w:rFonts w:ascii="Arial" w:hAnsi="Arial" w:cs="Arial"/>
          <w:sz w:val="22"/>
          <w:szCs w:val="22"/>
        </w:rPr>
        <w:t xml:space="preserve">Health and social care professionals play an important role in supporting the psychological wellbeing of older adults living in residential care. As individuals age, they may experience significant life changes such as loss of independence, reduced social contact, and declining physical health. These changes can negatively affect emotional wellbeing, often leading to loneliness, low mood, or a reduced sense of purpose. Therefore, it is essential that care </w:t>
      </w:r>
      <w:r w:rsidRPr="00D729CF">
        <w:rPr>
          <w:rStyle w:val="s1"/>
          <w:rFonts w:ascii="Arial" w:hAnsi="Arial" w:cs="Arial"/>
          <w:sz w:val="22"/>
          <w:szCs w:val="22"/>
        </w:rPr>
        <w:lastRenderedPageBreak/>
        <w:t>practices are guided by relevant psychological theories. One useful framework is Activity Theory, which highlights the importance of maintaining engagement and social interaction in later life</w:t>
      </w:r>
      <w:r w:rsidR="00406FEB">
        <w:rPr>
          <w:rStyle w:val="s1"/>
          <w:rFonts w:ascii="Arial" w:hAnsi="Arial" w:cs="Arial"/>
          <w:sz w:val="22"/>
          <w:szCs w:val="22"/>
        </w:rPr>
        <w:t xml:space="preserve"> </w:t>
      </w:r>
      <w:r w:rsidR="00F30DC8">
        <w:rPr>
          <w:rStyle w:val="s1"/>
          <w:rFonts w:ascii="Arial" w:hAnsi="Arial" w:cs="Arial"/>
          <w:sz w:val="22"/>
          <w:szCs w:val="22"/>
        </w:rPr>
        <w:t>(Hav</w:t>
      </w:r>
      <w:r w:rsidR="00EA08D2">
        <w:rPr>
          <w:rStyle w:val="s1"/>
          <w:rFonts w:ascii="Arial" w:hAnsi="Arial" w:cs="Arial"/>
          <w:sz w:val="22"/>
          <w:szCs w:val="22"/>
        </w:rPr>
        <w:t>ighurst, 1961)</w:t>
      </w:r>
      <w:r w:rsidRPr="00D729CF">
        <w:rPr>
          <w:rStyle w:val="s1"/>
          <w:rFonts w:ascii="Arial" w:hAnsi="Arial" w:cs="Arial"/>
          <w:sz w:val="22"/>
          <w:szCs w:val="22"/>
        </w:rPr>
        <w:t>.</w:t>
      </w:r>
    </w:p>
    <w:p w14:paraId="30B3594F" w14:textId="77777777" w:rsidR="00E237D5" w:rsidRPr="00D729CF" w:rsidRDefault="00E237D5" w:rsidP="000F3083">
      <w:pPr>
        <w:pStyle w:val="p2"/>
        <w:spacing w:line="360" w:lineRule="auto"/>
        <w:rPr>
          <w:rFonts w:ascii="Arial" w:hAnsi="Arial" w:cs="Arial"/>
          <w:sz w:val="22"/>
          <w:szCs w:val="22"/>
        </w:rPr>
      </w:pPr>
    </w:p>
    <w:p w14:paraId="6B75EF6F" w14:textId="77777777" w:rsidR="00E237D5" w:rsidRPr="00D729CF" w:rsidRDefault="00E237D5" w:rsidP="000F3083">
      <w:pPr>
        <w:pStyle w:val="p1"/>
        <w:spacing w:line="360" w:lineRule="auto"/>
        <w:rPr>
          <w:rFonts w:ascii="Arial" w:hAnsi="Arial" w:cs="Arial"/>
          <w:sz w:val="22"/>
          <w:szCs w:val="22"/>
        </w:rPr>
      </w:pPr>
      <w:r w:rsidRPr="00D729CF">
        <w:rPr>
          <w:rStyle w:val="s1"/>
          <w:rFonts w:ascii="Arial" w:hAnsi="Arial" w:cs="Arial"/>
          <w:sz w:val="22"/>
          <w:szCs w:val="22"/>
        </w:rPr>
        <w:t>Activity Theory suggests that older adults are more likely to experience life satisfaction when they remain actively involved in meaningful activities and social relationships. Rather than withdrawing from society, individuals are encouraged to continue participating in activities that provide purpose and enjoyment. In residential care settings, this theory can be applied by creating opportunities for both group and individual engagement. For example, care homes may offer activities such as arts and crafts, music sessions, light exercise, and social events. These activities provide mental stimulation and encourage interaction between residents, helping to reduce feelings of isolation.</w:t>
      </w:r>
    </w:p>
    <w:p w14:paraId="266F56F5" w14:textId="77777777" w:rsidR="00E237D5" w:rsidRPr="00D729CF" w:rsidRDefault="00E237D5" w:rsidP="000F3083">
      <w:pPr>
        <w:pStyle w:val="p2"/>
        <w:spacing w:line="360" w:lineRule="auto"/>
        <w:rPr>
          <w:rFonts w:ascii="Arial" w:hAnsi="Arial" w:cs="Arial"/>
          <w:sz w:val="22"/>
          <w:szCs w:val="22"/>
        </w:rPr>
      </w:pPr>
    </w:p>
    <w:p w14:paraId="1867C28F" w14:textId="23191FF9" w:rsidR="00E237D5" w:rsidRPr="00D729CF" w:rsidRDefault="00E237D5" w:rsidP="000F3083">
      <w:pPr>
        <w:pStyle w:val="p1"/>
        <w:spacing w:line="360" w:lineRule="auto"/>
        <w:rPr>
          <w:rFonts w:ascii="Arial" w:hAnsi="Arial" w:cs="Arial"/>
          <w:sz w:val="22"/>
          <w:szCs w:val="22"/>
        </w:rPr>
      </w:pPr>
      <w:r w:rsidRPr="00D729CF">
        <w:rPr>
          <w:rStyle w:val="s1"/>
          <w:rFonts w:ascii="Arial" w:hAnsi="Arial" w:cs="Arial"/>
          <w:sz w:val="22"/>
          <w:szCs w:val="22"/>
        </w:rPr>
        <w:t>In addition to group activities, it is important to take a person-centred approach</w:t>
      </w:r>
      <w:r w:rsidR="00C41715">
        <w:rPr>
          <w:rStyle w:val="s1"/>
          <w:rFonts w:ascii="Arial" w:hAnsi="Arial" w:cs="Arial"/>
          <w:sz w:val="22"/>
          <w:szCs w:val="22"/>
        </w:rPr>
        <w:t xml:space="preserve"> </w:t>
      </w:r>
      <w:r w:rsidR="00F84135">
        <w:rPr>
          <w:rStyle w:val="s1"/>
          <w:rFonts w:ascii="Arial" w:hAnsi="Arial" w:cs="Arial"/>
          <w:sz w:val="22"/>
          <w:szCs w:val="22"/>
        </w:rPr>
        <w:t>(Kitwood</w:t>
      </w:r>
      <w:r w:rsidR="002924AC">
        <w:rPr>
          <w:rStyle w:val="s1"/>
          <w:rFonts w:ascii="Arial" w:hAnsi="Arial" w:cs="Arial"/>
          <w:sz w:val="22"/>
          <w:szCs w:val="22"/>
        </w:rPr>
        <w:t>, 1997</w:t>
      </w:r>
      <w:r w:rsidR="00F84135">
        <w:rPr>
          <w:rStyle w:val="s1"/>
          <w:rFonts w:ascii="Arial" w:hAnsi="Arial" w:cs="Arial"/>
          <w:sz w:val="22"/>
          <w:szCs w:val="22"/>
        </w:rPr>
        <w:t>)</w:t>
      </w:r>
      <w:r w:rsidRPr="00D729CF">
        <w:rPr>
          <w:rStyle w:val="s1"/>
          <w:rFonts w:ascii="Arial" w:hAnsi="Arial" w:cs="Arial"/>
          <w:sz w:val="22"/>
          <w:szCs w:val="22"/>
        </w:rPr>
        <w:t>. This involves considering each resident’s individual preferences, life experiences, and abilities when planning activities. Personalised activities are more meaningful and are more likely to encourage participation. For instance, a resident who previously enjoyed gardening may benefit from helping to care for plants, while someone interested in music may enjoy listening sessions or group singing. Supporting individuals to engage in familiar activities helps maintain their sense of identity and can improve emotional wellbeing</w:t>
      </w:r>
      <w:r w:rsidR="00C41715">
        <w:rPr>
          <w:rStyle w:val="s1"/>
          <w:rFonts w:ascii="Arial" w:hAnsi="Arial" w:cs="Arial"/>
          <w:sz w:val="22"/>
          <w:szCs w:val="22"/>
        </w:rPr>
        <w:t xml:space="preserve"> </w:t>
      </w:r>
      <w:r w:rsidR="00E31747">
        <w:rPr>
          <w:rStyle w:val="s1"/>
          <w:rFonts w:ascii="Arial" w:hAnsi="Arial" w:cs="Arial"/>
          <w:sz w:val="22"/>
          <w:szCs w:val="22"/>
        </w:rPr>
        <w:t>(</w:t>
      </w:r>
      <w:r w:rsidR="00A63A1E">
        <w:rPr>
          <w:rStyle w:val="s1"/>
          <w:rFonts w:ascii="Arial" w:hAnsi="Arial" w:cs="Arial"/>
          <w:sz w:val="22"/>
          <w:szCs w:val="22"/>
        </w:rPr>
        <w:t>Seligman, 2011)</w:t>
      </w:r>
      <w:r w:rsidRPr="00D729CF">
        <w:rPr>
          <w:rStyle w:val="s1"/>
          <w:rFonts w:ascii="Arial" w:hAnsi="Arial" w:cs="Arial"/>
          <w:sz w:val="22"/>
          <w:szCs w:val="22"/>
        </w:rPr>
        <w:t>.</w:t>
      </w:r>
    </w:p>
    <w:p w14:paraId="5F9F9B59" w14:textId="77777777" w:rsidR="00E237D5" w:rsidRPr="00D729CF" w:rsidRDefault="00E237D5" w:rsidP="000F3083">
      <w:pPr>
        <w:pStyle w:val="p2"/>
        <w:spacing w:line="360" w:lineRule="auto"/>
        <w:rPr>
          <w:rFonts w:ascii="Arial" w:hAnsi="Arial" w:cs="Arial"/>
          <w:sz w:val="22"/>
          <w:szCs w:val="22"/>
        </w:rPr>
      </w:pPr>
    </w:p>
    <w:p w14:paraId="09179667" w14:textId="77777777" w:rsidR="00E237D5" w:rsidRPr="00D729CF" w:rsidRDefault="00E237D5" w:rsidP="000F3083">
      <w:pPr>
        <w:pStyle w:val="p1"/>
        <w:spacing w:line="360" w:lineRule="auto"/>
        <w:rPr>
          <w:rFonts w:ascii="Arial" w:hAnsi="Arial" w:cs="Arial"/>
          <w:sz w:val="22"/>
          <w:szCs w:val="22"/>
        </w:rPr>
      </w:pPr>
      <w:r w:rsidRPr="00D729CF">
        <w:rPr>
          <w:rStyle w:val="s1"/>
          <w:rFonts w:ascii="Arial" w:hAnsi="Arial" w:cs="Arial"/>
          <w:sz w:val="22"/>
          <w:szCs w:val="22"/>
        </w:rPr>
        <w:t>A practical example demonstrates how Activity Theory can be applied effectively. An older adult who has recently moved into a care home may initially appear withdrawn and reluctant to engage with others. This reaction is common, as moving into care can be a difficult transition. By learning about the individual’s interests, care staff can introduce suitable activities. For example, if the resident previously enjoyed knitting, they could be encouraged to join a small knitting group. Over time, this may help them build relationships, improve confidence, and develop a more positive mood. This shows how meaningful engagement can support psychological adjustment.</w:t>
      </w:r>
    </w:p>
    <w:p w14:paraId="68F1A490" w14:textId="77777777" w:rsidR="00E237D5" w:rsidRPr="00D729CF" w:rsidRDefault="00E237D5" w:rsidP="000F3083">
      <w:pPr>
        <w:pStyle w:val="p2"/>
        <w:spacing w:line="360" w:lineRule="auto"/>
        <w:rPr>
          <w:rFonts w:ascii="Arial" w:hAnsi="Arial" w:cs="Arial"/>
          <w:sz w:val="22"/>
          <w:szCs w:val="22"/>
        </w:rPr>
      </w:pPr>
    </w:p>
    <w:p w14:paraId="19431C87" w14:textId="77777777" w:rsidR="00E237D5" w:rsidRPr="00D729CF" w:rsidRDefault="00E237D5" w:rsidP="000F3083">
      <w:pPr>
        <w:pStyle w:val="p1"/>
        <w:spacing w:line="360" w:lineRule="auto"/>
        <w:rPr>
          <w:rFonts w:ascii="Arial" w:hAnsi="Arial" w:cs="Arial"/>
          <w:sz w:val="22"/>
          <w:szCs w:val="22"/>
        </w:rPr>
      </w:pPr>
      <w:r w:rsidRPr="00D729CF">
        <w:rPr>
          <w:rStyle w:val="s1"/>
          <w:rFonts w:ascii="Arial" w:hAnsi="Arial" w:cs="Arial"/>
          <w:sz w:val="22"/>
          <w:szCs w:val="22"/>
        </w:rPr>
        <w:t>Despite its benefits, there are challenges when applying Activity Theory in practice. One key issue is the wide range of physical and cognitive abilities among residents. Some individuals may have mobility difficulties, long-term health conditions, or dementia, which can limit their ability to take part in certain activities. In addition, care homes may face practical limitations such as reduced staffing levels, limited time, and restricted budgets. These factors can make it difficult to provide a variety of engaging and personalised activities.</w:t>
      </w:r>
    </w:p>
    <w:p w14:paraId="3EAA3651" w14:textId="77777777" w:rsidR="00E237D5" w:rsidRPr="00D729CF" w:rsidRDefault="00E237D5" w:rsidP="000F3083">
      <w:pPr>
        <w:pStyle w:val="p2"/>
        <w:spacing w:line="360" w:lineRule="auto"/>
        <w:rPr>
          <w:rFonts w:ascii="Arial" w:hAnsi="Arial" w:cs="Arial"/>
          <w:sz w:val="22"/>
          <w:szCs w:val="22"/>
        </w:rPr>
      </w:pPr>
    </w:p>
    <w:p w14:paraId="22F2A203" w14:textId="77777777" w:rsidR="00E237D5" w:rsidRPr="00D729CF" w:rsidRDefault="00E237D5" w:rsidP="000F3083">
      <w:pPr>
        <w:pStyle w:val="p1"/>
        <w:spacing w:line="360" w:lineRule="auto"/>
        <w:rPr>
          <w:rFonts w:ascii="Arial" w:hAnsi="Arial" w:cs="Arial"/>
          <w:sz w:val="22"/>
          <w:szCs w:val="22"/>
        </w:rPr>
      </w:pPr>
      <w:r w:rsidRPr="00D729CF">
        <w:rPr>
          <w:rStyle w:val="s1"/>
          <w:rFonts w:ascii="Arial" w:hAnsi="Arial" w:cs="Arial"/>
          <w:sz w:val="22"/>
          <w:szCs w:val="22"/>
        </w:rPr>
        <w:t>To overcome these challenges, care professionals should adopt a flexible and inclusive approach. Activities can be adapted to suit different needs, ensuring that all residents have the opportunity to participate. For example, seated exercises or sensory activities can be offered to individuals with limited mobility or cognitive impairments. One-to-one interactions may also be appropriate for residents who feel uncomfortable in group settings. This ensures that engagement remains accessible and meaningful for everyone.</w:t>
      </w:r>
    </w:p>
    <w:p w14:paraId="513E05BC" w14:textId="77777777" w:rsidR="00E237D5" w:rsidRPr="00D729CF" w:rsidRDefault="00E237D5" w:rsidP="000F3083">
      <w:pPr>
        <w:pStyle w:val="p2"/>
        <w:spacing w:line="360" w:lineRule="auto"/>
        <w:rPr>
          <w:rFonts w:ascii="Arial" w:hAnsi="Arial" w:cs="Arial"/>
          <w:sz w:val="22"/>
          <w:szCs w:val="22"/>
        </w:rPr>
      </w:pPr>
    </w:p>
    <w:p w14:paraId="536EE36C" w14:textId="77777777" w:rsidR="00E237D5" w:rsidRPr="00D729CF" w:rsidRDefault="00E237D5" w:rsidP="000F3083">
      <w:pPr>
        <w:pStyle w:val="p1"/>
        <w:spacing w:line="360" w:lineRule="auto"/>
        <w:rPr>
          <w:rFonts w:ascii="Arial" w:hAnsi="Arial" w:cs="Arial"/>
          <w:sz w:val="22"/>
          <w:szCs w:val="22"/>
        </w:rPr>
      </w:pPr>
      <w:r w:rsidRPr="00D729CF">
        <w:rPr>
          <w:rStyle w:val="s1"/>
          <w:rFonts w:ascii="Arial" w:hAnsi="Arial" w:cs="Arial"/>
          <w:sz w:val="22"/>
          <w:szCs w:val="22"/>
        </w:rPr>
        <w:t>Another effective strategy is to involve residents in decision-making. Allowing individuals to express their preferences and contribute ideas can increase motivation and participation. When residents feel valued and listened to, they are more likely to engage in activities. In addition, care homes can work with family members, volunteers, and community organisations to provide a wider range of opportunities. For example, inviting local groups to visit can introduce new experiences and encourage social interaction.</w:t>
      </w:r>
    </w:p>
    <w:p w14:paraId="6017962D" w14:textId="77777777" w:rsidR="00E237D5" w:rsidRPr="00D729CF" w:rsidRDefault="00E237D5" w:rsidP="000F3083">
      <w:pPr>
        <w:pStyle w:val="p2"/>
        <w:spacing w:line="360" w:lineRule="auto"/>
        <w:rPr>
          <w:rFonts w:ascii="Arial" w:hAnsi="Arial" w:cs="Arial"/>
          <w:sz w:val="22"/>
          <w:szCs w:val="22"/>
        </w:rPr>
      </w:pPr>
    </w:p>
    <w:p w14:paraId="03E9246D" w14:textId="77777777" w:rsidR="00E237D5" w:rsidRPr="00D729CF" w:rsidRDefault="00E237D5" w:rsidP="000F3083">
      <w:pPr>
        <w:pStyle w:val="p1"/>
        <w:spacing w:line="360" w:lineRule="auto"/>
        <w:rPr>
          <w:rFonts w:ascii="Arial" w:hAnsi="Arial" w:cs="Arial"/>
          <w:sz w:val="22"/>
          <w:szCs w:val="22"/>
        </w:rPr>
      </w:pPr>
      <w:r w:rsidRPr="00D729CF">
        <w:rPr>
          <w:rStyle w:val="s1"/>
          <w:rFonts w:ascii="Arial" w:hAnsi="Arial" w:cs="Arial"/>
          <w:sz w:val="22"/>
          <w:szCs w:val="22"/>
        </w:rPr>
        <w:t>It is also important to recognise that not all individuals will want to remain highly active. Some residents may prefer quieter or more independent activities. Therefore, Activity Theory should be applied alongside person-centred care principles, ensuring that individual choice and autonomy are respected at all times.</w:t>
      </w:r>
    </w:p>
    <w:p w14:paraId="2227288A" w14:textId="77777777" w:rsidR="00E237D5" w:rsidRPr="00D729CF" w:rsidRDefault="00E237D5" w:rsidP="000F3083">
      <w:pPr>
        <w:pStyle w:val="p2"/>
        <w:spacing w:line="360" w:lineRule="auto"/>
        <w:rPr>
          <w:rFonts w:ascii="Arial" w:hAnsi="Arial" w:cs="Arial"/>
          <w:sz w:val="22"/>
          <w:szCs w:val="22"/>
        </w:rPr>
      </w:pPr>
    </w:p>
    <w:p w14:paraId="534AFFC9" w14:textId="32F2DFE4" w:rsidR="00E237D5" w:rsidRDefault="00E237D5" w:rsidP="000F3083">
      <w:pPr>
        <w:pStyle w:val="p1"/>
        <w:spacing w:line="360" w:lineRule="auto"/>
        <w:rPr>
          <w:rStyle w:val="s1"/>
          <w:rFonts w:ascii="Arial" w:hAnsi="Arial" w:cs="Arial"/>
          <w:sz w:val="22"/>
          <w:szCs w:val="22"/>
        </w:rPr>
      </w:pPr>
      <w:r w:rsidRPr="00D729CF">
        <w:rPr>
          <w:rStyle w:val="s1"/>
          <w:rFonts w:ascii="Arial" w:hAnsi="Arial" w:cs="Arial"/>
          <w:sz w:val="22"/>
          <w:szCs w:val="22"/>
        </w:rPr>
        <w:t>In conclusion, Activity Theory provides a useful framework for supporting psychological wellbeing in residential care</w:t>
      </w:r>
      <w:r w:rsidR="00C41715">
        <w:rPr>
          <w:rStyle w:val="s1"/>
          <w:rFonts w:ascii="Arial" w:hAnsi="Arial" w:cs="Arial"/>
          <w:sz w:val="22"/>
          <w:szCs w:val="22"/>
        </w:rPr>
        <w:t xml:space="preserve"> </w:t>
      </w:r>
      <w:r w:rsidR="00A63A1E">
        <w:rPr>
          <w:rStyle w:val="s1"/>
          <w:rFonts w:ascii="Arial" w:hAnsi="Arial" w:cs="Arial"/>
          <w:sz w:val="22"/>
          <w:szCs w:val="22"/>
        </w:rPr>
        <w:t>(Havighurst</w:t>
      </w:r>
      <w:r w:rsidR="008A183C">
        <w:rPr>
          <w:rStyle w:val="s1"/>
          <w:rFonts w:ascii="Arial" w:hAnsi="Arial" w:cs="Arial"/>
          <w:sz w:val="22"/>
          <w:szCs w:val="22"/>
        </w:rPr>
        <w:t>, 1961)</w:t>
      </w:r>
      <w:r w:rsidRPr="00D729CF">
        <w:rPr>
          <w:rStyle w:val="s1"/>
          <w:rFonts w:ascii="Arial" w:hAnsi="Arial" w:cs="Arial"/>
          <w:sz w:val="22"/>
          <w:szCs w:val="22"/>
        </w:rPr>
        <w:t>. By encouraging engagement, social interaction, and meaningful activity, care professionals can help residents maintain a sense of purpose and connection. Although there are challenges in practice, these can be managed through flexible and person-centred approaches. Overall, the application of this theory can contribute to improved quality of life for older adults living in care settings.</w:t>
      </w:r>
    </w:p>
    <w:p w14:paraId="72CC8AD3" w14:textId="77777777" w:rsidR="00872F37" w:rsidRDefault="00872F37" w:rsidP="000F3083">
      <w:pPr>
        <w:pStyle w:val="p1"/>
        <w:spacing w:line="360" w:lineRule="auto"/>
        <w:rPr>
          <w:rStyle w:val="s1"/>
          <w:rFonts w:ascii="Arial" w:hAnsi="Arial" w:cs="Arial"/>
          <w:sz w:val="22"/>
          <w:szCs w:val="22"/>
        </w:rPr>
      </w:pPr>
    </w:p>
    <w:p w14:paraId="57B4E5BD" w14:textId="43ACF06A" w:rsidR="00872F37" w:rsidRDefault="00872F37" w:rsidP="000F3083">
      <w:pPr>
        <w:pStyle w:val="p1"/>
        <w:spacing w:line="360" w:lineRule="auto"/>
        <w:rPr>
          <w:rStyle w:val="s1"/>
          <w:rFonts w:ascii="Arial" w:hAnsi="Arial" w:cs="Arial"/>
          <w:sz w:val="22"/>
          <w:szCs w:val="22"/>
        </w:rPr>
      </w:pPr>
      <w:r>
        <w:rPr>
          <w:rStyle w:val="s1"/>
          <w:rFonts w:ascii="Arial" w:hAnsi="Arial" w:cs="Arial"/>
          <w:sz w:val="22"/>
          <w:szCs w:val="22"/>
        </w:rPr>
        <w:t>References:</w:t>
      </w:r>
    </w:p>
    <w:p w14:paraId="446342BD" w14:textId="77777777" w:rsidR="00FC57EC" w:rsidRPr="00AA2D65" w:rsidRDefault="00FC57EC" w:rsidP="00FC57EC">
      <w:pPr>
        <w:pStyle w:val="p1"/>
        <w:spacing w:line="360" w:lineRule="auto"/>
        <w:rPr>
          <w:rFonts w:ascii="Arial" w:hAnsi="Arial" w:cs="Arial"/>
          <w:sz w:val="22"/>
          <w:szCs w:val="22"/>
        </w:rPr>
      </w:pPr>
      <w:r w:rsidRPr="00FC57EC">
        <w:rPr>
          <w:rFonts w:ascii="Arial" w:hAnsi="Arial" w:cs="Arial"/>
          <w:sz w:val="22"/>
          <w:szCs w:val="22"/>
        </w:rPr>
        <w:t>Bowlby, J. (</w:t>
      </w:r>
      <w:r w:rsidRPr="00AA2D65">
        <w:rPr>
          <w:rFonts w:ascii="Arial" w:hAnsi="Arial" w:cs="Arial"/>
          <w:sz w:val="22"/>
          <w:szCs w:val="22"/>
        </w:rPr>
        <w:t>1988) A Secure Base: Parent-Child Attachment and Healthy Human Development. London: Routledge.</w:t>
      </w:r>
    </w:p>
    <w:p w14:paraId="2F041FD5" w14:textId="77777777" w:rsidR="00FC57EC" w:rsidRPr="00AA2D65" w:rsidRDefault="00FC57EC" w:rsidP="00FC57EC">
      <w:pPr>
        <w:pStyle w:val="p1"/>
        <w:spacing w:line="360" w:lineRule="auto"/>
        <w:rPr>
          <w:rFonts w:ascii="Arial" w:hAnsi="Arial" w:cs="Arial"/>
          <w:sz w:val="22"/>
          <w:szCs w:val="22"/>
        </w:rPr>
      </w:pPr>
    </w:p>
    <w:p w14:paraId="4C45F9AE" w14:textId="77777777" w:rsidR="00FC57EC" w:rsidRPr="00AA2D65" w:rsidRDefault="00FC57EC" w:rsidP="00FC57EC">
      <w:pPr>
        <w:pStyle w:val="p1"/>
        <w:spacing w:line="360" w:lineRule="auto"/>
        <w:rPr>
          <w:rFonts w:ascii="Arial" w:hAnsi="Arial" w:cs="Arial"/>
          <w:sz w:val="22"/>
          <w:szCs w:val="22"/>
        </w:rPr>
      </w:pPr>
      <w:r w:rsidRPr="00AA2D65">
        <w:rPr>
          <w:rFonts w:ascii="Arial" w:hAnsi="Arial" w:cs="Arial"/>
          <w:sz w:val="22"/>
          <w:szCs w:val="22"/>
        </w:rPr>
        <w:t>Erikson, E.H. (1982) The Life Cycle Completed. New York: W.W. Norton &amp; Company.</w:t>
      </w:r>
    </w:p>
    <w:p w14:paraId="3388771B" w14:textId="77777777" w:rsidR="00FC57EC" w:rsidRPr="00AA2D65" w:rsidRDefault="00FC57EC" w:rsidP="00FC57EC">
      <w:pPr>
        <w:pStyle w:val="p1"/>
        <w:spacing w:line="360" w:lineRule="auto"/>
        <w:rPr>
          <w:rFonts w:ascii="Arial" w:hAnsi="Arial" w:cs="Arial"/>
          <w:sz w:val="22"/>
          <w:szCs w:val="22"/>
        </w:rPr>
      </w:pPr>
    </w:p>
    <w:p w14:paraId="154E1A0F" w14:textId="77777777" w:rsidR="00FC57EC" w:rsidRPr="00FC57EC" w:rsidRDefault="00FC57EC" w:rsidP="00FC57EC">
      <w:pPr>
        <w:pStyle w:val="p1"/>
        <w:spacing w:line="360" w:lineRule="auto"/>
        <w:rPr>
          <w:rFonts w:ascii="Arial" w:hAnsi="Arial" w:cs="Arial"/>
          <w:sz w:val="22"/>
          <w:szCs w:val="22"/>
        </w:rPr>
      </w:pPr>
      <w:r w:rsidRPr="00FC57EC">
        <w:rPr>
          <w:rFonts w:ascii="Arial" w:hAnsi="Arial" w:cs="Arial"/>
          <w:sz w:val="22"/>
          <w:szCs w:val="22"/>
        </w:rPr>
        <w:t xml:space="preserve">Havighurst, R.J. (1961) ‘Successful aging’, </w:t>
      </w:r>
      <w:r w:rsidRPr="00AA2D65">
        <w:rPr>
          <w:rFonts w:ascii="Arial" w:hAnsi="Arial" w:cs="Arial"/>
          <w:sz w:val="22"/>
          <w:szCs w:val="22"/>
        </w:rPr>
        <w:t>The Gerontologist</w:t>
      </w:r>
      <w:r w:rsidRPr="00FC57EC">
        <w:rPr>
          <w:rFonts w:ascii="Arial" w:hAnsi="Arial" w:cs="Arial"/>
          <w:sz w:val="22"/>
          <w:szCs w:val="22"/>
        </w:rPr>
        <w:t>, 1(1), pp. 8–13.</w:t>
      </w:r>
    </w:p>
    <w:p w14:paraId="704A5D5B" w14:textId="77777777" w:rsidR="00FC57EC" w:rsidRPr="00FC57EC" w:rsidRDefault="00FC57EC" w:rsidP="00FC57EC">
      <w:pPr>
        <w:pStyle w:val="p1"/>
        <w:spacing w:line="360" w:lineRule="auto"/>
        <w:rPr>
          <w:rFonts w:ascii="Arial" w:hAnsi="Arial" w:cs="Arial"/>
          <w:sz w:val="22"/>
          <w:szCs w:val="22"/>
        </w:rPr>
      </w:pPr>
    </w:p>
    <w:p w14:paraId="6FEC56D4" w14:textId="77777777" w:rsidR="00FC57EC" w:rsidRPr="00FC57EC" w:rsidRDefault="00FC57EC" w:rsidP="00FC57EC">
      <w:pPr>
        <w:pStyle w:val="p1"/>
        <w:spacing w:line="360" w:lineRule="auto"/>
        <w:rPr>
          <w:rFonts w:ascii="Arial" w:hAnsi="Arial" w:cs="Arial"/>
          <w:sz w:val="22"/>
          <w:szCs w:val="22"/>
        </w:rPr>
      </w:pPr>
      <w:r w:rsidRPr="00FC57EC">
        <w:rPr>
          <w:rFonts w:ascii="Arial" w:hAnsi="Arial" w:cs="Arial"/>
          <w:sz w:val="22"/>
          <w:szCs w:val="22"/>
        </w:rPr>
        <w:t>Kitwood, T. (1997) Dementia Reconsidered: The Person Comes First. Buckingham: Open University Press.</w:t>
      </w:r>
    </w:p>
    <w:p w14:paraId="58CBFD13" w14:textId="77777777" w:rsidR="00FC57EC" w:rsidRPr="00FC57EC" w:rsidRDefault="00FC57EC" w:rsidP="00FC57EC">
      <w:pPr>
        <w:pStyle w:val="p1"/>
        <w:spacing w:line="360" w:lineRule="auto"/>
        <w:rPr>
          <w:rFonts w:ascii="Arial" w:hAnsi="Arial" w:cs="Arial"/>
          <w:sz w:val="22"/>
          <w:szCs w:val="22"/>
        </w:rPr>
      </w:pPr>
    </w:p>
    <w:p w14:paraId="194DF9CA" w14:textId="24B897B2" w:rsidR="00872F37" w:rsidRPr="00D729CF" w:rsidRDefault="00FC57EC" w:rsidP="000F3083">
      <w:pPr>
        <w:pStyle w:val="p1"/>
        <w:spacing w:line="360" w:lineRule="auto"/>
        <w:rPr>
          <w:rFonts w:ascii="Arial" w:hAnsi="Arial" w:cs="Arial"/>
          <w:sz w:val="22"/>
          <w:szCs w:val="22"/>
        </w:rPr>
      </w:pPr>
      <w:r w:rsidRPr="00FC57EC">
        <w:rPr>
          <w:rFonts w:ascii="Arial" w:hAnsi="Arial" w:cs="Arial"/>
          <w:sz w:val="22"/>
          <w:szCs w:val="22"/>
        </w:rPr>
        <w:t>Seligman, M.E.P. (2011) Flourish: A Visionary New Understanding of Happiness and Wellbeing. New York: Free Press.</w:t>
      </w:r>
    </w:p>
    <w:p w14:paraId="7E9F70AE" w14:textId="77777777" w:rsidR="00EC5AD7" w:rsidRPr="00D729CF" w:rsidRDefault="00EC5AD7" w:rsidP="000F3083">
      <w:pPr>
        <w:pStyle w:val="p1"/>
        <w:spacing w:line="360" w:lineRule="auto"/>
        <w:rPr>
          <w:rStyle w:val="s1"/>
          <w:rFonts w:ascii="Arial" w:hAnsi="Arial" w:cs="Arial"/>
          <w:sz w:val="22"/>
          <w:szCs w:val="22"/>
        </w:rPr>
      </w:pPr>
    </w:p>
    <w:p w14:paraId="75A0AF72" w14:textId="77777777" w:rsidR="00EC5AD7" w:rsidRPr="00D729CF" w:rsidRDefault="00EC5AD7" w:rsidP="000F3083">
      <w:pPr>
        <w:pStyle w:val="p1"/>
        <w:spacing w:line="360" w:lineRule="auto"/>
        <w:rPr>
          <w:rStyle w:val="s1"/>
          <w:rFonts w:ascii="Arial" w:hAnsi="Arial" w:cs="Arial"/>
          <w:sz w:val="22"/>
          <w:szCs w:val="22"/>
        </w:rPr>
      </w:pPr>
    </w:p>
    <w:p w14:paraId="76DD85FA" w14:textId="77777777" w:rsidR="00EC5AD7" w:rsidRPr="00D729CF" w:rsidRDefault="00EC5AD7" w:rsidP="000F3083">
      <w:pPr>
        <w:pStyle w:val="p1"/>
        <w:spacing w:line="360" w:lineRule="auto"/>
        <w:rPr>
          <w:rStyle w:val="s1"/>
          <w:rFonts w:ascii="Arial" w:hAnsi="Arial" w:cs="Arial"/>
          <w:sz w:val="22"/>
          <w:szCs w:val="22"/>
        </w:rPr>
      </w:pPr>
    </w:p>
    <w:p w14:paraId="123A163A" w14:textId="77777777" w:rsidR="00EC5AD7" w:rsidRPr="00D729CF" w:rsidRDefault="00EC5AD7" w:rsidP="000F3083">
      <w:pPr>
        <w:pStyle w:val="p1"/>
        <w:spacing w:line="360" w:lineRule="auto"/>
        <w:rPr>
          <w:rStyle w:val="s1"/>
          <w:rFonts w:ascii="Arial" w:hAnsi="Arial" w:cs="Arial"/>
          <w:sz w:val="22"/>
          <w:szCs w:val="22"/>
        </w:rPr>
      </w:pPr>
    </w:p>
    <w:p w14:paraId="3DE2A0A4" w14:textId="77777777" w:rsidR="00EC5AD7" w:rsidRPr="00D729CF" w:rsidRDefault="00EC5AD7" w:rsidP="000F3083">
      <w:pPr>
        <w:pStyle w:val="p1"/>
        <w:spacing w:line="360" w:lineRule="auto"/>
        <w:rPr>
          <w:rStyle w:val="s1"/>
          <w:rFonts w:ascii="Arial" w:hAnsi="Arial" w:cs="Arial"/>
          <w:sz w:val="22"/>
          <w:szCs w:val="22"/>
        </w:rPr>
      </w:pPr>
    </w:p>
    <w:p w14:paraId="4A2753BF" w14:textId="77777777" w:rsidR="00EC5AD7" w:rsidRPr="00D729CF" w:rsidRDefault="00EC5AD7" w:rsidP="000F3083">
      <w:pPr>
        <w:pStyle w:val="p1"/>
        <w:spacing w:line="360" w:lineRule="auto"/>
        <w:rPr>
          <w:rStyle w:val="s1"/>
          <w:rFonts w:ascii="Arial" w:hAnsi="Arial" w:cs="Arial"/>
          <w:sz w:val="22"/>
          <w:szCs w:val="22"/>
        </w:rPr>
      </w:pPr>
    </w:p>
    <w:p w14:paraId="4DBF9433" w14:textId="77777777" w:rsidR="00EC5AD7" w:rsidRPr="00D729CF" w:rsidRDefault="00EC5AD7" w:rsidP="000F3083">
      <w:pPr>
        <w:pStyle w:val="p1"/>
        <w:spacing w:line="360" w:lineRule="auto"/>
        <w:rPr>
          <w:rStyle w:val="s1"/>
          <w:rFonts w:ascii="Arial" w:hAnsi="Arial" w:cs="Arial"/>
          <w:sz w:val="22"/>
          <w:szCs w:val="22"/>
        </w:rPr>
      </w:pPr>
    </w:p>
    <w:p w14:paraId="66C1615C" w14:textId="77777777" w:rsidR="00EC5AD7" w:rsidRPr="00D729CF" w:rsidRDefault="00EC5AD7" w:rsidP="000F3083">
      <w:pPr>
        <w:pStyle w:val="p1"/>
        <w:spacing w:line="360" w:lineRule="auto"/>
        <w:rPr>
          <w:rFonts w:ascii="Arial" w:hAnsi="Arial" w:cs="Arial"/>
          <w:sz w:val="22"/>
          <w:szCs w:val="22"/>
        </w:rPr>
      </w:pPr>
    </w:p>
    <w:p w14:paraId="5935AB8C" w14:textId="77777777" w:rsidR="00F65055" w:rsidRPr="00D729CF" w:rsidRDefault="00F65055" w:rsidP="000F3083">
      <w:pPr>
        <w:spacing w:line="360" w:lineRule="auto"/>
        <w:rPr>
          <w:rFonts w:ascii="Arial" w:hAnsi="Arial" w:cs="Arial"/>
          <w:sz w:val="22"/>
          <w:szCs w:val="22"/>
        </w:rPr>
      </w:pPr>
    </w:p>
    <w:sectPr w:rsidR="00F65055" w:rsidRPr="00D729C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8EAA4C" w14:textId="77777777" w:rsidR="004210BA" w:rsidRDefault="004210BA" w:rsidP="004210BA">
      <w:pPr>
        <w:spacing w:after="0" w:line="240" w:lineRule="auto"/>
      </w:pPr>
      <w:r>
        <w:separator/>
      </w:r>
    </w:p>
  </w:endnote>
  <w:endnote w:type="continuationSeparator" w:id="0">
    <w:p w14:paraId="23A63ED5" w14:textId="77777777" w:rsidR="004210BA" w:rsidRDefault="004210BA" w:rsidP="004210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F UI">
    <w:altName w:val="Cambria"/>
    <w:panose1 w:val="020B0604020202020204"/>
    <w:charset w:val="00"/>
    <w:family w:val="roman"/>
    <w:pitch w:val="default"/>
  </w:font>
  <w:font w:name=".SFUI-Regular">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72B8CE" w14:textId="77777777" w:rsidR="004210BA" w:rsidRDefault="004210BA" w:rsidP="004210BA">
      <w:pPr>
        <w:spacing w:after="0" w:line="240" w:lineRule="auto"/>
      </w:pPr>
      <w:r>
        <w:separator/>
      </w:r>
    </w:p>
  </w:footnote>
  <w:footnote w:type="continuationSeparator" w:id="0">
    <w:p w14:paraId="73A949B0" w14:textId="77777777" w:rsidR="004210BA" w:rsidRDefault="004210BA" w:rsidP="004210B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785E"/>
    <w:rsid w:val="00054BF7"/>
    <w:rsid w:val="000F3083"/>
    <w:rsid w:val="00103957"/>
    <w:rsid w:val="001656A0"/>
    <w:rsid w:val="00270823"/>
    <w:rsid w:val="002924AC"/>
    <w:rsid w:val="003169C4"/>
    <w:rsid w:val="00346E51"/>
    <w:rsid w:val="00406FEB"/>
    <w:rsid w:val="004210BA"/>
    <w:rsid w:val="004976D8"/>
    <w:rsid w:val="004B5590"/>
    <w:rsid w:val="00530307"/>
    <w:rsid w:val="0057741C"/>
    <w:rsid w:val="0058785E"/>
    <w:rsid w:val="005D589C"/>
    <w:rsid w:val="0060088F"/>
    <w:rsid w:val="0063193C"/>
    <w:rsid w:val="00650265"/>
    <w:rsid w:val="00663C08"/>
    <w:rsid w:val="0083676A"/>
    <w:rsid w:val="008543A5"/>
    <w:rsid w:val="00872F37"/>
    <w:rsid w:val="008A183C"/>
    <w:rsid w:val="00913534"/>
    <w:rsid w:val="009847D1"/>
    <w:rsid w:val="00A53715"/>
    <w:rsid w:val="00A63A1E"/>
    <w:rsid w:val="00AA2D65"/>
    <w:rsid w:val="00B56D91"/>
    <w:rsid w:val="00C41715"/>
    <w:rsid w:val="00D729CF"/>
    <w:rsid w:val="00D756D1"/>
    <w:rsid w:val="00E069B6"/>
    <w:rsid w:val="00E237D5"/>
    <w:rsid w:val="00E31747"/>
    <w:rsid w:val="00E75A4E"/>
    <w:rsid w:val="00E95648"/>
    <w:rsid w:val="00EA08D2"/>
    <w:rsid w:val="00EC5AD7"/>
    <w:rsid w:val="00F009D3"/>
    <w:rsid w:val="00F30DC8"/>
    <w:rsid w:val="00F65055"/>
    <w:rsid w:val="00F70EB0"/>
    <w:rsid w:val="00F84135"/>
    <w:rsid w:val="00FC57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3CB0E63"/>
  <w15:chartTrackingRefBased/>
  <w15:docId w15:val="{7FD00BCE-ADAB-3A4D-8093-57D9792332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785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8785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8785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8785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8785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878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78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78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78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785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8785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8785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8785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8785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878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78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78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785E"/>
    <w:rPr>
      <w:rFonts w:eastAsiaTheme="majorEastAsia" w:cstheme="majorBidi"/>
      <w:color w:val="272727" w:themeColor="text1" w:themeTint="D8"/>
    </w:rPr>
  </w:style>
  <w:style w:type="paragraph" w:styleId="Title">
    <w:name w:val="Title"/>
    <w:basedOn w:val="Normal"/>
    <w:next w:val="Normal"/>
    <w:link w:val="TitleChar"/>
    <w:uiPriority w:val="10"/>
    <w:qFormat/>
    <w:rsid w:val="005878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78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78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78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785E"/>
    <w:pPr>
      <w:spacing w:before="160"/>
      <w:jc w:val="center"/>
    </w:pPr>
    <w:rPr>
      <w:i/>
      <w:iCs/>
      <w:color w:val="404040" w:themeColor="text1" w:themeTint="BF"/>
    </w:rPr>
  </w:style>
  <w:style w:type="character" w:customStyle="1" w:styleId="QuoteChar">
    <w:name w:val="Quote Char"/>
    <w:basedOn w:val="DefaultParagraphFont"/>
    <w:link w:val="Quote"/>
    <w:uiPriority w:val="29"/>
    <w:rsid w:val="0058785E"/>
    <w:rPr>
      <w:i/>
      <w:iCs/>
      <w:color w:val="404040" w:themeColor="text1" w:themeTint="BF"/>
    </w:rPr>
  </w:style>
  <w:style w:type="paragraph" w:styleId="ListParagraph">
    <w:name w:val="List Paragraph"/>
    <w:basedOn w:val="Normal"/>
    <w:uiPriority w:val="34"/>
    <w:qFormat/>
    <w:rsid w:val="0058785E"/>
    <w:pPr>
      <w:ind w:left="720"/>
      <w:contextualSpacing/>
    </w:pPr>
  </w:style>
  <w:style w:type="character" w:styleId="IntenseEmphasis">
    <w:name w:val="Intense Emphasis"/>
    <w:basedOn w:val="DefaultParagraphFont"/>
    <w:uiPriority w:val="21"/>
    <w:qFormat/>
    <w:rsid w:val="0058785E"/>
    <w:rPr>
      <w:i/>
      <w:iCs/>
      <w:color w:val="2F5496" w:themeColor="accent1" w:themeShade="BF"/>
    </w:rPr>
  </w:style>
  <w:style w:type="paragraph" w:styleId="IntenseQuote">
    <w:name w:val="Intense Quote"/>
    <w:basedOn w:val="Normal"/>
    <w:next w:val="Normal"/>
    <w:link w:val="IntenseQuoteChar"/>
    <w:uiPriority w:val="30"/>
    <w:qFormat/>
    <w:rsid w:val="0058785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8785E"/>
    <w:rPr>
      <w:i/>
      <w:iCs/>
      <w:color w:val="2F5496" w:themeColor="accent1" w:themeShade="BF"/>
    </w:rPr>
  </w:style>
  <w:style w:type="character" w:styleId="IntenseReference">
    <w:name w:val="Intense Reference"/>
    <w:basedOn w:val="DefaultParagraphFont"/>
    <w:uiPriority w:val="32"/>
    <w:qFormat/>
    <w:rsid w:val="0058785E"/>
    <w:rPr>
      <w:b/>
      <w:bCs/>
      <w:smallCaps/>
      <w:color w:val="2F5496" w:themeColor="accent1" w:themeShade="BF"/>
      <w:spacing w:val="5"/>
    </w:rPr>
  </w:style>
  <w:style w:type="paragraph" w:customStyle="1" w:styleId="p1">
    <w:name w:val="p1"/>
    <w:basedOn w:val="Normal"/>
    <w:rsid w:val="0058785E"/>
    <w:pPr>
      <w:spacing w:after="0" w:line="240" w:lineRule="auto"/>
    </w:pPr>
    <w:rPr>
      <w:rFonts w:ascii=".SF UI" w:hAnsi=".SF UI" w:cs="Times New Roman"/>
      <w:kern w:val="0"/>
      <w14:ligatures w14:val="none"/>
    </w:rPr>
  </w:style>
  <w:style w:type="paragraph" w:customStyle="1" w:styleId="p2">
    <w:name w:val="p2"/>
    <w:basedOn w:val="Normal"/>
    <w:rsid w:val="0058785E"/>
    <w:pPr>
      <w:spacing w:after="0" w:line="240" w:lineRule="auto"/>
    </w:pPr>
    <w:rPr>
      <w:rFonts w:ascii=".SF UI" w:hAnsi=".SF UI" w:cs="Times New Roman"/>
      <w:kern w:val="0"/>
      <w14:ligatures w14:val="none"/>
    </w:rPr>
  </w:style>
  <w:style w:type="character" w:customStyle="1" w:styleId="s1">
    <w:name w:val="s1"/>
    <w:basedOn w:val="DefaultParagraphFont"/>
    <w:rsid w:val="0058785E"/>
    <w:rPr>
      <w:rFonts w:ascii=".SFUI-Regular" w:hAnsi=".SFUI-Regular" w:hint="default"/>
      <w:b w:val="0"/>
      <w:bCs w:val="0"/>
      <w:i w:val="0"/>
      <w:iCs w:val="0"/>
      <w:sz w:val="24"/>
      <w:szCs w:val="24"/>
    </w:rPr>
  </w:style>
  <w:style w:type="paragraph" w:styleId="Header">
    <w:name w:val="header"/>
    <w:basedOn w:val="Normal"/>
    <w:link w:val="HeaderChar"/>
    <w:uiPriority w:val="99"/>
    <w:unhideWhenUsed/>
    <w:rsid w:val="004210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10BA"/>
  </w:style>
  <w:style w:type="paragraph" w:styleId="Footer">
    <w:name w:val="footer"/>
    <w:basedOn w:val="Normal"/>
    <w:link w:val="FooterChar"/>
    <w:uiPriority w:val="99"/>
    <w:unhideWhenUsed/>
    <w:rsid w:val="004210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10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1777</Words>
  <Characters>10129</Characters>
  <Application>Microsoft Office Word</Application>
  <DocSecurity>0</DocSecurity>
  <Lines>84</Lines>
  <Paragraphs>23</Paragraphs>
  <ScaleCrop>false</ScaleCrop>
  <Company/>
  <LinksUpToDate>false</LinksUpToDate>
  <CharactersWithSpaces>11883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Nuha Kassim (2414478)</dc:creator>
  <cp:keywords/>
  <dc:description/>
  <cp:lastModifiedBy>Nuha Kassim (2414478)</cp:lastModifiedBy>
  <cp:revision>2</cp:revision>
  <dcterms:created xsi:type="dcterms:W3CDTF">2026-03-23T22:29:00Z</dcterms:created>
  <dcterms:modified xsi:type="dcterms:W3CDTF">2026-03-23T22:29:00Z</dcterms:modified>
</cp:coreProperties>
</file>