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2CAA70" w14:textId="77777777" w:rsidR="00392EEF" w:rsidRDefault="00392EEF" w:rsidP="00392EEF">
      <w:pPr>
        <w:pStyle w:val="Title"/>
        <w:jc w:val="center"/>
      </w:pPr>
    </w:p>
    <w:p w14:paraId="67935CCF" w14:textId="77777777" w:rsidR="00392EEF" w:rsidRDefault="00392EEF" w:rsidP="00392EEF">
      <w:pPr>
        <w:pStyle w:val="Title"/>
        <w:jc w:val="center"/>
      </w:pPr>
    </w:p>
    <w:p w14:paraId="1B5C4E0A" w14:textId="77777777" w:rsidR="00392EEF" w:rsidRDefault="00392EEF" w:rsidP="00392EEF">
      <w:pPr>
        <w:pStyle w:val="Title"/>
        <w:jc w:val="center"/>
      </w:pPr>
    </w:p>
    <w:p w14:paraId="3F2A8B22" w14:textId="6B84E705" w:rsidR="00920A54" w:rsidRDefault="00920A54" w:rsidP="00F66115">
      <w:pPr>
        <w:pStyle w:val="Title"/>
      </w:pPr>
    </w:p>
    <w:p w14:paraId="60384357" w14:textId="77777777" w:rsidR="00F66115" w:rsidRPr="00F66115" w:rsidRDefault="00F66115" w:rsidP="00F66115">
      <w:pPr>
        <w:pBdr>
          <w:bottom w:val="single" w:sz="8" w:space="4" w:color="4F81BD" w:themeColor="accent1"/>
        </w:pBdr>
        <w:spacing w:before="0" w:after="300" w:line="240" w:lineRule="auto"/>
        <w:contextualSpacing/>
        <w:jc w:val="center"/>
        <w:rPr>
          <w:rFonts w:ascii="Cambria" w:eastAsia="Times New Roman" w:hAnsi="Cambria"/>
          <w:color w:val="17365D" w:themeColor="text2" w:themeShade="BF"/>
          <w:spacing w:val="5"/>
          <w:kern w:val="28"/>
          <w:sz w:val="52"/>
          <w:szCs w:val="52"/>
        </w:rPr>
      </w:pPr>
      <w:r w:rsidRPr="00F66115">
        <w:rPr>
          <w:rFonts w:ascii="Times New Roman" w:eastAsia="Times New Roman" w:hAnsi="Times New Roman" w:cs="Mangal"/>
          <w:b/>
          <w:bCs/>
          <w:i/>
          <w:iCs/>
          <w:color w:val="17365D" w:themeColor="text2" w:themeShade="BF"/>
          <w:spacing w:val="5"/>
          <w:kern w:val="28"/>
          <w:sz w:val="36"/>
          <w:szCs w:val="36"/>
          <w:lang w:val="en-US"/>
        </w:rPr>
        <w:t xml:space="preserve">University of Wales Trinity Saint David </w:t>
      </w:r>
    </w:p>
    <w:p w14:paraId="697C4AED" w14:textId="77777777" w:rsidR="00F66115" w:rsidRPr="00F66115" w:rsidRDefault="00F66115" w:rsidP="00F66115">
      <w:pPr>
        <w:keepNext/>
        <w:keepLines/>
        <w:spacing w:before="480" w:after="0"/>
        <w:jc w:val="center"/>
        <w:outlineLvl w:val="0"/>
        <w:rPr>
          <w:rFonts w:ascii="Times New Roman" w:eastAsia="Times New Roman" w:hAnsi="Times New Roman" w:cs="Mangal"/>
          <w:b/>
          <w:bCs/>
          <w:sz w:val="28"/>
          <w:szCs w:val="28"/>
          <w:lang w:val="en-US"/>
        </w:rPr>
      </w:pPr>
      <w:r w:rsidRPr="00F66115">
        <w:rPr>
          <w:rFonts w:ascii="Times New Roman" w:eastAsia="Times New Roman" w:hAnsi="Times New Roman" w:cs="Mangal"/>
          <w:b/>
          <w:noProof/>
          <w:sz w:val="28"/>
          <w:szCs w:val="28"/>
          <w:lang w:val="en-US"/>
        </w:rPr>
        <w:drawing>
          <wp:inline distT="0" distB="0" distL="0" distR="0" wp14:anchorId="6DE1F6F1" wp14:editId="10CB7DB4">
            <wp:extent cx="685800" cy="685800"/>
            <wp:effectExtent l="0" t="0" r="0" b="0"/>
            <wp:docPr id="2"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 clipar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inline>
        </w:drawing>
      </w:r>
    </w:p>
    <w:p w14:paraId="60535CA2" w14:textId="77777777" w:rsidR="00F66115" w:rsidRPr="00F66115" w:rsidRDefault="00F66115" w:rsidP="00F66115">
      <w:pPr>
        <w:keepNext/>
        <w:keepLines/>
        <w:spacing w:before="480" w:after="0"/>
        <w:jc w:val="center"/>
        <w:outlineLvl w:val="0"/>
        <w:rPr>
          <w:rFonts w:ascii="Times New Roman" w:eastAsia="Times New Roman" w:hAnsi="Times New Roman" w:cs="Mangal"/>
          <w:b/>
          <w:bCs/>
          <w:sz w:val="28"/>
          <w:szCs w:val="28"/>
          <w:lang w:val="en-US"/>
        </w:rPr>
      </w:pPr>
    </w:p>
    <w:p w14:paraId="79159A53" w14:textId="77777777" w:rsidR="00F66115" w:rsidRPr="00F66115" w:rsidRDefault="00F66115" w:rsidP="00F66115">
      <w:pPr>
        <w:keepNext/>
        <w:keepLines/>
        <w:spacing w:before="480" w:after="0"/>
        <w:jc w:val="center"/>
        <w:outlineLvl w:val="0"/>
        <w:rPr>
          <w:rFonts w:ascii="Times New Roman" w:eastAsia="Times New Roman" w:hAnsi="Times New Roman" w:cs="Mangal"/>
          <w:b/>
          <w:bCs/>
          <w:sz w:val="28"/>
          <w:szCs w:val="28"/>
          <w:lang w:val="en-US"/>
        </w:rPr>
      </w:pPr>
      <w:r w:rsidRPr="00F66115">
        <w:rPr>
          <w:rFonts w:ascii="Times New Roman" w:eastAsia="Times New Roman" w:hAnsi="Times New Roman" w:cs="Mangal"/>
          <w:b/>
          <w:bCs/>
          <w:sz w:val="28"/>
          <w:szCs w:val="28"/>
          <w:lang w:val="en-US"/>
        </w:rPr>
        <w:t xml:space="preserve">Module Name: Community engagement </w:t>
      </w:r>
    </w:p>
    <w:p w14:paraId="4CCE5C6F" w14:textId="77777777" w:rsidR="00F66115" w:rsidRPr="00F66115" w:rsidRDefault="00F66115" w:rsidP="00F66115">
      <w:pPr>
        <w:keepNext/>
        <w:keepLines/>
        <w:spacing w:before="480" w:after="0"/>
        <w:jc w:val="center"/>
        <w:outlineLvl w:val="0"/>
        <w:rPr>
          <w:rFonts w:ascii="Times New Roman" w:eastAsia="Times New Roman" w:hAnsi="Times New Roman" w:cs="Mangal"/>
          <w:b/>
          <w:bCs/>
          <w:sz w:val="28"/>
          <w:szCs w:val="28"/>
          <w:lang w:val="en-US"/>
        </w:rPr>
      </w:pPr>
      <w:r w:rsidRPr="00F66115">
        <w:rPr>
          <w:rFonts w:ascii="Times New Roman" w:eastAsia="Times New Roman" w:hAnsi="Times New Roman" w:cs="Mangal"/>
          <w:b/>
          <w:bCs/>
          <w:sz w:val="28"/>
          <w:szCs w:val="28"/>
          <w:lang w:val="en-US"/>
        </w:rPr>
        <w:t>Module Code: BABM LCBB4002</w:t>
      </w:r>
    </w:p>
    <w:p w14:paraId="23BCF8F3" w14:textId="77777777" w:rsidR="00F66115" w:rsidRPr="00F66115" w:rsidRDefault="00F66115" w:rsidP="00F66115">
      <w:pPr>
        <w:keepNext/>
        <w:keepLines/>
        <w:spacing w:before="480" w:after="0"/>
        <w:jc w:val="center"/>
        <w:outlineLvl w:val="0"/>
        <w:rPr>
          <w:rFonts w:ascii="Times New Roman" w:eastAsia="Times New Roman" w:hAnsi="Times New Roman" w:cs="Mangal"/>
          <w:b/>
          <w:bCs/>
          <w:sz w:val="28"/>
          <w:szCs w:val="28"/>
          <w:lang w:val="en-US"/>
        </w:rPr>
      </w:pPr>
      <w:r w:rsidRPr="00F66115">
        <w:rPr>
          <w:rFonts w:ascii="Times New Roman" w:eastAsia="Times New Roman" w:hAnsi="Times New Roman" w:cs="Mangal"/>
          <w:b/>
          <w:bCs/>
          <w:sz w:val="28"/>
          <w:szCs w:val="28"/>
          <w:lang w:val="en-US"/>
        </w:rPr>
        <w:t xml:space="preserve">Student Name: Sava </w:t>
      </w:r>
      <w:proofErr w:type="spellStart"/>
      <w:r w:rsidRPr="00F66115">
        <w:rPr>
          <w:rFonts w:ascii="Times New Roman" w:eastAsia="Times New Roman" w:hAnsi="Times New Roman" w:cs="Mangal"/>
          <w:b/>
          <w:bCs/>
          <w:sz w:val="28"/>
          <w:szCs w:val="28"/>
          <w:lang w:val="en-US"/>
        </w:rPr>
        <w:t>Kirilov</w:t>
      </w:r>
      <w:proofErr w:type="spellEnd"/>
      <w:r w:rsidRPr="00F66115">
        <w:rPr>
          <w:rFonts w:ascii="Times New Roman" w:eastAsia="Times New Roman" w:hAnsi="Times New Roman" w:cs="Mangal"/>
          <w:b/>
          <w:bCs/>
          <w:sz w:val="28"/>
          <w:szCs w:val="28"/>
          <w:lang w:val="en-US"/>
        </w:rPr>
        <w:t xml:space="preserve"> Mantchev</w:t>
      </w:r>
    </w:p>
    <w:p w14:paraId="23A747F6" w14:textId="77777777" w:rsidR="00F66115" w:rsidRPr="00F66115" w:rsidRDefault="00F66115" w:rsidP="00F66115">
      <w:pPr>
        <w:keepNext/>
        <w:keepLines/>
        <w:spacing w:before="480" w:after="0"/>
        <w:jc w:val="center"/>
        <w:outlineLvl w:val="0"/>
        <w:rPr>
          <w:rFonts w:ascii="Times New Roman" w:eastAsia="Times New Roman" w:hAnsi="Times New Roman" w:cs="Mangal"/>
          <w:b/>
          <w:bCs/>
          <w:sz w:val="28"/>
          <w:szCs w:val="28"/>
          <w:lang w:val="en-US"/>
        </w:rPr>
      </w:pPr>
      <w:r w:rsidRPr="00F66115">
        <w:rPr>
          <w:rFonts w:ascii="Times New Roman" w:eastAsia="Times New Roman" w:hAnsi="Times New Roman" w:cs="Mangal"/>
          <w:b/>
          <w:bCs/>
          <w:sz w:val="28"/>
          <w:szCs w:val="28"/>
          <w:lang w:val="en-US"/>
        </w:rPr>
        <w:t>Student Number: 2028706</w:t>
      </w:r>
    </w:p>
    <w:p w14:paraId="63807F5B" w14:textId="77777777" w:rsidR="00F66115" w:rsidRPr="00F66115" w:rsidRDefault="00F66115" w:rsidP="00F66115">
      <w:pPr>
        <w:keepNext/>
        <w:keepLines/>
        <w:spacing w:before="480" w:after="0"/>
        <w:jc w:val="center"/>
        <w:outlineLvl w:val="0"/>
        <w:rPr>
          <w:rFonts w:ascii="Times New Roman" w:eastAsia="Times New Roman" w:hAnsi="Times New Roman" w:cs="Mangal"/>
          <w:b/>
          <w:bCs/>
          <w:sz w:val="28"/>
          <w:szCs w:val="28"/>
          <w:lang w:val="en-US"/>
        </w:rPr>
      </w:pPr>
    </w:p>
    <w:p w14:paraId="53A2C1D7" w14:textId="77777777" w:rsidR="00F66115" w:rsidRPr="00F66115" w:rsidRDefault="00F66115" w:rsidP="00F66115">
      <w:pPr>
        <w:keepNext/>
        <w:keepLines/>
        <w:spacing w:before="480" w:after="0"/>
        <w:jc w:val="center"/>
        <w:outlineLvl w:val="0"/>
        <w:rPr>
          <w:rFonts w:ascii="Times New Roman" w:eastAsia="Times New Roman" w:hAnsi="Times New Roman" w:cs="Mangal"/>
          <w:b/>
          <w:bCs/>
          <w:sz w:val="28"/>
          <w:szCs w:val="28"/>
          <w:lang w:val="en-US"/>
        </w:rPr>
      </w:pPr>
    </w:p>
    <w:p w14:paraId="25F331A5" w14:textId="77777777" w:rsidR="00F66115" w:rsidRPr="00F66115" w:rsidRDefault="00F66115" w:rsidP="00F66115">
      <w:pPr>
        <w:keepNext/>
        <w:keepLines/>
        <w:spacing w:before="480" w:after="0"/>
        <w:jc w:val="center"/>
        <w:outlineLvl w:val="0"/>
        <w:rPr>
          <w:rFonts w:ascii="Times New Roman" w:eastAsia="Times New Roman" w:hAnsi="Times New Roman" w:cs="Mangal"/>
          <w:b/>
          <w:bCs/>
          <w:sz w:val="28"/>
          <w:szCs w:val="28"/>
          <w:lang w:val="en-US"/>
        </w:rPr>
      </w:pPr>
    </w:p>
    <w:p w14:paraId="5E28655A" w14:textId="7DC446ED" w:rsidR="00392EEF" w:rsidRDefault="00F66115" w:rsidP="00F66115">
      <w:pPr>
        <w:jc w:val="center"/>
      </w:pPr>
      <w:r w:rsidRPr="00F66115">
        <w:rPr>
          <w:rFonts w:ascii="Times New Roman" w:eastAsia="Times New Roman" w:hAnsi="Times New Roman"/>
          <w:b/>
          <w:bCs/>
          <w:sz w:val="28"/>
          <w:lang w:val="en-US"/>
        </w:rPr>
        <w:t>Lecture Name: Molly Jack</w:t>
      </w:r>
    </w:p>
    <w:p w14:paraId="4EC50AE8" w14:textId="77777777" w:rsidR="00392EEF" w:rsidRDefault="00F66115" w:rsidP="00392EEF">
      <w:r>
        <w:br w:type="page"/>
      </w:r>
    </w:p>
    <w:sdt>
      <w:sdtPr>
        <w:rPr>
          <w:rFonts w:asciiTheme="minorHAnsi" w:eastAsiaTheme="minorHAnsi" w:hAnsiTheme="minorHAnsi" w:cs="Times New Roman"/>
          <w:b w:val="0"/>
          <w:bCs w:val="0"/>
          <w:color w:val="auto"/>
          <w:sz w:val="24"/>
          <w:szCs w:val="24"/>
          <w:lang w:val="en-GB" w:eastAsia="en-US"/>
        </w:rPr>
        <w:id w:val="898181257"/>
        <w:docPartObj>
          <w:docPartGallery w:val="Table of Contents"/>
          <w:docPartUnique/>
        </w:docPartObj>
      </w:sdtPr>
      <w:sdtEndPr>
        <w:rPr>
          <w:noProof/>
        </w:rPr>
      </w:sdtEndPr>
      <w:sdtContent>
        <w:p w14:paraId="78403E9E" w14:textId="77777777" w:rsidR="00735C3F" w:rsidRDefault="00F66115">
          <w:pPr>
            <w:pStyle w:val="TOCHeading"/>
          </w:pPr>
          <w:r>
            <w:t>Contents</w:t>
          </w:r>
        </w:p>
        <w:p w14:paraId="53AF3985" w14:textId="77777777" w:rsidR="00735C3F" w:rsidRDefault="00F66115">
          <w:pPr>
            <w:pStyle w:val="TOC1"/>
            <w:tabs>
              <w:tab w:val="right" w:leader="dot" w:pos="9016"/>
            </w:tabs>
            <w:rPr>
              <w:noProof/>
            </w:rPr>
          </w:pPr>
          <w:r>
            <w:fldChar w:fldCharType="begin"/>
          </w:r>
          <w:r>
            <w:instrText xml:space="preserve"> TOC \o "1-3" \h \z \u </w:instrText>
          </w:r>
          <w:r>
            <w:fldChar w:fldCharType="separate"/>
          </w:r>
          <w:hyperlink w:anchor="_Toc81306766" w:history="1">
            <w:r w:rsidRPr="005D496B">
              <w:rPr>
                <w:rStyle w:val="Hyperlink"/>
                <w:noProof/>
              </w:rPr>
              <w:t>Introduction</w:t>
            </w:r>
            <w:r>
              <w:rPr>
                <w:noProof/>
                <w:webHidden/>
              </w:rPr>
              <w:tab/>
            </w:r>
            <w:r>
              <w:rPr>
                <w:noProof/>
                <w:webHidden/>
              </w:rPr>
              <w:fldChar w:fldCharType="begin"/>
            </w:r>
            <w:r>
              <w:rPr>
                <w:noProof/>
                <w:webHidden/>
              </w:rPr>
              <w:instrText xml:space="preserve"> PAGEREF _Toc81306766 \h </w:instrText>
            </w:r>
            <w:r>
              <w:rPr>
                <w:noProof/>
                <w:webHidden/>
              </w:rPr>
            </w:r>
            <w:r>
              <w:rPr>
                <w:noProof/>
                <w:webHidden/>
              </w:rPr>
              <w:fldChar w:fldCharType="separate"/>
            </w:r>
            <w:r>
              <w:rPr>
                <w:noProof/>
                <w:webHidden/>
              </w:rPr>
              <w:t>3</w:t>
            </w:r>
            <w:r>
              <w:rPr>
                <w:noProof/>
                <w:webHidden/>
              </w:rPr>
              <w:fldChar w:fldCharType="end"/>
            </w:r>
          </w:hyperlink>
        </w:p>
        <w:p w14:paraId="043E828E" w14:textId="77777777" w:rsidR="00735C3F" w:rsidRDefault="00F66115">
          <w:pPr>
            <w:pStyle w:val="TOC1"/>
            <w:tabs>
              <w:tab w:val="right" w:leader="dot" w:pos="9016"/>
            </w:tabs>
            <w:rPr>
              <w:noProof/>
            </w:rPr>
          </w:pPr>
          <w:hyperlink w:anchor="_Toc81306767" w:history="1">
            <w:r w:rsidRPr="005D496B">
              <w:rPr>
                <w:rStyle w:val="Hyperlink"/>
                <w:noProof/>
              </w:rPr>
              <w:t>Reflection of community engagement program</w:t>
            </w:r>
            <w:r>
              <w:rPr>
                <w:noProof/>
                <w:webHidden/>
              </w:rPr>
              <w:tab/>
            </w:r>
            <w:r>
              <w:rPr>
                <w:noProof/>
                <w:webHidden/>
              </w:rPr>
              <w:fldChar w:fldCharType="begin"/>
            </w:r>
            <w:r>
              <w:rPr>
                <w:noProof/>
                <w:webHidden/>
              </w:rPr>
              <w:instrText xml:space="preserve"> PAGEREF _Toc81306767 \h </w:instrText>
            </w:r>
            <w:r>
              <w:rPr>
                <w:noProof/>
                <w:webHidden/>
              </w:rPr>
            </w:r>
            <w:r>
              <w:rPr>
                <w:noProof/>
                <w:webHidden/>
              </w:rPr>
              <w:fldChar w:fldCharType="separate"/>
            </w:r>
            <w:r>
              <w:rPr>
                <w:noProof/>
                <w:webHidden/>
              </w:rPr>
              <w:t>4</w:t>
            </w:r>
            <w:r>
              <w:rPr>
                <w:noProof/>
                <w:webHidden/>
              </w:rPr>
              <w:fldChar w:fldCharType="end"/>
            </w:r>
          </w:hyperlink>
        </w:p>
        <w:p w14:paraId="6D232FE4" w14:textId="77777777" w:rsidR="00735C3F" w:rsidRDefault="00F66115">
          <w:pPr>
            <w:pStyle w:val="TOC1"/>
            <w:tabs>
              <w:tab w:val="right" w:leader="dot" w:pos="9016"/>
            </w:tabs>
            <w:rPr>
              <w:noProof/>
            </w:rPr>
          </w:pPr>
          <w:hyperlink w:anchor="_Toc81306768" w:history="1">
            <w:r w:rsidRPr="005D496B">
              <w:rPr>
                <w:rStyle w:val="Hyperlink"/>
                <w:noProof/>
              </w:rPr>
              <w:t>Conclusion</w:t>
            </w:r>
            <w:r>
              <w:rPr>
                <w:noProof/>
                <w:webHidden/>
              </w:rPr>
              <w:tab/>
            </w:r>
            <w:r>
              <w:rPr>
                <w:noProof/>
                <w:webHidden/>
              </w:rPr>
              <w:fldChar w:fldCharType="begin"/>
            </w:r>
            <w:r>
              <w:rPr>
                <w:noProof/>
                <w:webHidden/>
              </w:rPr>
              <w:instrText xml:space="preserve"> PAGEREF _Toc81306768 \h </w:instrText>
            </w:r>
            <w:r>
              <w:rPr>
                <w:noProof/>
                <w:webHidden/>
              </w:rPr>
            </w:r>
            <w:r>
              <w:rPr>
                <w:noProof/>
                <w:webHidden/>
              </w:rPr>
              <w:fldChar w:fldCharType="separate"/>
            </w:r>
            <w:r>
              <w:rPr>
                <w:noProof/>
                <w:webHidden/>
              </w:rPr>
              <w:t>9</w:t>
            </w:r>
            <w:r>
              <w:rPr>
                <w:noProof/>
                <w:webHidden/>
              </w:rPr>
              <w:fldChar w:fldCharType="end"/>
            </w:r>
          </w:hyperlink>
        </w:p>
        <w:p w14:paraId="79F12168" w14:textId="77777777" w:rsidR="00735C3F" w:rsidRDefault="00F66115">
          <w:pPr>
            <w:pStyle w:val="TOC1"/>
            <w:tabs>
              <w:tab w:val="right" w:leader="dot" w:pos="9016"/>
            </w:tabs>
            <w:rPr>
              <w:noProof/>
            </w:rPr>
          </w:pPr>
          <w:hyperlink w:anchor="_Toc81306769" w:history="1">
            <w:r w:rsidRPr="005D496B">
              <w:rPr>
                <w:rStyle w:val="Hyperlink"/>
                <w:noProof/>
              </w:rPr>
              <w:t>References</w:t>
            </w:r>
            <w:r>
              <w:rPr>
                <w:noProof/>
                <w:webHidden/>
              </w:rPr>
              <w:tab/>
            </w:r>
            <w:r>
              <w:rPr>
                <w:noProof/>
                <w:webHidden/>
              </w:rPr>
              <w:fldChar w:fldCharType="begin"/>
            </w:r>
            <w:r>
              <w:rPr>
                <w:noProof/>
                <w:webHidden/>
              </w:rPr>
              <w:instrText xml:space="preserve"> PAGEREF _Toc81306769 \h </w:instrText>
            </w:r>
            <w:r>
              <w:rPr>
                <w:noProof/>
                <w:webHidden/>
              </w:rPr>
            </w:r>
            <w:r>
              <w:rPr>
                <w:noProof/>
                <w:webHidden/>
              </w:rPr>
              <w:fldChar w:fldCharType="separate"/>
            </w:r>
            <w:r>
              <w:rPr>
                <w:noProof/>
                <w:webHidden/>
              </w:rPr>
              <w:t>10</w:t>
            </w:r>
            <w:r>
              <w:rPr>
                <w:noProof/>
                <w:webHidden/>
              </w:rPr>
              <w:fldChar w:fldCharType="end"/>
            </w:r>
          </w:hyperlink>
        </w:p>
        <w:p w14:paraId="329B7C0F" w14:textId="77777777" w:rsidR="00735C3F" w:rsidRDefault="00F66115">
          <w:r>
            <w:rPr>
              <w:b/>
              <w:bCs/>
              <w:noProof/>
            </w:rPr>
            <w:fldChar w:fldCharType="end"/>
          </w:r>
        </w:p>
      </w:sdtContent>
    </w:sdt>
    <w:p w14:paraId="11F306DF" w14:textId="77777777" w:rsidR="00392EEF" w:rsidRDefault="00392EEF" w:rsidP="00392EEF"/>
    <w:p w14:paraId="335B4E10" w14:textId="77777777" w:rsidR="00392EEF" w:rsidRDefault="00F66115" w:rsidP="00392EEF">
      <w:r>
        <w:br w:type="page"/>
      </w:r>
    </w:p>
    <w:p w14:paraId="50CE865E" w14:textId="77777777" w:rsidR="00B75332" w:rsidRDefault="00F66115" w:rsidP="00392EEF">
      <w:pPr>
        <w:pStyle w:val="Heading1"/>
      </w:pPr>
      <w:bookmarkStart w:id="0" w:name="_Toc81306766"/>
      <w:r>
        <w:lastRenderedPageBreak/>
        <w:t>Introduction</w:t>
      </w:r>
      <w:bookmarkEnd w:id="0"/>
    </w:p>
    <w:p w14:paraId="1E0593BA" w14:textId="77777777" w:rsidR="00392EEF" w:rsidRDefault="00F66115" w:rsidP="00B75332">
      <w:r w:rsidRPr="00AE1935">
        <w:t>Planned and designed community engagement guides can be found in this section of the toolkit. As well as quality and effectiveness, process planning, and engagement suitable to the particular issue, amount of participation to be attained, s</w:t>
      </w:r>
      <w:r w:rsidRPr="00AE1935">
        <w:t>chedule, and variety of stakeholders engaged, it also focuses on engagement. A result of this research, it will be possible to comprehend and evaluate the concept of community involvement, and to adjust the principles and standards that will enable learner</w:t>
      </w:r>
      <w:r w:rsidRPr="00AE1935">
        <w:t>s to connect with stakeholders across a variety of organisations. To improve the learner's creative thinking and logical reasoning in real-world circumstances, interpersonal skills are developed and evaluated.</w:t>
      </w:r>
      <w:r>
        <w:t xml:space="preserve"> </w:t>
      </w:r>
    </w:p>
    <w:p w14:paraId="5700F64C" w14:textId="77777777" w:rsidR="002C449D" w:rsidRDefault="00F66115">
      <w:pPr>
        <w:spacing w:before="0" w:after="200" w:line="276" w:lineRule="auto"/>
        <w:jc w:val="left"/>
        <w:rPr>
          <w:rFonts w:eastAsiaTheme="majorEastAsia" w:cstheme="majorBidi"/>
          <w:b/>
          <w:bCs/>
          <w:color w:val="365F91" w:themeColor="accent1" w:themeShade="BF"/>
          <w:sz w:val="28"/>
          <w:szCs w:val="28"/>
        </w:rPr>
      </w:pPr>
      <w:r>
        <w:br w:type="page"/>
      </w:r>
    </w:p>
    <w:p w14:paraId="5AF5B67F" w14:textId="77777777" w:rsidR="00392EEF" w:rsidRDefault="00F66115" w:rsidP="00392EEF">
      <w:pPr>
        <w:pStyle w:val="Heading1"/>
      </w:pPr>
      <w:bookmarkStart w:id="1" w:name="_Toc81306767"/>
      <w:r>
        <w:lastRenderedPageBreak/>
        <w:t xml:space="preserve">Reflection </w:t>
      </w:r>
      <w:r w:rsidR="00BD6A59">
        <w:t>of community engagement program</w:t>
      </w:r>
      <w:bookmarkEnd w:id="1"/>
      <w:r w:rsidR="00BD6A59">
        <w:t xml:space="preserve"> </w:t>
      </w:r>
    </w:p>
    <w:p w14:paraId="1F670DC4" w14:textId="77777777" w:rsidR="002C449D" w:rsidRDefault="00F66115" w:rsidP="002C449D">
      <w:r w:rsidRPr="00A8057B">
        <w:t>For a community to be successful in the long run, it must participate in a process of building relationships and trust with others. Keep this in mind when planning and creating individual engagement events, which should strive to contribute to the broader</w:t>
      </w:r>
      <w:r w:rsidRPr="00A8057B">
        <w:t xml:space="preserve"> goals of the engagement process, because it's critical</w:t>
      </w:r>
      <w:r w:rsidR="00DE5F60">
        <w:t xml:space="preserve"> (</w:t>
      </w:r>
      <w:r w:rsidR="00DE5F60" w:rsidRPr="00E94829">
        <w:t>Mitchell, 2017</w:t>
      </w:r>
      <w:r w:rsidR="00DE5F60">
        <w:t>)</w:t>
      </w:r>
      <w:r w:rsidRPr="00A8057B">
        <w:t xml:space="preserve">. The level of involvement by certain community or voluntary groups may vary, from offering assistance to co-designing the process, from participating in some engagement activities to </w:t>
      </w:r>
      <w:r w:rsidRPr="00A8057B">
        <w:t>delivering projects that will assist in achieving specific objectives</w:t>
      </w:r>
      <w:r w:rsidR="00DE5F60">
        <w:t xml:space="preserve"> (</w:t>
      </w:r>
      <w:r w:rsidR="00DE5F60" w:rsidRPr="00E94829">
        <w:t>Matheson</w:t>
      </w:r>
      <w:r w:rsidR="00DE5F60">
        <w:t xml:space="preserve"> et al., 2020)</w:t>
      </w:r>
      <w:r>
        <w:t xml:space="preserve">. </w:t>
      </w:r>
    </w:p>
    <w:p w14:paraId="4F87D3B2" w14:textId="77777777" w:rsidR="00A8057B" w:rsidRDefault="00F66115" w:rsidP="002C449D">
      <w:r w:rsidRPr="00A8057B">
        <w:t>Establish the scope and purpose of your partnership before you begin working with anyone else on it. Consider, for instance, identifying or prioritising communi</w:t>
      </w:r>
      <w:r w:rsidRPr="00A8057B">
        <w:t>ty planning needs and priorities. Is the proposition unanimously accepted? For what purpose should a community's decision-making or service delivery be informed? Come up with a new or collaborative way of implementing the Community Plan</w:t>
      </w:r>
      <w:r w:rsidR="00DE5F60">
        <w:t xml:space="preserve"> (</w:t>
      </w:r>
      <w:r w:rsidR="00DE5F60" w:rsidRPr="00E94829">
        <w:t>Matheson</w:t>
      </w:r>
      <w:r w:rsidR="00DE5F60">
        <w:t xml:space="preserve"> et al., 2020)</w:t>
      </w:r>
      <w:r w:rsidRPr="00A8057B">
        <w:t>. The Community Plan has it been revised since it was first published?</w:t>
      </w:r>
    </w:p>
    <w:p w14:paraId="28D1360C" w14:textId="77777777" w:rsidR="00A8057B" w:rsidRDefault="00F66115" w:rsidP="002C449D">
      <w:r w:rsidRPr="00426C42">
        <w:t>Beyond defining engagement goals and expected outcomes, a shared purpose will assist determine the interaction's scope and level of depth. From talks to taking part in decision-maki</w:t>
      </w:r>
      <w:r w:rsidRPr="00426C42">
        <w:t>ng to working on projects or providing services to the community, participation can take many forms</w:t>
      </w:r>
      <w:r w:rsidR="00DE5F60">
        <w:t xml:space="preserve"> (</w:t>
      </w:r>
      <w:r w:rsidR="00DE5F60" w:rsidRPr="00E94829">
        <w:t>Smith</w:t>
      </w:r>
      <w:r w:rsidR="00DE5F60">
        <w:t xml:space="preserve"> et al., 2017)</w:t>
      </w:r>
      <w:r w:rsidRPr="00426C42">
        <w:t>. To stimulate community participation, it is important to inform the public about proposed projects and programmes. However this does n</w:t>
      </w:r>
      <w:r w:rsidRPr="00426C42">
        <w:t>ot constitute community engagement in and of itself. Many communities will require assistance when it comes to genuine engagement. Consequently, CVS can provide assistance, but they may require access to certain resources</w:t>
      </w:r>
      <w:r w:rsidR="00DE5F60">
        <w:t xml:space="preserve"> (</w:t>
      </w:r>
      <w:r w:rsidR="00DE5F60" w:rsidRPr="00E94829">
        <w:t>Mitchell, 2017</w:t>
      </w:r>
      <w:r w:rsidR="00DE5F60">
        <w:t>)</w:t>
      </w:r>
      <w:r w:rsidRPr="00426C42">
        <w:t>.</w:t>
      </w:r>
    </w:p>
    <w:p w14:paraId="7D1330CA" w14:textId="77777777" w:rsidR="00426C42" w:rsidRPr="002C449D" w:rsidRDefault="00F66115" w:rsidP="002C449D">
      <w:r>
        <w:t>T</w:t>
      </w:r>
      <w:r w:rsidRPr="00222853">
        <w:t xml:space="preserve">he eight local </w:t>
      </w:r>
      <w:r w:rsidRPr="00222853">
        <w:t>community plans created by local planning partnerships contains a Community Engagement Plan that encourages community stakeholders to get involved in identifying needs, developing and implementing solutions, and developing new projects and services</w:t>
      </w:r>
      <w:r w:rsidR="00E9485A">
        <w:t xml:space="preserve"> (</w:t>
      </w:r>
      <w:r w:rsidR="00E9485A" w:rsidRPr="00E94829">
        <w:t>Nguyen</w:t>
      </w:r>
      <w:r w:rsidR="00E9485A">
        <w:t xml:space="preserve"> et al., 2021)</w:t>
      </w:r>
      <w:r w:rsidRPr="00222853">
        <w:t>. The Plan encourages local communities to identify, address, and resolve issues and concerns through the community planning process in order to raise participation levels and quality</w:t>
      </w:r>
      <w:r w:rsidR="00E9485A">
        <w:t xml:space="preserve"> (</w:t>
      </w:r>
      <w:r w:rsidR="00E9485A" w:rsidRPr="00E94829">
        <w:t>Smith</w:t>
      </w:r>
      <w:r w:rsidR="00E9485A">
        <w:t xml:space="preserve"> et al., 2017)</w:t>
      </w:r>
      <w:r w:rsidRPr="00222853">
        <w:t>.</w:t>
      </w:r>
      <w:r>
        <w:t xml:space="preserve"> </w:t>
      </w:r>
    </w:p>
    <w:p w14:paraId="6443ABB1" w14:textId="77777777" w:rsidR="002C449D" w:rsidRDefault="00F66115" w:rsidP="001D6B64">
      <w:r>
        <w:lastRenderedPageBreak/>
        <w:t>A wide diversity of interests is fr</w:t>
      </w:r>
      <w:r>
        <w:t>equent among members of the same group. Inhabitants of the community or</w:t>
      </w:r>
      <w:r w:rsidR="001D6B64">
        <w:t xml:space="preserve"> community-based organisations t</w:t>
      </w:r>
      <w:r>
        <w:t xml:space="preserve">he following are only a few. </w:t>
      </w:r>
      <w:r w:rsidR="001D6B64">
        <w:t>Groups</w:t>
      </w:r>
      <w:r>
        <w:t xml:space="preserve"> of people</w:t>
      </w:r>
      <w:r w:rsidR="001D6B64">
        <w:t xml:space="preserve"> who believe in the same thing, Ethnic</w:t>
      </w:r>
      <w:r>
        <w:t xml:space="preserve"> and cultural groups of different r</w:t>
      </w:r>
      <w:r w:rsidR="007C2211">
        <w:t>aces, ethnicities, and cultures, and t</w:t>
      </w:r>
      <w:r>
        <w:t>he use of virtual or web-based communities</w:t>
      </w:r>
      <w:r w:rsidR="001D6B64">
        <w:t>.</w:t>
      </w:r>
      <w:r w:rsidR="007C2211" w:rsidRPr="007C2211">
        <w:t xml:space="preserve"> Many other techniques and outlets will be needed to garner the most engagement from these groups</w:t>
      </w:r>
      <w:r w:rsidR="00E9485A">
        <w:t xml:space="preserve"> (</w:t>
      </w:r>
      <w:r w:rsidR="00E9485A" w:rsidRPr="00E94829">
        <w:t>Joosten</w:t>
      </w:r>
      <w:r w:rsidR="00E9485A">
        <w:t xml:space="preserve"> et al., 2018)</w:t>
      </w:r>
      <w:r w:rsidR="007C2211" w:rsidRPr="007C2211">
        <w:t xml:space="preserve">. Local community development networks and support organisations should be involved in identifying community stakeholders, their special interests and needs, and how to best interact with them. Was the issue or idea going to have an impact on these stakeholders, for example? And who represents these groupings of people, and what are their objectives? If so, what are they? Expertise from the local area could </w:t>
      </w:r>
      <w:r w:rsidR="007C2211">
        <w:t xml:space="preserve">help to fill in knowledge gaps </w:t>
      </w:r>
      <w:r w:rsidR="007C2211" w:rsidRPr="007C2211">
        <w:t>Legislation relating to equal opportunity</w:t>
      </w:r>
      <w:r w:rsidR="00E9485A">
        <w:t xml:space="preserve"> (</w:t>
      </w:r>
      <w:r w:rsidR="00E9485A" w:rsidRPr="000E21D6">
        <w:t>Hayes</w:t>
      </w:r>
      <w:r w:rsidR="00E9485A">
        <w:t xml:space="preserve"> et al., 2019)</w:t>
      </w:r>
      <w:r w:rsidR="007C2211" w:rsidRPr="007C2211">
        <w:t>.</w:t>
      </w:r>
    </w:p>
    <w:p w14:paraId="131E9E50" w14:textId="77777777" w:rsidR="007C2211" w:rsidRDefault="00F66115" w:rsidP="001D6B64">
      <w:r w:rsidRPr="00F62CB1">
        <w:t xml:space="preserve">As plan, keep in mind that there will be a large number of people involved in the process. Depending on where </w:t>
      </w:r>
      <w:r>
        <w:t>students</w:t>
      </w:r>
      <w:r w:rsidRPr="00F62CB1">
        <w:t xml:space="preserve"> are in the engagement process, different communication, information, and interaction s</w:t>
      </w:r>
      <w:r>
        <w:t xml:space="preserve">trategies will be more relevant. </w:t>
      </w:r>
      <w:r w:rsidR="005A6717" w:rsidRPr="005A6717">
        <w:t>Using clear English and avoiding jargon in communication materials is essential. Ideally, they should be easy to obtain and available in multiple languages if necessary</w:t>
      </w:r>
      <w:r w:rsidR="00E9485A">
        <w:t xml:space="preserve"> (</w:t>
      </w:r>
      <w:r w:rsidR="00E9485A" w:rsidRPr="000E21D6">
        <w:t>Hayes</w:t>
      </w:r>
      <w:r w:rsidR="00E9485A">
        <w:t xml:space="preserve"> et al., 2019)</w:t>
      </w:r>
      <w:r w:rsidR="005A6717" w:rsidRPr="005A6717">
        <w:t>. Many societies with a strong oral heritage rely on face-to-face discussions. In order to maximise participation, communication materials should include examples or case studies of how the proposed strategy is likely to influence different people and areas of society</w:t>
      </w:r>
      <w:r w:rsidR="00E9485A">
        <w:t xml:space="preserve"> (</w:t>
      </w:r>
      <w:r w:rsidR="00E9485A" w:rsidRPr="00E94829">
        <w:t>Joosten</w:t>
      </w:r>
      <w:r w:rsidR="00E9485A">
        <w:t xml:space="preserve"> et al., 2018)</w:t>
      </w:r>
      <w:r w:rsidR="005A6717" w:rsidRPr="005A6717">
        <w:t>. Find ways to coordinate or combine activities for maximum impact by making advantage of existing community networks and communication channels.</w:t>
      </w:r>
    </w:p>
    <w:p w14:paraId="18AC23F4" w14:textId="77777777" w:rsidR="005A6717" w:rsidRDefault="00F66115" w:rsidP="001D6B64">
      <w:r w:rsidRPr="00E9531A">
        <w:t>The bulk of engagements will require the following sorts of resources: Employees, volunteers, and anyone else that is interested; There is a need for background</w:t>
      </w:r>
      <w:r w:rsidRPr="00E9531A">
        <w:t xml:space="preserve"> information or briefing document</w:t>
      </w:r>
      <w:r>
        <w:t>s on the subject matter</w:t>
      </w:r>
      <w:r w:rsidR="002C4DB9">
        <w:t xml:space="preserve"> (Alibašić,</w:t>
      </w:r>
      <w:r w:rsidR="002C4DB9" w:rsidRPr="000A705A">
        <w:t xml:space="preserve"> 2018</w:t>
      </w:r>
      <w:r w:rsidR="002C4DB9">
        <w:t>)</w:t>
      </w:r>
      <w:r>
        <w:t>. T</w:t>
      </w:r>
      <w:r w:rsidRPr="00E9531A">
        <w:t>h</w:t>
      </w:r>
      <w:r w:rsidR="00447519">
        <w:t xml:space="preserve">ird-party mediator's assistance, </w:t>
      </w:r>
      <w:r w:rsidR="00261CF8">
        <w:t>Publicity and communication; when the project is completed</w:t>
      </w:r>
      <w:r w:rsidRPr="00E9531A">
        <w:t xml:space="preserve"> a report should be produced and distributed so that others can give their comments on t</w:t>
      </w:r>
      <w:r w:rsidRPr="00E9531A">
        <w:t>he project. To illustrate: support local community groups in recognising, comprehending, and utilisin</w:t>
      </w:r>
      <w:r w:rsidR="00D53869">
        <w:t>g information when appropriate;</w:t>
      </w:r>
      <w:r w:rsidRPr="00E9531A">
        <w:t xml:space="preserve"> </w:t>
      </w:r>
      <w:r w:rsidR="00D53869" w:rsidRPr="00E9531A">
        <w:t>activate</w:t>
      </w:r>
      <w:r w:rsidRPr="00E9531A">
        <w:t xml:space="preserve"> the research study process. Discussions must be held</w:t>
      </w:r>
      <w:r w:rsidR="00447519">
        <w:t xml:space="preserve"> (</w:t>
      </w:r>
      <w:r w:rsidR="00447519" w:rsidRPr="000A705A">
        <w:t>Al-Murani</w:t>
      </w:r>
      <w:r w:rsidR="00447519">
        <w:t xml:space="preserve"> et al., 2019)</w:t>
      </w:r>
      <w:r w:rsidRPr="00E9531A">
        <w:t>.</w:t>
      </w:r>
    </w:p>
    <w:p w14:paraId="1EEC06A8" w14:textId="77777777" w:rsidR="00D53869" w:rsidRDefault="00F66115" w:rsidP="001D6B64">
      <w:r w:rsidRPr="00F12142">
        <w:lastRenderedPageBreak/>
        <w:t xml:space="preserve">What limits they perceive in terms </w:t>
      </w:r>
      <w:r w:rsidRPr="00F12142">
        <w:t>of time, money, or other resources should be clearly stated by the stud</w:t>
      </w:r>
      <w:r>
        <w:t>ents. R</w:t>
      </w:r>
      <w:r w:rsidRPr="00F12142">
        <w:t>estriction to the debate of some topics, such as the legal fram</w:t>
      </w:r>
      <w:r>
        <w:t>ework or already made decisions</w:t>
      </w:r>
      <w:r w:rsidRPr="00F12142">
        <w:t xml:space="preserve"> Because of this, </w:t>
      </w:r>
      <w:r>
        <w:t>they</w:t>
      </w:r>
      <w:r w:rsidRPr="00F12142">
        <w:t xml:space="preserve"> should be prepared to defend some of these boundaries</w:t>
      </w:r>
      <w:r w:rsidR="00447519">
        <w:t xml:space="preserve"> (</w:t>
      </w:r>
      <w:r w:rsidR="00447519" w:rsidRPr="000A705A">
        <w:t>Al-Murani</w:t>
      </w:r>
      <w:r w:rsidR="00447519">
        <w:t xml:space="preserve"> et al., 2019)</w:t>
      </w:r>
      <w:r w:rsidRPr="00F12142">
        <w:t>.</w:t>
      </w:r>
      <w:r>
        <w:t xml:space="preserve"> </w:t>
      </w:r>
      <w:r w:rsidR="0055601F" w:rsidRPr="0055601F">
        <w:t>At every point of the meeting, participants should be kept informed or given the opportunity to influence future phases. Aside from increasing involvement, this will also motivate stakeholders to remain active during the engagement</w:t>
      </w:r>
      <w:r w:rsidR="00447519">
        <w:t xml:space="preserve"> (Alibašić,</w:t>
      </w:r>
      <w:r w:rsidR="00447519" w:rsidRPr="000A705A">
        <w:t xml:space="preserve"> 2018</w:t>
      </w:r>
      <w:r w:rsidR="00447519">
        <w:t>)</w:t>
      </w:r>
      <w:r w:rsidR="0055601F" w:rsidRPr="0055601F">
        <w:t>. As part of the feedback process, stakeholders' input should also be highlighted, as it has influenced or contributed to engagement outcomes.</w:t>
      </w:r>
    </w:p>
    <w:p w14:paraId="5FC82BA7" w14:textId="77777777" w:rsidR="0055601F" w:rsidRDefault="00F66115" w:rsidP="001D6B64">
      <w:r w:rsidRPr="0055601F">
        <w:t>To be successful, you must have a flexible approach! You never know what will happen i</w:t>
      </w:r>
      <w:r w:rsidRPr="0055601F">
        <w:t>n the future. The conditions may change. The stakeholders may not agree with your goals, objectives, or strategy. Stakeholders should be encouraged to stay involved and involved in the process</w:t>
      </w:r>
      <w:r w:rsidR="009004E4">
        <w:t xml:space="preserve"> (Alibašić,</w:t>
      </w:r>
      <w:r w:rsidR="009004E4" w:rsidRPr="000A705A">
        <w:t xml:space="preserve"> 2018</w:t>
      </w:r>
      <w:r w:rsidR="009004E4">
        <w:t>)</w:t>
      </w:r>
      <w:r w:rsidRPr="0055601F">
        <w:t xml:space="preserve">. A continual review of the engagement process </w:t>
      </w:r>
      <w:r w:rsidRPr="0055601F">
        <w:t>is essential, even after it has been finished. For example, the best strategies for engaging with groups in a given area, or the best times and places to engage with them, are examples of meaningful input. All of these observations should be taken into acc</w:t>
      </w:r>
      <w:r w:rsidRPr="0055601F">
        <w:t>ount in future engagement efforts</w:t>
      </w:r>
      <w:r w:rsidR="009004E4">
        <w:t xml:space="preserve"> (</w:t>
      </w:r>
      <w:r w:rsidR="009004E4" w:rsidRPr="000A705A">
        <w:t>Al-Murani</w:t>
      </w:r>
      <w:r w:rsidR="009004E4">
        <w:t xml:space="preserve"> et al., 2019)</w:t>
      </w:r>
      <w:r w:rsidRPr="0055601F">
        <w:t>.</w:t>
      </w:r>
    </w:p>
    <w:p w14:paraId="1D3F9098" w14:textId="77777777" w:rsidR="0055601F" w:rsidRDefault="00F66115" w:rsidP="001D6B64">
      <w:r w:rsidRPr="0055601F">
        <w:t>Applicability, strengths, and weaknesses of each approach and methodology are evaluated. To conclude, an example shows how each method may be used to construct or assess a community plan</w:t>
      </w:r>
      <w:r w:rsidR="000D5B04">
        <w:t xml:space="preserve"> (</w:t>
      </w:r>
      <w:r w:rsidR="000D5B04" w:rsidRPr="000A705A">
        <w:t>Al-Murani</w:t>
      </w:r>
      <w:r w:rsidR="000D5B04">
        <w:t xml:space="preserve"> et al., 2019)</w:t>
      </w:r>
      <w:r w:rsidRPr="0055601F">
        <w:t>. Use approaches that focus on art and creativity to include the community in expressing their opinions and creating ideas through participation. As a method for involving people of all ages in education or school programmes, local community</w:t>
      </w:r>
      <w:r w:rsidRPr="0055601F">
        <w:t xml:space="preserve"> forums, and resident or interest groups, they may be a powerful tool</w:t>
      </w:r>
      <w:r w:rsidR="000D5B04">
        <w:t xml:space="preserve"> (</w:t>
      </w:r>
      <w:r w:rsidR="000D5B04" w:rsidRPr="004632A5">
        <w:t>De Weger</w:t>
      </w:r>
      <w:r w:rsidR="000D5B04">
        <w:t xml:space="preserve"> et al., 2020)</w:t>
      </w:r>
      <w:r w:rsidRPr="0055601F">
        <w:t>.</w:t>
      </w:r>
    </w:p>
    <w:p w14:paraId="2A9AD26A" w14:textId="77777777" w:rsidR="0055601F" w:rsidRDefault="00F66115" w:rsidP="001D6B64">
      <w:r w:rsidRPr="0055601F">
        <w:t>It's fairly uncommon for people to refer to maps and pictures of a certain place or site when asked what they like about or hate about it. Discussions in small g</w:t>
      </w:r>
      <w:r w:rsidRPr="0055601F">
        <w:t>roups lead to the creation of new ideas. Discussion of difficulties, reaching consensus, or highlighting areas of disagreement must be made simpler</w:t>
      </w:r>
      <w:r w:rsidR="000D5B04">
        <w:t xml:space="preserve"> (</w:t>
      </w:r>
      <w:r w:rsidR="000D5B04" w:rsidRPr="004632A5">
        <w:t>De Weger</w:t>
      </w:r>
      <w:r w:rsidR="000D5B04">
        <w:t xml:space="preserve"> et al., 2020)</w:t>
      </w:r>
      <w:r w:rsidRPr="0055601F">
        <w:t>.</w:t>
      </w:r>
      <w:r>
        <w:t xml:space="preserve"> </w:t>
      </w:r>
      <w:r w:rsidRPr="0055601F">
        <w:t xml:space="preserve">Using community mapping to engage individuals of all skill levels is a great idea. </w:t>
      </w:r>
      <w:r w:rsidRPr="0055601F">
        <w:t xml:space="preserve">It is possible to map out land use, community assets, amenities, and transit alternatives in order to get a better image of a </w:t>
      </w:r>
      <w:r w:rsidRPr="0055601F">
        <w:lastRenderedPageBreak/>
        <w:t xml:space="preserve">particular region </w:t>
      </w:r>
      <w:r w:rsidR="008136AD" w:rsidRPr="0055601F">
        <w:t>for</w:t>
      </w:r>
      <w:r w:rsidRPr="0055601F">
        <w:t xml:space="preserve"> cartographic purposes, a variety of materials are available, including chalk and sand</w:t>
      </w:r>
      <w:r w:rsidR="000D5B04">
        <w:t xml:space="preserve"> (</w:t>
      </w:r>
      <w:r w:rsidR="000D5B04" w:rsidRPr="004632A5">
        <w:t>Mitchell</w:t>
      </w:r>
      <w:r w:rsidR="000D5B04">
        <w:t xml:space="preserve"> et al., 2019)</w:t>
      </w:r>
      <w:r w:rsidRPr="0055601F">
        <w:t>.</w:t>
      </w:r>
    </w:p>
    <w:p w14:paraId="1086F305" w14:textId="77777777" w:rsidR="008136AD" w:rsidRDefault="00F66115" w:rsidP="001D6B64">
      <w:r w:rsidRPr="008136AD">
        <w:t>For this approach to work, a model of the region must be created. So that people have a sense of ownership and are engaged from the beginning, the model should be created by locals. Displaying the model in public places will encourage interest and engag</w:t>
      </w:r>
      <w:r w:rsidRPr="008136AD">
        <w:t>ement. Blank cards and cards with thoughts or suggestions are available for purchase</w:t>
      </w:r>
      <w:r w:rsidR="000D5B04">
        <w:t xml:space="preserve"> (</w:t>
      </w:r>
      <w:r w:rsidR="000D5B04" w:rsidRPr="004632A5">
        <w:t>Mitchell</w:t>
      </w:r>
      <w:r w:rsidR="000D5B04">
        <w:t xml:space="preserve"> et al., 2019)</w:t>
      </w:r>
      <w:r w:rsidRPr="008136AD">
        <w:t xml:space="preserve">. Alternatively, each participant may choose or create their own cards that reflect their interests and place them on the model where they feel the </w:t>
      </w:r>
      <w:r w:rsidRPr="008136AD">
        <w:t>concept should be applied, if they so want to do so</w:t>
      </w:r>
      <w:r w:rsidR="000D5B04">
        <w:t xml:space="preserve"> (</w:t>
      </w:r>
      <w:r w:rsidR="000D5B04" w:rsidRPr="004632A5">
        <w:t>De Weger</w:t>
      </w:r>
      <w:r w:rsidR="000D5B04">
        <w:t xml:space="preserve"> et al., 2020)</w:t>
      </w:r>
      <w:r w:rsidRPr="008136AD">
        <w:t>. So, for example, you might build a communal allotment by picking the "community allotment" card and placing it in the desired location.</w:t>
      </w:r>
    </w:p>
    <w:p w14:paraId="2425B75F" w14:textId="77777777" w:rsidR="004E1480" w:rsidRDefault="00F66115" w:rsidP="001D6B64">
      <w:r w:rsidRPr="00CF23B4">
        <w:t>This is done by improving project outcomes,</w:t>
      </w:r>
      <w:r w:rsidRPr="00CF23B4">
        <w:t xml:space="preserve"> which in turn, helps to improve health and economic conditions in a community. Issues may be recognised, problems can be addressed, and new possibilities can be discovered. In their view, connecting communities allows developing difficulties to be identif</w:t>
      </w:r>
      <w:r w:rsidRPr="00CF23B4">
        <w:t>ied and addressed in a proactive manner before they become problems</w:t>
      </w:r>
      <w:r w:rsidR="009F2504">
        <w:t xml:space="preserve"> (</w:t>
      </w:r>
      <w:r w:rsidR="009F2504" w:rsidRPr="004632A5">
        <w:t>De Weger</w:t>
      </w:r>
      <w:r w:rsidR="009F2504">
        <w:t xml:space="preserve"> et al., 2020)</w:t>
      </w:r>
      <w:r w:rsidRPr="00CF23B4">
        <w:t>.</w:t>
      </w:r>
      <w:r>
        <w:t xml:space="preserve"> </w:t>
      </w:r>
      <w:r w:rsidRPr="004E1480">
        <w:t xml:space="preserve">Investing in programmes that address genuine problems and meet real needs may be beneficial to local governments. A well-planned strategy to community involvement </w:t>
      </w:r>
      <w:r w:rsidRPr="004E1480">
        <w:t>allows for the identification of topics that are most important to community members</w:t>
      </w:r>
      <w:r w:rsidR="007251B2">
        <w:t xml:space="preserve"> (</w:t>
      </w:r>
      <w:r w:rsidR="007251B2" w:rsidRPr="000D33CB">
        <w:t>Martinez</w:t>
      </w:r>
      <w:r w:rsidR="007251B2">
        <w:t xml:space="preserve"> et al., 2020)</w:t>
      </w:r>
      <w:r w:rsidRPr="004E1480">
        <w:t xml:space="preserve">. </w:t>
      </w:r>
    </w:p>
    <w:p w14:paraId="55F885F6" w14:textId="77777777" w:rsidR="000E0C7E" w:rsidRDefault="00F66115" w:rsidP="001D6B64">
      <w:r w:rsidRPr="004E1480">
        <w:t>In addition, it will help to ensure that their expectations will be fulfilled and exceeded. According to the community, participation with the government enhances access to government information. There is a resultant increase in the ability to communicate</w:t>
      </w:r>
      <w:r w:rsidRPr="004E1480">
        <w:t xml:space="preserve"> and participate in activities that impact them</w:t>
      </w:r>
      <w:r w:rsidR="007251B2">
        <w:t xml:space="preserve"> (</w:t>
      </w:r>
      <w:r w:rsidR="007251B2" w:rsidRPr="000D33CB">
        <w:t>Martinez</w:t>
      </w:r>
      <w:r w:rsidR="007251B2">
        <w:t xml:space="preserve"> et al., 2020)</w:t>
      </w:r>
      <w:r w:rsidRPr="004E1480">
        <w:t>. As a result, there should be a decrease in misinformation and con</w:t>
      </w:r>
      <w:r>
        <w:t xml:space="preserve">flict among local inhabitants. </w:t>
      </w:r>
      <w:r w:rsidRPr="000E0C7E">
        <w:t>Thus, individuals may feel unable to express themselves, that they will not be taken se</w:t>
      </w:r>
      <w:r w:rsidRPr="000E0C7E">
        <w:t>riously, or that they have no effect on the decision-making process in their community as a result of this situation Geographical or cultural constraints may prevent certain people from contributing their skills, money, and time to the cause</w:t>
      </w:r>
      <w:r w:rsidR="007251B2">
        <w:t xml:space="preserve"> (</w:t>
      </w:r>
      <w:r w:rsidR="007251B2" w:rsidRPr="004632A5">
        <w:t>De Weger</w:t>
      </w:r>
      <w:r w:rsidR="007251B2">
        <w:t xml:space="preserve"> et al., 2020)</w:t>
      </w:r>
      <w:r w:rsidRPr="000E0C7E">
        <w:t xml:space="preserve">. </w:t>
      </w:r>
    </w:p>
    <w:p w14:paraId="3A380F06" w14:textId="77777777" w:rsidR="00261CF8" w:rsidRPr="007C2211" w:rsidRDefault="00F66115" w:rsidP="001D6B64">
      <w:r w:rsidRPr="000E0C7E">
        <w:t xml:space="preserve">WASH programmes may sometimes be viewed as impractical by the public. WASH practitioners may have difficulty putting their technical knowledge into practise, or they </w:t>
      </w:r>
      <w:r w:rsidRPr="000E0C7E">
        <w:lastRenderedPageBreak/>
        <w:t xml:space="preserve">may lack the self-confidence to influence decisions, improve lives, and </w:t>
      </w:r>
      <w:r>
        <w:t>meet t</w:t>
      </w:r>
      <w:r>
        <w:t>he public's expectations</w:t>
      </w:r>
      <w:r w:rsidR="007251B2">
        <w:t xml:space="preserve"> (</w:t>
      </w:r>
      <w:r w:rsidR="007251B2" w:rsidRPr="000D33CB">
        <w:t>Martinez</w:t>
      </w:r>
      <w:r w:rsidR="007251B2">
        <w:t xml:space="preserve"> et al., 2020)</w:t>
      </w:r>
      <w:r>
        <w:t xml:space="preserve">. </w:t>
      </w:r>
      <w:r w:rsidRPr="000E0C7E">
        <w:t xml:space="preserve">Characteristics of rural communities </w:t>
      </w:r>
      <w:r w:rsidR="00D27BEC" w:rsidRPr="000E0C7E">
        <w:t>some</w:t>
      </w:r>
      <w:r w:rsidRPr="000E0C7E">
        <w:t xml:space="preserve"> urban WASH programmes may meet difficulties since many people in metropolitan areas don't know one other. With such a wide range of backgrounds and requirements in </w:t>
      </w:r>
      <w:r w:rsidRPr="000E0C7E">
        <w:t>metropolitan neighbourhoods, it may be challenging to satisfy everyone's needs. When local inhabitants speak various languages or have competing interests, it is more difficult to communicate technical knowledge in a way that is easily understood</w:t>
      </w:r>
      <w:r w:rsidR="007251B2">
        <w:t xml:space="preserve"> (</w:t>
      </w:r>
      <w:r w:rsidR="007251B2" w:rsidRPr="004632A5">
        <w:t>De Weger</w:t>
      </w:r>
      <w:r w:rsidR="007251B2">
        <w:t xml:space="preserve"> et al., 2020)</w:t>
      </w:r>
      <w:r w:rsidRPr="000E0C7E">
        <w:t>. Identification of qualified delegate for meetings and planning sessions who represent the division is a second obstacle to be overcome</w:t>
      </w:r>
      <w:r w:rsidR="00D27BEC">
        <w:t>.</w:t>
      </w:r>
    </w:p>
    <w:p w14:paraId="13A53F29" w14:textId="77777777" w:rsidR="00A4364F" w:rsidRDefault="00F66115">
      <w:pPr>
        <w:spacing w:before="0" w:after="200" w:line="276" w:lineRule="auto"/>
        <w:jc w:val="left"/>
        <w:rPr>
          <w:rFonts w:eastAsiaTheme="majorEastAsia" w:cstheme="majorBidi"/>
          <w:b/>
          <w:bCs/>
          <w:color w:val="365F91" w:themeColor="accent1" w:themeShade="BF"/>
          <w:sz w:val="28"/>
          <w:szCs w:val="28"/>
        </w:rPr>
      </w:pPr>
      <w:r>
        <w:br w:type="page"/>
      </w:r>
    </w:p>
    <w:p w14:paraId="4574C38A" w14:textId="77777777" w:rsidR="00392EEF" w:rsidRDefault="00F66115" w:rsidP="00392EEF">
      <w:pPr>
        <w:pStyle w:val="Heading1"/>
      </w:pPr>
      <w:bookmarkStart w:id="2" w:name="_Toc81306768"/>
      <w:r>
        <w:lastRenderedPageBreak/>
        <w:t>Conclusion</w:t>
      </w:r>
      <w:bookmarkEnd w:id="2"/>
      <w:r>
        <w:t xml:space="preserve"> </w:t>
      </w:r>
    </w:p>
    <w:p w14:paraId="2B7E4F17" w14:textId="77777777" w:rsidR="00A4364F" w:rsidRPr="00A4364F" w:rsidRDefault="00F66115" w:rsidP="00A4364F">
      <w:r w:rsidRPr="00A4364F">
        <w:t>This section of the toolkit contains carefully crafted guides for community participation.</w:t>
      </w:r>
      <w:r w:rsidRPr="00A4364F">
        <w:t xml:space="preserve"> Efficacy and efficiency are addressed as well as the amount of involvement to be accomplished, as well as the diversity of stakeholders engaged, as well as process design and engagement appropriate for a given issue and schedule. As a result of this study</w:t>
      </w:r>
      <w:r w:rsidRPr="00A4364F">
        <w:t xml:space="preserve">'s research and evaluation of community involvement, it is possible to modify the criteria that will allow learners to connect with stakeholders across a range of organisations. In order to improve the students' capacity to think critically and creatively </w:t>
      </w:r>
      <w:r w:rsidRPr="00A4364F">
        <w:t>under pressure, their interpersonal skills have been developed and assessed.</w:t>
      </w:r>
    </w:p>
    <w:p w14:paraId="27ACE38C" w14:textId="77777777" w:rsidR="000A21EA" w:rsidRDefault="00F66115">
      <w:pPr>
        <w:spacing w:before="0" w:after="200" w:line="276" w:lineRule="auto"/>
        <w:jc w:val="left"/>
        <w:rPr>
          <w:rFonts w:eastAsiaTheme="majorEastAsia" w:cstheme="majorBidi"/>
          <w:b/>
          <w:bCs/>
          <w:color w:val="365F91" w:themeColor="accent1" w:themeShade="BF"/>
          <w:sz w:val="28"/>
          <w:szCs w:val="28"/>
        </w:rPr>
      </w:pPr>
      <w:r>
        <w:br w:type="page"/>
      </w:r>
    </w:p>
    <w:p w14:paraId="2EA2428F" w14:textId="77777777" w:rsidR="00392EEF" w:rsidRDefault="00F66115" w:rsidP="00392EEF">
      <w:pPr>
        <w:pStyle w:val="Heading1"/>
      </w:pPr>
      <w:bookmarkStart w:id="3" w:name="_Toc81306769"/>
      <w:r>
        <w:lastRenderedPageBreak/>
        <w:t>References</w:t>
      </w:r>
      <w:bookmarkEnd w:id="3"/>
      <w:r>
        <w:t xml:space="preserve"> </w:t>
      </w:r>
    </w:p>
    <w:p w14:paraId="21E0337B" w14:textId="77777777" w:rsidR="005A10DF" w:rsidRDefault="00F66115" w:rsidP="005A10DF">
      <w:pPr>
        <w:tabs>
          <w:tab w:val="left" w:pos="7044"/>
        </w:tabs>
      </w:pPr>
      <w:r>
        <w:t>Alibašić, H.</w:t>
      </w:r>
      <w:r w:rsidRPr="000A705A">
        <w:t xml:space="preserve"> </w:t>
      </w:r>
      <w:r>
        <w:t>(</w:t>
      </w:r>
      <w:r w:rsidRPr="000A705A">
        <w:t>2018</w:t>
      </w:r>
      <w:r>
        <w:t>)</w:t>
      </w:r>
      <w:r w:rsidRPr="000A705A">
        <w:t>. Identifying the Internal and External Stakeholders, the Level of Organizational and Community Engagement, and the Target Champions. In </w:t>
      </w:r>
      <w:r w:rsidRPr="000A705A">
        <w:rPr>
          <w:i/>
          <w:iCs/>
        </w:rPr>
        <w:t>Sustainab</w:t>
      </w:r>
      <w:r w:rsidRPr="000A705A">
        <w:rPr>
          <w:i/>
          <w:iCs/>
        </w:rPr>
        <w:t>ility and Resilience Planning for Local Governments</w:t>
      </w:r>
      <w:r w:rsidRPr="000A705A">
        <w:t> (pp. 33-43). Springer, Cham.</w:t>
      </w:r>
    </w:p>
    <w:p w14:paraId="3123ACC2" w14:textId="77777777" w:rsidR="005A10DF" w:rsidRDefault="00F66115" w:rsidP="005A10DF">
      <w:pPr>
        <w:tabs>
          <w:tab w:val="left" w:pos="7044"/>
        </w:tabs>
      </w:pPr>
      <w:r w:rsidRPr="000A705A">
        <w:t>Al-Murani, F., Aweko, J., Nordin, I., Delobelle, P., Kasujja, F.X., Östenson, C.G., Peterson, S.S., Da</w:t>
      </w:r>
      <w:r>
        <w:t>ivadanam, M. and Alvesson, H.M.</w:t>
      </w:r>
      <w:r w:rsidRPr="000A705A">
        <w:t xml:space="preserve"> </w:t>
      </w:r>
      <w:r>
        <w:t>(</w:t>
      </w:r>
      <w:r w:rsidRPr="000A705A">
        <w:t>2019</w:t>
      </w:r>
      <w:r>
        <w:t>)</w:t>
      </w:r>
      <w:r w:rsidRPr="000A705A">
        <w:t>.</w:t>
      </w:r>
      <w:r w:rsidRPr="000A705A">
        <w:t xml:space="preserve"> Community and stakeholders’ engagement in the prevention and management of Type 2 diabetes: a qualitative study in socioeconomically disadvantaged suburbs in region Stockholm. </w:t>
      </w:r>
      <w:r w:rsidRPr="000A705A">
        <w:rPr>
          <w:i/>
          <w:iCs/>
        </w:rPr>
        <w:t>Global health action</w:t>
      </w:r>
      <w:r w:rsidRPr="000A705A">
        <w:t>, </w:t>
      </w:r>
      <w:r w:rsidRPr="000A705A">
        <w:rPr>
          <w:i/>
          <w:iCs/>
        </w:rPr>
        <w:t>12</w:t>
      </w:r>
      <w:r w:rsidRPr="000A705A">
        <w:t>(1), p.1609313.</w:t>
      </w:r>
    </w:p>
    <w:p w14:paraId="40A7555C" w14:textId="77777777" w:rsidR="005A10DF" w:rsidRDefault="00F66115" w:rsidP="005A10DF">
      <w:pPr>
        <w:tabs>
          <w:tab w:val="left" w:pos="7044"/>
        </w:tabs>
      </w:pPr>
      <w:r w:rsidRPr="004632A5">
        <w:t>De Weger, E., Van Vooren, N.J.E., Drewe</w:t>
      </w:r>
      <w:r w:rsidRPr="004632A5">
        <w:t>s, H.</w:t>
      </w:r>
      <w:r>
        <w:t>W., Luijkx, K.G. and Baan, C.A.</w:t>
      </w:r>
      <w:r w:rsidRPr="004632A5">
        <w:t xml:space="preserve"> </w:t>
      </w:r>
      <w:r>
        <w:t>(</w:t>
      </w:r>
      <w:r w:rsidRPr="004632A5">
        <w:t>2020</w:t>
      </w:r>
      <w:r>
        <w:t>)</w:t>
      </w:r>
      <w:r w:rsidRPr="004632A5">
        <w:t>. Searching for new community engagement approaches in the Netherlands: A realist qualitative study. </w:t>
      </w:r>
      <w:r w:rsidRPr="004632A5">
        <w:rPr>
          <w:i/>
          <w:iCs/>
        </w:rPr>
        <w:t>BMC public health</w:t>
      </w:r>
      <w:r w:rsidRPr="004632A5">
        <w:t>, </w:t>
      </w:r>
      <w:r w:rsidRPr="004632A5">
        <w:rPr>
          <w:i/>
          <w:iCs/>
        </w:rPr>
        <w:t>20</w:t>
      </w:r>
      <w:r w:rsidRPr="004632A5">
        <w:t>(1), pp.1-13.</w:t>
      </w:r>
    </w:p>
    <w:p w14:paraId="6E827DD1" w14:textId="77777777" w:rsidR="005A10DF" w:rsidRDefault="00F66115" w:rsidP="005A10DF">
      <w:pPr>
        <w:tabs>
          <w:tab w:val="left" w:pos="7044"/>
        </w:tabs>
      </w:pPr>
      <w:r w:rsidRPr="000E21D6">
        <w:t>Hayes, J.E., Fisher, R.M., S</w:t>
      </w:r>
      <w:r>
        <w:t>tevenson, R.J. and Stuetz, R.M.</w:t>
      </w:r>
      <w:r w:rsidRPr="000E21D6">
        <w:t xml:space="preserve"> </w:t>
      </w:r>
      <w:r>
        <w:t>(</w:t>
      </w:r>
      <w:r w:rsidRPr="000E21D6">
        <w:t>2019</w:t>
      </w:r>
      <w:r>
        <w:t>)</w:t>
      </w:r>
      <w:r w:rsidRPr="000E21D6">
        <w:t>. Investiga</w:t>
      </w:r>
      <w:r w:rsidRPr="000E21D6">
        <w:t>tion of non-community stakeholders regarding community engagement and environmental malodour. </w:t>
      </w:r>
      <w:r w:rsidRPr="000E21D6">
        <w:rPr>
          <w:i/>
          <w:iCs/>
        </w:rPr>
        <w:t>Science of The Total Environment</w:t>
      </w:r>
      <w:r w:rsidRPr="000E21D6">
        <w:t>, </w:t>
      </w:r>
      <w:r w:rsidRPr="000E21D6">
        <w:rPr>
          <w:i/>
          <w:iCs/>
        </w:rPr>
        <w:t>665</w:t>
      </w:r>
      <w:r w:rsidRPr="000E21D6">
        <w:t>, pp.546-556.</w:t>
      </w:r>
    </w:p>
    <w:p w14:paraId="1F219B23" w14:textId="77777777" w:rsidR="005A10DF" w:rsidRDefault="00F66115" w:rsidP="005A10DF">
      <w:pPr>
        <w:tabs>
          <w:tab w:val="left" w:pos="7044"/>
        </w:tabs>
      </w:pPr>
      <w:r w:rsidRPr="00E94829">
        <w:t>Joosten, Y.A., Israel, T.L., Head, A., Vaughn, Y., Gil, V.V</w:t>
      </w:r>
      <w:r>
        <w:t>., Mouton, C. and Wilkins, C.H.</w:t>
      </w:r>
      <w:r w:rsidRPr="00E94829">
        <w:t xml:space="preserve"> </w:t>
      </w:r>
      <w:r>
        <w:t>(</w:t>
      </w:r>
      <w:r w:rsidRPr="00E94829">
        <w:t>2018</w:t>
      </w:r>
      <w:r>
        <w:t>)</w:t>
      </w:r>
      <w:r w:rsidRPr="00E94829">
        <w:t>. Enhancing tr</w:t>
      </w:r>
      <w:r w:rsidRPr="00E94829">
        <w:t>anslational researchers’ ability to collaborate with community stakeholders: lessons from the community engagement studio. </w:t>
      </w:r>
      <w:r w:rsidRPr="00E94829">
        <w:rPr>
          <w:i/>
          <w:iCs/>
        </w:rPr>
        <w:t>Journal of clinical and translational science</w:t>
      </w:r>
      <w:r w:rsidRPr="00E94829">
        <w:t>, </w:t>
      </w:r>
      <w:r w:rsidRPr="00E94829">
        <w:rPr>
          <w:i/>
          <w:iCs/>
        </w:rPr>
        <w:t>2</w:t>
      </w:r>
      <w:r w:rsidRPr="00E94829">
        <w:t>(4), pp.201-207.</w:t>
      </w:r>
    </w:p>
    <w:p w14:paraId="674949E1" w14:textId="77777777" w:rsidR="005A10DF" w:rsidRPr="00E94829" w:rsidRDefault="00F66115" w:rsidP="005A10DF">
      <w:pPr>
        <w:tabs>
          <w:tab w:val="left" w:pos="7044"/>
        </w:tabs>
      </w:pPr>
      <w:r w:rsidRPr="000D33CB">
        <w:t>Martinez, L.S., Rapkin, B.D., Young, A., Freisthler, B., Glasgow, L.</w:t>
      </w:r>
      <w:r w:rsidRPr="000D33CB">
        <w:t xml:space="preserve">, Hunt, T., Salsberry, P.J., Oga, E.A., Bennet-Fallin, A., </w:t>
      </w:r>
      <w:r>
        <w:t>Plouck, T.J. and Drainoni, M.L.</w:t>
      </w:r>
      <w:r w:rsidRPr="000D33CB">
        <w:t xml:space="preserve"> </w:t>
      </w:r>
      <w:r>
        <w:t>(</w:t>
      </w:r>
      <w:r w:rsidRPr="000D33CB">
        <w:t>2020</w:t>
      </w:r>
      <w:r>
        <w:t>)</w:t>
      </w:r>
      <w:r w:rsidRPr="000D33CB">
        <w:t>. Community engagement to implement evidence-based practices in the HEALing Communities Study. </w:t>
      </w:r>
      <w:r w:rsidRPr="000D33CB">
        <w:rPr>
          <w:i/>
          <w:iCs/>
        </w:rPr>
        <w:t>Drug and Alcohol Dependence</w:t>
      </w:r>
      <w:r w:rsidRPr="000D33CB">
        <w:t>, </w:t>
      </w:r>
      <w:r w:rsidRPr="000D33CB">
        <w:rPr>
          <w:i/>
          <w:iCs/>
        </w:rPr>
        <w:t>217</w:t>
      </w:r>
      <w:r w:rsidRPr="000D33CB">
        <w:t>, p.108326.</w:t>
      </w:r>
    </w:p>
    <w:p w14:paraId="01A4377A" w14:textId="77777777" w:rsidR="005A10DF" w:rsidRDefault="00F66115" w:rsidP="005A10DF">
      <w:pPr>
        <w:tabs>
          <w:tab w:val="left" w:pos="7044"/>
        </w:tabs>
      </w:pPr>
      <w:r w:rsidRPr="00E94829">
        <w:t>Matheson, D.W., Remp</w:t>
      </w:r>
      <w:r w:rsidRPr="00E94829">
        <w:t>e, G</w:t>
      </w:r>
      <w:r>
        <w:t>., Saltis, M.N. and Nowag, A.D.</w:t>
      </w:r>
      <w:r w:rsidRPr="00E94829">
        <w:t xml:space="preserve"> </w:t>
      </w:r>
      <w:r>
        <w:t>(</w:t>
      </w:r>
      <w:r w:rsidRPr="00E94829">
        <w:t>2020</w:t>
      </w:r>
      <w:r>
        <w:t>)</w:t>
      </w:r>
      <w:r w:rsidRPr="00E94829">
        <w:t>. Community engagement: mentor beliefs across training and experience. </w:t>
      </w:r>
      <w:r w:rsidRPr="00E94829">
        <w:rPr>
          <w:i/>
          <w:iCs/>
        </w:rPr>
        <w:t>Mentoring &amp; Tutoring: Partnership in Learning</w:t>
      </w:r>
      <w:r w:rsidRPr="00E94829">
        <w:t>, </w:t>
      </w:r>
      <w:r w:rsidRPr="00E94829">
        <w:rPr>
          <w:i/>
          <w:iCs/>
        </w:rPr>
        <w:t>28</w:t>
      </w:r>
      <w:r w:rsidRPr="00E94829">
        <w:t>(1), pp.26-43.</w:t>
      </w:r>
    </w:p>
    <w:p w14:paraId="13F0E4AB" w14:textId="77777777" w:rsidR="005A10DF" w:rsidRDefault="00F66115" w:rsidP="005A10DF">
      <w:pPr>
        <w:tabs>
          <w:tab w:val="left" w:pos="7044"/>
        </w:tabs>
      </w:pPr>
      <w:r w:rsidRPr="004632A5">
        <w:lastRenderedPageBreak/>
        <w:t>Mitchell, J., Cooke, P., Baral, S., Bull, N., Stones, C., Tsekleves, E., Verdez</w:t>
      </w:r>
      <w:r w:rsidRPr="004632A5">
        <w:t>oto, N., Arjyal, A., Giri</w:t>
      </w:r>
      <w:r>
        <w:t>, R., Shrestha, A. and King, R.</w:t>
      </w:r>
      <w:r w:rsidRPr="004632A5">
        <w:t xml:space="preserve"> </w:t>
      </w:r>
      <w:r>
        <w:t>(</w:t>
      </w:r>
      <w:r w:rsidRPr="004632A5">
        <w:t>2019</w:t>
      </w:r>
      <w:r>
        <w:t>)</w:t>
      </w:r>
      <w:r w:rsidRPr="004632A5">
        <w:t>. The values and principles underpinning community engagement approaches to tackling antimicrobial resistance (AMR). </w:t>
      </w:r>
      <w:r w:rsidRPr="004632A5">
        <w:rPr>
          <w:i/>
          <w:iCs/>
        </w:rPr>
        <w:t>Global Health Action</w:t>
      </w:r>
      <w:r w:rsidRPr="004632A5">
        <w:t>, </w:t>
      </w:r>
      <w:r w:rsidRPr="004632A5">
        <w:rPr>
          <w:i/>
          <w:iCs/>
        </w:rPr>
        <w:t>12</w:t>
      </w:r>
      <w:r w:rsidRPr="004632A5">
        <w:t>(sup1), p.1837484.</w:t>
      </w:r>
    </w:p>
    <w:p w14:paraId="1B812115" w14:textId="77777777" w:rsidR="005A10DF" w:rsidRDefault="00F66115" w:rsidP="005A10DF">
      <w:r>
        <w:t>Mitchell, T.D.</w:t>
      </w:r>
      <w:r w:rsidRPr="00E94829">
        <w:t xml:space="preserve"> </w:t>
      </w:r>
      <w:r>
        <w:t>(</w:t>
      </w:r>
      <w:r w:rsidRPr="00E94829">
        <w:t>2017</w:t>
      </w:r>
      <w:r>
        <w:t>)</w:t>
      </w:r>
      <w:r w:rsidRPr="00E94829">
        <w:t xml:space="preserve">. </w:t>
      </w:r>
      <w:r w:rsidRPr="00E94829">
        <w:t>Teaching community on and off campus: An intersectional approach to community engagement. </w:t>
      </w:r>
      <w:r w:rsidRPr="00E94829">
        <w:rPr>
          <w:i/>
          <w:iCs/>
        </w:rPr>
        <w:t>New Directions for Student Services</w:t>
      </w:r>
      <w:r w:rsidRPr="00E94829">
        <w:t>, </w:t>
      </w:r>
      <w:r w:rsidRPr="00E94829">
        <w:rPr>
          <w:i/>
          <w:iCs/>
        </w:rPr>
        <w:t>2017</w:t>
      </w:r>
      <w:r w:rsidRPr="00E94829">
        <w:t>(157), pp.35-44.</w:t>
      </w:r>
    </w:p>
    <w:p w14:paraId="43DEE102" w14:textId="77777777" w:rsidR="005A10DF" w:rsidRDefault="00F66115" w:rsidP="005A10DF">
      <w:pPr>
        <w:tabs>
          <w:tab w:val="left" w:pos="7044"/>
        </w:tabs>
      </w:pPr>
      <w:r w:rsidRPr="00E94829">
        <w:t>Nguyen, K.A., A</w:t>
      </w:r>
      <w:r>
        <w:t>zevedo, F.S. and Papendieck, A.</w:t>
      </w:r>
      <w:r w:rsidRPr="00E94829">
        <w:t xml:space="preserve"> </w:t>
      </w:r>
      <w:r>
        <w:t>(</w:t>
      </w:r>
      <w:r w:rsidRPr="00E94829">
        <w:t>2021</w:t>
      </w:r>
      <w:r>
        <w:t>)</w:t>
      </w:r>
      <w:r w:rsidRPr="00E94829">
        <w:t>.</w:t>
      </w:r>
      <w:r w:rsidRPr="00E94829">
        <w:t xml:space="preserve"> No longer an imaginary case: Community, plans, and actions in canoeing rapids. </w:t>
      </w:r>
      <w:r w:rsidRPr="00E94829">
        <w:rPr>
          <w:i/>
          <w:iCs/>
        </w:rPr>
        <w:t>Journal of the Learning Sciences</w:t>
      </w:r>
      <w:r w:rsidRPr="00E94829">
        <w:t>, pp.1-47.</w:t>
      </w:r>
    </w:p>
    <w:p w14:paraId="586AD8AA" w14:textId="77777777" w:rsidR="00392EEF" w:rsidRPr="00392EEF" w:rsidRDefault="00F66115" w:rsidP="005A10DF">
      <w:pPr>
        <w:tabs>
          <w:tab w:val="left" w:pos="7044"/>
        </w:tabs>
      </w:pPr>
      <w:r w:rsidRPr="00E94829">
        <w:t>Smith, J.A., Larkin, S.</w:t>
      </w:r>
      <w:r>
        <w:t>, Yibarbuk, D. and Guenther, J.</w:t>
      </w:r>
      <w:r w:rsidRPr="00E94829">
        <w:t xml:space="preserve"> </w:t>
      </w:r>
      <w:r>
        <w:t>(</w:t>
      </w:r>
      <w:r w:rsidRPr="00E94829">
        <w:t>2017</w:t>
      </w:r>
      <w:r>
        <w:t>)</w:t>
      </w:r>
      <w:r w:rsidRPr="00E94829">
        <w:t>. What do we know about community engagement in Indigenous education con</w:t>
      </w:r>
      <w:r w:rsidRPr="00E94829">
        <w:t>texts and how might this impact on pathways into higher education?. In </w:t>
      </w:r>
      <w:r w:rsidRPr="00E94829">
        <w:rPr>
          <w:i/>
          <w:iCs/>
        </w:rPr>
        <w:t>Indigenous pathways, transitions and participation in higher education</w:t>
      </w:r>
      <w:r w:rsidRPr="00E94829">
        <w:t> (pp. 31-44). Springer, Singapore.</w:t>
      </w:r>
    </w:p>
    <w:sectPr w:rsidR="00392EEF" w:rsidRPr="00392EEF">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DABAD" w14:textId="77777777" w:rsidR="00000000" w:rsidRDefault="00F66115">
      <w:pPr>
        <w:spacing w:before="0" w:after="0" w:line="240" w:lineRule="auto"/>
      </w:pPr>
      <w:r>
        <w:separator/>
      </w:r>
    </w:p>
  </w:endnote>
  <w:endnote w:type="continuationSeparator" w:id="0">
    <w:p w14:paraId="717B6EE9" w14:textId="77777777" w:rsidR="00000000" w:rsidRDefault="00F6611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7795093"/>
      <w:docPartObj>
        <w:docPartGallery w:val="Page Numbers (Bottom of Page)"/>
        <w:docPartUnique/>
      </w:docPartObj>
    </w:sdtPr>
    <w:sdtEndPr>
      <w:rPr>
        <w:noProof/>
      </w:rPr>
    </w:sdtEndPr>
    <w:sdtContent>
      <w:p w14:paraId="60CD607B" w14:textId="77777777" w:rsidR="00735C3F" w:rsidRDefault="00F66115">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14:paraId="41FB278C" w14:textId="77777777" w:rsidR="00735C3F" w:rsidRDefault="00735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06C621" w14:textId="77777777" w:rsidR="00000000" w:rsidRDefault="00F66115">
      <w:pPr>
        <w:spacing w:before="0" w:after="0" w:line="240" w:lineRule="auto"/>
      </w:pPr>
      <w:r>
        <w:separator/>
      </w:r>
    </w:p>
  </w:footnote>
  <w:footnote w:type="continuationSeparator" w:id="0">
    <w:p w14:paraId="178D2AFD" w14:textId="77777777" w:rsidR="00000000" w:rsidRDefault="00F66115">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2EEF"/>
    <w:rsid w:val="000A21EA"/>
    <w:rsid w:val="000A705A"/>
    <w:rsid w:val="000D33CB"/>
    <w:rsid w:val="000D5B04"/>
    <w:rsid w:val="000E0C7E"/>
    <w:rsid w:val="000E21D6"/>
    <w:rsid w:val="000F37D6"/>
    <w:rsid w:val="001D6B64"/>
    <w:rsid w:val="00222853"/>
    <w:rsid w:val="00261CF8"/>
    <w:rsid w:val="00272724"/>
    <w:rsid w:val="002C449D"/>
    <w:rsid w:val="002C4DB9"/>
    <w:rsid w:val="00392EEF"/>
    <w:rsid w:val="00426C42"/>
    <w:rsid w:val="00447519"/>
    <w:rsid w:val="004632A5"/>
    <w:rsid w:val="004E1480"/>
    <w:rsid w:val="00512318"/>
    <w:rsid w:val="0055601F"/>
    <w:rsid w:val="005A10DF"/>
    <w:rsid w:val="005A6717"/>
    <w:rsid w:val="005D496B"/>
    <w:rsid w:val="007251B2"/>
    <w:rsid w:val="00735C3F"/>
    <w:rsid w:val="00756DA3"/>
    <w:rsid w:val="007C2211"/>
    <w:rsid w:val="008136AD"/>
    <w:rsid w:val="009004E4"/>
    <w:rsid w:val="00920A54"/>
    <w:rsid w:val="009F2504"/>
    <w:rsid w:val="00A4364F"/>
    <w:rsid w:val="00A8057B"/>
    <w:rsid w:val="00AE1935"/>
    <w:rsid w:val="00B75332"/>
    <w:rsid w:val="00BD6A59"/>
    <w:rsid w:val="00C20C01"/>
    <w:rsid w:val="00CF23B4"/>
    <w:rsid w:val="00D27BEC"/>
    <w:rsid w:val="00D53869"/>
    <w:rsid w:val="00DE5F60"/>
    <w:rsid w:val="00E6387F"/>
    <w:rsid w:val="00E94829"/>
    <w:rsid w:val="00E9485A"/>
    <w:rsid w:val="00E9531A"/>
    <w:rsid w:val="00F12142"/>
    <w:rsid w:val="00F62CB1"/>
    <w:rsid w:val="00F66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35E4D"/>
  <w15:docId w15:val="{7519132D-5891-430C-B0FA-31ACB497C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87F"/>
    <w:pPr>
      <w:spacing w:before="120" w:after="320" w:line="360" w:lineRule="auto"/>
      <w:jc w:val="both"/>
    </w:pPr>
    <w:rPr>
      <w:rFonts w:asciiTheme="minorHAnsi" w:hAnsiTheme="minorHAnsi"/>
    </w:rPr>
  </w:style>
  <w:style w:type="paragraph" w:styleId="Heading1">
    <w:name w:val="heading 1"/>
    <w:basedOn w:val="Normal"/>
    <w:next w:val="Normal"/>
    <w:link w:val="Heading1Char"/>
    <w:uiPriority w:val="9"/>
    <w:qFormat/>
    <w:rsid w:val="00756DA3"/>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20C01"/>
    <w:pPr>
      <w:keepNext/>
      <w:keepLines/>
      <w:spacing w:before="200" w:after="0"/>
      <w:outlineLvl w:val="1"/>
    </w:pPr>
    <w:rPr>
      <w:rFonts w:eastAsiaTheme="majorEastAsia" w:cstheme="majorBidi"/>
      <w:b/>
      <w:bCs/>
      <w:color w:val="4F81BD" w:themeColor="accen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6DA3"/>
    <w:rPr>
      <w:rFonts w:eastAsiaTheme="majorEastAsia"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20C01"/>
    <w:rPr>
      <w:rFonts w:eastAsiaTheme="majorEastAsia" w:cstheme="majorBidi"/>
      <w:b/>
      <w:bCs/>
      <w:color w:val="4F81BD" w:themeColor="accent1"/>
      <w:szCs w:val="26"/>
    </w:rPr>
  </w:style>
  <w:style w:type="paragraph" w:styleId="Title">
    <w:name w:val="Title"/>
    <w:basedOn w:val="Normal"/>
    <w:next w:val="Normal"/>
    <w:link w:val="TitleChar"/>
    <w:uiPriority w:val="10"/>
    <w:qFormat/>
    <w:rsid w:val="00392EEF"/>
    <w:pPr>
      <w:pBdr>
        <w:bottom w:val="single" w:sz="8" w:space="4" w:color="4F81BD" w:themeColor="accent1"/>
      </w:pBdr>
      <w:spacing w:before="0"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92EEF"/>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735C3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35C3F"/>
    <w:rPr>
      <w:rFonts w:asciiTheme="minorHAnsi" w:hAnsiTheme="minorHAnsi"/>
    </w:rPr>
  </w:style>
  <w:style w:type="paragraph" w:styleId="Footer">
    <w:name w:val="footer"/>
    <w:basedOn w:val="Normal"/>
    <w:link w:val="FooterChar"/>
    <w:uiPriority w:val="99"/>
    <w:unhideWhenUsed/>
    <w:rsid w:val="00735C3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35C3F"/>
    <w:rPr>
      <w:rFonts w:asciiTheme="minorHAnsi" w:hAnsiTheme="minorHAnsi"/>
    </w:rPr>
  </w:style>
  <w:style w:type="paragraph" w:styleId="TOCHeading">
    <w:name w:val="TOC Heading"/>
    <w:basedOn w:val="Heading1"/>
    <w:next w:val="Normal"/>
    <w:uiPriority w:val="39"/>
    <w:semiHidden/>
    <w:unhideWhenUsed/>
    <w:qFormat/>
    <w:rsid w:val="00735C3F"/>
    <w:pPr>
      <w:spacing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735C3F"/>
    <w:pPr>
      <w:spacing w:after="100"/>
    </w:pPr>
  </w:style>
  <w:style w:type="character" w:styleId="Hyperlink">
    <w:name w:val="Hyperlink"/>
    <w:basedOn w:val="DefaultParagraphFont"/>
    <w:uiPriority w:val="99"/>
    <w:unhideWhenUsed/>
    <w:rsid w:val="00735C3F"/>
    <w:rPr>
      <w:color w:val="0000FF" w:themeColor="hyperlink"/>
      <w:u w:val="single"/>
    </w:rPr>
  </w:style>
  <w:style w:type="paragraph" w:styleId="BalloonText">
    <w:name w:val="Balloon Text"/>
    <w:basedOn w:val="Normal"/>
    <w:link w:val="BalloonTextChar"/>
    <w:uiPriority w:val="99"/>
    <w:semiHidden/>
    <w:unhideWhenUsed/>
    <w:rsid w:val="00735C3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5C3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7688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3B4466-B63D-466F-90C0-26ADC144CB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2274</Words>
  <Characters>12964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Sava Mantchev</cp:lastModifiedBy>
  <cp:revision>2</cp:revision>
  <dcterms:created xsi:type="dcterms:W3CDTF">2021-09-02T07:30:00Z</dcterms:created>
  <dcterms:modified xsi:type="dcterms:W3CDTF">2021-09-02T07:30:00Z</dcterms:modified>
</cp:coreProperties>
</file>