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C7709" w14:textId="0EABDD2F" w:rsidR="00A929BF" w:rsidRDefault="00DF6C80">
      <w:pPr>
        <w:rPr>
          <w:lang w:val="ro-RO"/>
        </w:rPr>
      </w:pPr>
      <w:r>
        <w:rPr>
          <w:noProof/>
          <w:lang w:val="ro-RO"/>
        </w:rPr>
        <w:drawing>
          <wp:anchor distT="0" distB="0" distL="114300" distR="114300" simplePos="0" relativeHeight="251658240" behindDoc="0" locked="0" layoutInCell="1" allowOverlap="1" wp14:anchorId="725115DC" wp14:editId="2A1320A6">
            <wp:simplePos x="0" y="0"/>
            <wp:positionH relativeFrom="margin">
              <wp:posOffset>-616585</wp:posOffset>
            </wp:positionH>
            <wp:positionV relativeFrom="margin">
              <wp:posOffset>-762000</wp:posOffset>
            </wp:positionV>
            <wp:extent cx="2585757" cy="1747520"/>
            <wp:effectExtent l="0" t="0" r="5080" b="5080"/>
            <wp:wrapSquare wrapText="bothSides"/>
            <wp:docPr id="214614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46683" name="Picture 21461466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5757" cy="1747520"/>
                    </a:xfrm>
                    <a:prstGeom prst="rect">
                      <a:avLst/>
                    </a:prstGeom>
                  </pic:spPr>
                </pic:pic>
              </a:graphicData>
            </a:graphic>
          </wp:anchor>
        </w:drawing>
      </w:r>
    </w:p>
    <w:p w14:paraId="33E22BA4" w14:textId="77777777" w:rsidR="00DF6C80" w:rsidRDefault="00DF6C80">
      <w:pPr>
        <w:rPr>
          <w:lang w:val="ro-RO"/>
        </w:rPr>
      </w:pPr>
    </w:p>
    <w:p w14:paraId="4E78D619" w14:textId="77777777" w:rsidR="00DF6C80" w:rsidRDefault="00DF6C80">
      <w:pPr>
        <w:rPr>
          <w:lang w:val="ro-RO"/>
        </w:rPr>
      </w:pPr>
    </w:p>
    <w:p w14:paraId="2447BC59" w14:textId="77777777" w:rsidR="00DF6C80" w:rsidRDefault="00DF6C80" w:rsidP="00DF6C80">
      <w:pPr>
        <w:rPr>
          <w:lang w:val="ro-RO"/>
        </w:rPr>
      </w:pPr>
    </w:p>
    <w:p w14:paraId="0937DF4E" w14:textId="77777777" w:rsidR="00DF6C80" w:rsidRDefault="00DF6C80">
      <w:pPr>
        <w:rPr>
          <w:lang w:val="ro-RO"/>
        </w:rPr>
      </w:pPr>
    </w:p>
    <w:p w14:paraId="6CCE272B" w14:textId="77777777" w:rsidR="00DF6C80" w:rsidRDefault="00DF6C80">
      <w:pPr>
        <w:rPr>
          <w:lang w:val="ro-RO"/>
        </w:rPr>
      </w:pPr>
    </w:p>
    <w:p w14:paraId="08F57219" w14:textId="675EFB97" w:rsidR="00DF6C80" w:rsidRPr="00DF6C80" w:rsidRDefault="00DF6C80" w:rsidP="00DF6C80">
      <w:pPr>
        <w:pStyle w:val="Quote"/>
        <w:rPr>
          <w:rStyle w:val="Strong"/>
        </w:rPr>
      </w:pPr>
      <w:r w:rsidRPr="00DF6C80">
        <w:rPr>
          <w:rStyle w:val="Strong"/>
        </w:rPr>
        <w:t xml:space="preserve">STUDENT NAME: IONELA SORINA OCNEANU </w:t>
      </w:r>
    </w:p>
    <w:p w14:paraId="600D7F3F" w14:textId="0AE51B67" w:rsidR="00DF6C80" w:rsidRPr="00DF6C80" w:rsidRDefault="00DF6C80" w:rsidP="00DF6C80">
      <w:pPr>
        <w:pStyle w:val="Quote"/>
        <w:rPr>
          <w:rStyle w:val="Strong"/>
        </w:rPr>
      </w:pPr>
      <w:r w:rsidRPr="00DF6C80">
        <w:rPr>
          <w:rStyle w:val="Strong"/>
        </w:rPr>
        <w:t xml:space="preserve">STUDENT ID: 2234046 </w:t>
      </w:r>
    </w:p>
    <w:p w14:paraId="4EA65F4D" w14:textId="68311A69" w:rsidR="00DF6C80" w:rsidRPr="00DF6C80" w:rsidRDefault="00DF6C80" w:rsidP="00DF6C80">
      <w:pPr>
        <w:pStyle w:val="Quote"/>
        <w:rPr>
          <w:rStyle w:val="Strong"/>
        </w:rPr>
      </w:pPr>
      <w:r w:rsidRPr="00DF6C80">
        <w:rPr>
          <w:rStyle w:val="Strong"/>
        </w:rPr>
        <w:t>MODULE CODE: LCBB6006</w:t>
      </w:r>
    </w:p>
    <w:p w14:paraId="276298DA" w14:textId="7440E806" w:rsidR="00DF6C80" w:rsidRPr="00DF6C80" w:rsidRDefault="00DF6C80" w:rsidP="00DF6C80">
      <w:pPr>
        <w:pStyle w:val="Quote"/>
        <w:rPr>
          <w:rStyle w:val="Strong"/>
        </w:rPr>
      </w:pPr>
      <w:r w:rsidRPr="00DF6C80">
        <w:rPr>
          <w:rStyle w:val="Strong"/>
        </w:rPr>
        <w:t xml:space="preserve">LECTURE NAME: SHUJUN XIAO </w:t>
      </w:r>
    </w:p>
    <w:p w14:paraId="586940B3" w14:textId="1A8A2278" w:rsidR="00DF6C80" w:rsidRPr="00DF6C80" w:rsidRDefault="00DF6C80" w:rsidP="00DF6C80">
      <w:pPr>
        <w:pStyle w:val="Quote"/>
        <w:rPr>
          <w:rStyle w:val="Strong"/>
        </w:rPr>
      </w:pPr>
      <w:r w:rsidRPr="00DF6C80">
        <w:rPr>
          <w:rStyle w:val="Strong"/>
        </w:rPr>
        <w:t>MODULE NAME: PROJECT MANAGEMENT</w:t>
      </w:r>
    </w:p>
    <w:p w14:paraId="78DA54A5" w14:textId="71C84138" w:rsidR="00DF6C80" w:rsidRDefault="00DF6C80" w:rsidP="00DF6C80">
      <w:pPr>
        <w:pStyle w:val="Quote"/>
        <w:rPr>
          <w:rStyle w:val="Strong"/>
        </w:rPr>
      </w:pPr>
      <w:r w:rsidRPr="00DF6C80">
        <w:rPr>
          <w:rStyle w:val="Strong"/>
        </w:rPr>
        <w:t xml:space="preserve">WORDS: 2000 </w:t>
      </w:r>
    </w:p>
    <w:p w14:paraId="1CDC1B58" w14:textId="007D3A1C" w:rsidR="00526AB2" w:rsidRPr="00526AB2" w:rsidRDefault="00526AB2" w:rsidP="00526AB2">
      <w:pPr>
        <w:pStyle w:val="Quote"/>
        <w:rPr>
          <w:rStyle w:val="Strong"/>
        </w:rPr>
      </w:pPr>
      <w:r w:rsidRPr="00526AB2">
        <w:rPr>
          <w:rStyle w:val="Strong"/>
        </w:rPr>
        <w:t xml:space="preserve">Component 2 </w:t>
      </w:r>
    </w:p>
    <w:p w14:paraId="64CAA037" w14:textId="77777777" w:rsidR="00DF6C80" w:rsidRPr="00DF6C80" w:rsidRDefault="00DF6C80" w:rsidP="00DF6C80">
      <w:pPr>
        <w:pStyle w:val="Quote"/>
        <w:rPr>
          <w:rStyle w:val="Strong"/>
        </w:rPr>
      </w:pPr>
    </w:p>
    <w:p w14:paraId="2EA542E5" w14:textId="77777777" w:rsidR="00DF6C80" w:rsidRDefault="00DF6C80">
      <w:pPr>
        <w:rPr>
          <w:lang w:val="ro-RO"/>
        </w:rPr>
      </w:pPr>
    </w:p>
    <w:p w14:paraId="56DA65F2" w14:textId="77777777" w:rsidR="00DF6C80" w:rsidRDefault="00DF6C80">
      <w:pPr>
        <w:rPr>
          <w:lang w:val="ro-RO"/>
        </w:rPr>
      </w:pPr>
    </w:p>
    <w:p w14:paraId="104B08ED" w14:textId="77777777" w:rsidR="00DF6C80" w:rsidRDefault="00DF6C80">
      <w:pPr>
        <w:rPr>
          <w:lang w:val="ro-RO"/>
        </w:rPr>
      </w:pPr>
    </w:p>
    <w:p w14:paraId="4B6E5E67" w14:textId="77777777" w:rsidR="00DF6C80" w:rsidRDefault="00DF6C80">
      <w:pPr>
        <w:rPr>
          <w:lang w:val="ro-RO"/>
        </w:rPr>
      </w:pPr>
    </w:p>
    <w:p w14:paraId="7DCE0DD1" w14:textId="77777777" w:rsidR="00DF6C80" w:rsidRDefault="00DF6C80">
      <w:pPr>
        <w:rPr>
          <w:lang w:val="ro-RO"/>
        </w:rPr>
      </w:pPr>
    </w:p>
    <w:p w14:paraId="295C6FDB" w14:textId="77777777" w:rsidR="00DF6C80" w:rsidRDefault="00DF6C80">
      <w:pPr>
        <w:rPr>
          <w:lang w:val="ro-RO"/>
        </w:rPr>
      </w:pPr>
    </w:p>
    <w:p w14:paraId="47A762BD" w14:textId="77777777" w:rsidR="00DF6C80" w:rsidRDefault="00DF6C80">
      <w:pPr>
        <w:rPr>
          <w:lang w:val="ro-RO"/>
        </w:rPr>
      </w:pPr>
    </w:p>
    <w:p w14:paraId="0AC47E45" w14:textId="77777777" w:rsidR="00DF6C80" w:rsidRDefault="00DF6C80">
      <w:pPr>
        <w:rPr>
          <w:lang w:val="ro-RO"/>
        </w:rPr>
      </w:pPr>
    </w:p>
    <w:p w14:paraId="640184E9" w14:textId="77777777" w:rsidR="00DF6C80" w:rsidRDefault="00DF6C80">
      <w:pPr>
        <w:rPr>
          <w:lang w:val="ro-RO"/>
        </w:rPr>
      </w:pPr>
    </w:p>
    <w:p w14:paraId="338F2F33" w14:textId="77777777" w:rsidR="00DF6C80" w:rsidRDefault="00DF6C80">
      <w:pPr>
        <w:rPr>
          <w:lang w:val="ro-RO"/>
        </w:rPr>
      </w:pPr>
    </w:p>
    <w:p w14:paraId="3EEF4E5B" w14:textId="77777777" w:rsidR="00DF6C80" w:rsidRDefault="00DF6C80">
      <w:pPr>
        <w:rPr>
          <w:lang w:val="ro-RO"/>
        </w:rPr>
      </w:pPr>
    </w:p>
    <w:p w14:paraId="287D2C94" w14:textId="77777777" w:rsidR="00DF6C80" w:rsidRDefault="00DF6C80">
      <w:pPr>
        <w:rPr>
          <w:lang w:val="ro-RO"/>
        </w:rPr>
      </w:pPr>
    </w:p>
    <w:p w14:paraId="2C306218" w14:textId="77777777" w:rsidR="00DF6C80" w:rsidRDefault="00DF6C80">
      <w:pPr>
        <w:rPr>
          <w:lang w:val="ro-RO"/>
        </w:rPr>
      </w:pPr>
    </w:p>
    <w:p w14:paraId="65FA82AD" w14:textId="77777777" w:rsidR="00DF6C80" w:rsidRDefault="00DF6C80">
      <w:pPr>
        <w:rPr>
          <w:lang w:val="ro-RO"/>
        </w:rPr>
      </w:pPr>
    </w:p>
    <w:p w14:paraId="3DC39528" w14:textId="77777777" w:rsidR="00DF6C80" w:rsidRDefault="00DF6C80">
      <w:pPr>
        <w:rPr>
          <w:lang w:val="ro-RO"/>
        </w:rPr>
      </w:pPr>
    </w:p>
    <w:p w14:paraId="4D9FABA5" w14:textId="77777777" w:rsidR="00DF6C80" w:rsidRDefault="00DF6C80">
      <w:pPr>
        <w:rPr>
          <w:lang w:val="ro-RO"/>
        </w:rPr>
      </w:pPr>
    </w:p>
    <w:p w14:paraId="76C3575B" w14:textId="77777777" w:rsidR="00DF6C80" w:rsidRDefault="00DF6C80">
      <w:pPr>
        <w:rPr>
          <w:lang w:val="ro-RO"/>
        </w:rPr>
      </w:pPr>
    </w:p>
    <w:sdt>
      <w:sdtPr>
        <w:rPr>
          <w:rFonts w:asciiTheme="minorHAnsi" w:eastAsiaTheme="minorHAnsi" w:hAnsiTheme="minorHAnsi" w:cstheme="minorBidi"/>
          <w:b/>
          <w:bCs/>
          <w:color w:val="auto"/>
          <w:kern w:val="2"/>
          <w:sz w:val="24"/>
          <w:szCs w:val="24"/>
          <w:lang w:eastAsia="en-US"/>
          <w14:ligatures w14:val="standardContextual"/>
        </w:rPr>
        <w:id w:val="-397132778"/>
        <w:docPartObj>
          <w:docPartGallery w:val="Table of Contents"/>
          <w:docPartUnique/>
        </w:docPartObj>
      </w:sdtPr>
      <w:sdtContent>
        <w:p w14:paraId="6DC67F00" w14:textId="331CD52A" w:rsidR="00526AB2" w:rsidRDefault="00526AB2">
          <w:pPr>
            <w:pStyle w:val="TOCHeading"/>
          </w:pPr>
          <w:r>
            <w:t>Table of Contents</w:t>
          </w:r>
        </w:p>
        <w:p w14:paraId="16DFCB8C" w14:textId="1D2E5E39" w:rsidR="00526AB2" w:rsidRDefault="00526AB2">
          <w:pPr>
            <w:pStyle w:val="TOC1"/>
            <w:tabs>
              <w:tab w:val="right" w:leader="dot" w:pos="9016"/>
            </w:tabs>
            <w:rPr>
              <w:noProof/>
            </w:rPr>
          </w:pPr>
          <w:r>
            <w:fldChar w:fldCharType="begin"/>
          </w:r>
          <w:r>
            <w:instrText xml:space="preserve"> TOC \o "1-3" \h \z \u </w:instrText>
          </w:r>
          <w:r>
            <w:fldChar w:fldCharType="separate"/>
          </w:r>
          <w:hyperlink w:anchor="_Toc225697053" w:history="1">
            <w:r w:rsidRPr="0000128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_Toc225697053 \h </w:instrText>
            </w:r>
            <w:r>
              <w:rPr>
                <w:noProof/>
                <w:webHidden/>
              </w:rPr>
            </w:r>
            <w:r>
              <w:rPr>
                <w:noProof/>
                <w:webHidden/>
              </w:rPr>
              <w:fldChar w:fldCharType="separate"/>
            </w:r>
            <w:r>
              <w:rPr>
                <w:noProof/>
                <w:webHidden/>
              </w:rPr>
              <w:t>3</w:t>
            </w:r>
            <w:r>
              <w:rPr>
                <w:noProof/>
                <w:webHidden/>
              </w:rPr>
              <w:fldChar w:fldCharType="end"/>
            </w:r>
          </w:hyperlink>
        </w:p>
        <w:p w14:paraId="22907222" w14:textId="61683E40" w:rsidR="00526AB2" w:rsidRDefault="00526AB2" w:rsidP="00526AB2">
          <w:pPr>
            <w:pStyle w:val="TOC2"/>
            <w:tabs>
              <w:tab w:val="right" w:leader="dot" w:pos="9016"/>
            </w:tabs>
            <w:ind w:left="0"/>
            <w:rPr>
              <w:noProof/>
            </w:rPr>
          </w:pPr>
          <w:hyperlink w:anchor="_Toc225697054" w:history="1">
            <w:r w:rsidRPr="0000128D">
              <w:rPr>
                <w:rStyle w:val="Hyperlink"/>
                <w:noProof/>
              </w:rPr>
              <w:t>Risk Planning</w:t>
            </w:r>
            <w:r>
              <w:rPr>
                <w:noProof/>
                <w:webHidden/>
              </w:rPr>
              <w:tab/>
            </w:r>
            <w:r>
              <w:rPr>
                <w:noProof/>
                <w:webHidden/>
              </w:rPr>
              <w:fldChar w:fldCharType="begin"/>
            </w:r>
            <w:r>
              <w:rPr>
                <w:noProof/>
                <w:webHidden/>
              </w:rPr>
              <w:instrText xml:space="preserve"> PAGEREF _Toc225697054 \h </w:instrText>
            </w:r>
            <w:r>
              <w:rPr>
                <w:noProof/>
                <w:webHidden/>
              </w:rPr>
            </w:r>
            <w:r>
              <w:rPr>
                <w:noProof/>
                <w:webHidden/>
              </w:rPr>
              <w:fldChar w:fldCharType="separate"/>
            </w:r>
            <w:r>
              <w:rPr>
                <w:noProof/>
                <w:webHidden/>
              </w:rPr>
              <w:t>3</w:t>
            </w:r>
            <w:r>
              <w:rPr>
                <w:noProof/>
                <w:webHidden/>
              </w:rPr>
              <w:fldChar w:fldCharType="end"/>
            </w:r>
          </w:hyperlink>
        </w:p>
        <w:p w14:paraId="1A7745A4" w14:textId="7D36B583" w:rsidR="00526AB2" w:rsidRDefault="00526AB2" w:rsidP="00526AB2">
          <w:pPr>
            <w:pStyle w:val="TOC2"/>
            <w:tabs>
              <w:tab w:val="right" w:leader="dot" w:pos="9016"/>
            </w:tabs>
            <w:ind w:left="0"/>
            <w:rPr>
              <w:noProof/>
            </w:rPr>
          </w:pPr>
          <w:hyperlink w:anchor="_Toc225697055" w:history="1">
            <w:r w:rsidRPr="0000128D">
              <w:rPr>
                <w:rStyle w:val="Hyperlink"/>
                <w:noProof/>
              </w:rPr>
              <w:t>Risk Analysis</w:t>
            </w:r>
            <w:r>
              <w:rPr>
                <w:noProof/>
                <w:webHidden/>
              </w:rPr>
              <w:tab/>
            </w:r>
            <w:r>
              <w:rPr>
                <w:noProof/>
                <w:webHidden/>
              </w:rPr>
              <w:fldChar w:fldCharType="begin"/>
            </w:r>
            <w:r>
              <w:rPr>
                <w:noProof/>
                <w:webHidden/>
              </w:rPr>
              <w:instrText xml:space="preserve"> PAGEREF _Toc225697055 \h </w:instrText>
            </w:r>
            <w:r>
              <w:rPr>
                <w:noProof/>
                <w:webHidden/>
              </w:rPr>
            </w:r>
            <w:r>
              <w:rPr>
                <w:noProof/>
                <w:webHidden/>
              </w:rPr>
              <w:fldChar w:fldCharType="separate"/>
            </w:r>
            <w:r>
              <w:rPr>
                <w:noProof/>
                <w:webHidden/>
              </w:rPr>
              <w:t>4</w:t>
            </w:r>
            <w:r>
              <w:rPr>
                <w:noProof/>
                <w:webHidden/>
              </w:rPr>
              <w:fldChar w:fldCharType="end"/>
            </w:r>
          </w:hyperlink>
        </w:p>
        <w:p w14:paraId="6CB75C66" w14:textId="09AC7816" w:rsidR="00526AB2" w:rsidRDefault="00526AB2" w:rsidP="00526AB2">
          <w:pPr>
            <w:pStyle w:val="TOC3"/>
            <w:tabs>
              <w:tab w:val="right" w:leader="dot" w:pos="9016"/>
            </w:tabs>
            <w:ind w:left="0"/>
            <w:rPr>
              <w:noProof/>
            </w:rPr>
          </w:pPr>
          <w:hyperlink w:anchor="_Toc225697056" w:history="1">
            <w:r w:rsidRPr="0000128D">
              <w:rPr>
                <w:rStyle w:val="Hyperlink"/>
                <w:b/>
                <w:bCs/>
                <w:noProof/>
              </w:rPr>
              <w:t>Monitoring and Control</w:t>
            </w:r>
            <w:r>
              <w:rPr>
                <w:noProof/>
                <w:webHidden/>
              </w:rPr>
              <w:tab/>
            </w:r>
            <w:r>
              <w:rPr>
                <w:noProof/>
                <w:webHidden/>
              </w:rPr>
              <w:fldChar w:fldCharType="begin"/>
            </w:r>
            <w:r>
              <w:rPr>
                <w:noProof/>
                <w:webHidden/>
              </w:rPr>
              <w:instrText xml:space="preserve"> PAGEREF _Toc225697056 \h </w:instrText>
            </w:r>
            <w:r>
              <w:rPr>
                <w:noProof/>
                <w:webHidden/>
              </w:rPr>
            </w:r>
            <w:r>
              <w:rPr>
                <w:noProof/>
                <w:webHidden/>
              </w:rPr>
              <w:fldChar w:fldCharType="separate"/>
            </w:r>
            <w:r>
              <w:rPr>
                <w:noProof/>
                <w:webHidden/>
              </w:rPr>
              <w:t>5</w:t>
            </w:r>
            <w:r>
              <w:rPr>
                <w:noProof/>
                <w:webHidden/>
              </w:rPr>
              <w:fldChar w:fldCharType="end"/>
            </w:r>
          </w:hyperlink>
        </w:p>
        <w:p w14:paraId="51609B42" w14:textId="462C385C" w:rsidR="00526AB2" w:rsidRDefault="00526AB2" w:rsidP="00526AB2">
          <w:pPr>
            <w:pStyle w:val="TOC2"/>
            <w:tabs>
              <w:tab w:val="right" w:leader="dot" w:pos="9016"/>
            </w:tabs>
            <w:ind w:left="0"/>
            <w:rPr>
              <w:noProof/>
            </w:rPr>
          </w:pPr>
          <w:hyperlink w:anchor="_Toc225697057" w:history="1">
            <w:r w:rsidRPr="0000128D">
              <w:rPr>
                <w:rStyle w:val="Hyperlink"/>
                <w:noProof/>
              </w:rPr>
              <w:t>Turnkey Contract</w:t>
            </w:r>
            <w:r>
              <w:rPr>
                <w:noProof/>
                <w:webHidden/>
              </w:rPr>
              <w:tab/>
            </w:r>
            <w:r>
              <w:rPr>
                <w:noProof/>
                <w:webHidden/>
              </w:rPr>
              <w:fldChar w:fldCharType="begin"/>
            </w:r>
            <w:r>
              <w:rPr>
                <w:noProof/>
                <w:webHidden/>
              </w:rPr>
              <w:instrText xml:space="preserve"> PAGEREF _Toc225697057 \h </w:instrText>
            </w:r>
            <w:r>
              <w:rPr>
                <w:noProof/>
                <w:webHidden/>
              </w:rPr>
            </w:r>
            <w:r>
              <w:rPr>
                <w:noProof/>
                <w:webHidden/>
              </w:rPr>
              <w:fldChar w:fldCharType="separate"/>
            </w:r>
            <w:r>
              <w:rPr>
                <w:noProof/>
                <w:webHidden/>
              </w:rPr>
              <w:t>5</w:t>
            </w:r>
            <w:r>
              <w:rPr>
                <w:noProof/>
                <w:webHidden/>
              </w:rPr>
              <w:fldChar w:fldCharType="end"/>
            </w:r>
          </w:hyperlink>
        </w:p>
        <w:p w14:paraId="02310387" w14:textId="6CBB79E2" w:rsidR="00526AB2" w:rsidRDefault="00526AB2" w:rsidP="00526AB2">
          <w:pPr>
            <w:pStyle w:val="TOC2"/>
            <w:tabs>
              <w:tab w:val="right" w:leader="dot" w:pos="9016"/>
            </w:tabs>
            <w:ind w:left="0"/>
            <w:rPr>
              <w:noProof/>
            </w:rPr>
          </w:pPr>
          <w:hyperlink w:anchor="_Toc225697058" w:history="1">
            <w:r w:rsidRPr="0000128D">
              <w:rPr>
                <w:rStyle w:val="Hyperlink"/>
                <w:noProof/>
              </w:rPr>
              <w:t>Multicontract</w:t>
            </w:r>
            <w:r>
              <w:rPr>
                <w:noProof/>
                <w:webHidden/>
              </w:rPr>
              <w:tab/>
            </w:r>
            <w:r>
              <w:rPr>
                <w:noProof/>
                <w:webHidden/>
              </w:rPr>
              <w:fldChar w:fldCharType="begin"/>
            </w:r>
            <w:r>
              <w:rPr>
                <w:noProof/>
                <w:webHidden/>
              </w:rPr>
              <w:instrText xml:space="preserve"> PAGEREF _Toc225697058 \h </w:instrText>
            </w:r>
            <w:r>
              <w:rPr>
                <w:noProof/>
                <w:webHidden/>
              </w:rPr>
            </w:r>
            <w:r>
              <w:rPr>
                <w:noProof/>
                <w:webHidden/>
              </w:rPr>
              <w:fldChar w:fldCharType="separate"/>
            </w:r>
            <w:r>
              <w:rPr>
                <w:noProof/>
                <w:webHidden/>
              </w:rPr>
              <w:t>6</w:t>
            </w:r>
            <w:r>
              <w:rPr>
                <w:noProof/>
                <w:webHidden/>
              </w:rPr>
              <w:fldChar w:fldCharType="end"/>
            </w:r>
          </w:hyperlink>
        </w:p>
        <w:p w14:paraId="2D610FA3" w14:textId="7AD174BD" w:rsidR="00526AB2" w:rsidRDefault="00526AB2" w:rsidP="00526AB2">
          <w:pPr>
            <w:pStyle w:val="TOC2"/>
            <w:tabs>
              <w:tab w:val="right" w:leader="dot" w:pos="9016"/>
            </w:tabs>
            <w:ind w:left="0"/>
            <w:rPr>
              <w:noProof/>
            </w:rPr>
          </w:pPr>
          <w:hyperlink w:anchor="_Toc225697059" w:history="1">
            <w:r w:rsidRPr="0000128D">
              <w:rPr>
                <w:rStyle w:val="Hyperlink"/>
                <w:noProof/>
              </w:rPr>
              <w:t>DIY (Do It Yourself)</w:t>
            </w:r>
            <w:r>
              <w:rPr>
                <w:noProof/>
                <w:webHidden/>
              </w:rPr>
              <w:tab/>
            </w:r>
            <w:r>
              <w:rPr>
                <w:noProof/>
                <w:webHidden/>
              </w:rPr>
              <w:fldChar w:fldCharType="begin"/>
            </w:r>
            <w:r>
              <w:rPr>
                <w:noProof/>
                <w:webHidden/>
              </w:rPr>
              <w:instrText xml:space="preserve"> PAGEREF _Toc225697059 \h </w:instrText>
            </w:r>
            <w:r>
              <w:rPr>
                <w:noProof/>
                <w:webHidden/>
              </w:rPr>
            </w:r>
            <w:r>
              <w:rPr>
                <w:noProof/>
                <w:webHidden/>
              </w:rPr>
              <w:fldChar w:fldCharType="separate"/>
            </w:r>
            <w:r>
              <w:rPr>
                <w:noProof/>
                <w:webHidden/>
              </w:rPr>
              <w:t>6</w:t>
            </w:r>
            <w:r>
              <w:rPr>
                <w:noProof/>
                <w:webHidden/>
              </w:rPr>
              <w:fldChar w:fldCharType="end"/>
            </w:r>
          </w:hyperlink>
        </w:p>
        <w:p w14:paraId="7FA19F87" w14:textId="35E56B85" w:rsidR="00526AB2" w:rsidRDefault="00526AB2" w:rsidP="00526AB2">
          <w:pPr>
            <w:pStyle w:val="TOC2"/>
            <w:tabs>
              <w:tab w:val="right" w:leader="dot" w:pos="9016"/>
            </w:tabs>
            <w:ind w:left="0"/>
            <w:rPr>
              <w:noProof/>
            </w:rPr>
          </w:pPr>
          <w:hyperlink w:anchor="_Toc225697060" w:history="1">
            <w:r w:rsidRPr="0000128D">
              <w:rPr>
                <w:rStyle w:val="Hyperlink"/>
                <w:noProof/>
              </w:rPr>
              <w:t>Multicontract + DIY</w:t>
            </w:r>
            <w:r>
              <w:rPr>
                <w:noProof/>
                <w:webHidden/>
              </w:rPr>
              <w:tab/>
            </w:r>
            <w:r>
              <w:rPr>
                <w:noProof/>
                <w:webHidden/>
              </w:rPr>
              <w:fldChar w:fldCharType="begin"/>
            </w:r>
            <w:r>
              <w:rPr>
                <w:noProof/>
                <w:webHidden/>
              </w:rPr>
              <w:instrText xml:space="preserve"> PAGEREF _Toc225697060 \h </w:instrText>
            </w:r>
            <w:r>
              <w:rPr>
                <w:noProof/>
                <w:webHidden/>
              </w:rPr>
            </w:r>
            <w:r>
              <w:rPr>
                <w:noProof/>
                <w:webHidden/>
              </w:rPr>
              <w:fldChar w:fldCharType="separate"/>
            </w:r>
            <w:r>
              <w:rPr>
                <w:noProof/>
                <w:webHidden/>
              </w:rPr>
              <w:t>6</w:t>
            </w:r>
            <w:r>
              <w:rPr>
                <w:noProof/>
                <w:webHidden/>
              </w:rPr>
              <w:fldChar w:fldCharType="end"/>
            </w:r>
          </w:hyperlink>
        </w:p>
        <w:p w14:paraId="7672018A" w14:textId="57DA3193" w:rsidR="00526AB2" w:rsidRDefault="00526AB2" w:rsidP="00526AB2">
          <w:pPr>
            <w:pStyle w:val="TOC2"/>
            <w:tabs>
              <w:tab w:val="right" w:leader="dot" w:pos="9016"/>
            </w:tabs>
            <w:ind w:left="0"/>
            <w:rPr>
              <w:noProof/>
            </w:rPr>
          </w:pPr>
          <w:hyperlink w:anchor="_Toc225697061" w:history="1">
            <w:r w:rsidRPr="0000128D">
              <w:rPr>
                <w:rStyle w:val="Hyperlink"/>
                <w:noProof/>
              </w:rPr>
              <w:t>Critical Analysis of Contracting Approaches (IT vs Property Development)</w:t>
            </w:r>
            <w:r>
              <w:rPr>
                <w:noProof/>
                <w:webHidden/>
              </w:rPr>
              <w:tab/>
            </w:r>
            <w:r>
              <w:rPr>
                <w:noProof/>
                <w:webHidden/>
              </w:rPr>
              <w:fldChar w:fldCharType="begin"/>
            </w:r>
            <w:r>
              <w:rPr>
                <w:noProof/>
                <w:webHidden/>
              </w:rPr>
              <w:instrText xml:space="preserve"> PAGEREF _Toc225697061 \h </w:instrText>
            </w:r>
            <w:r>
              <w:rPr>
                <w:noProof/>
                <w:webHidden/>
              </w:rPr>
            </w:r>
            <w:r>
              <w:rPr>
                <w:noProof/>
                <w:webHidden/>
              </w:rPr>
              <w:fldChar w:fldCharType="separate"/>
            </w:r>
            <w:r>
              <w:rPr>
                <w:noProof/>
                <w:webHidden/>
              </w:rPr>
              <w:t>7</w:t>
            </w:r>
            <w:r>
              <w:rPr>
                <w:noProof/>
                <w:webHidden/>
              </w:rPr>
              <w:fldChar w:fldCharType="end"/>
            </w:r>
          </w:hyperlink>
        </w:p>
        <w:p w14:paraId="0EB202F2" w14:textId="46EF8C4D" w:rsidR="00526AB2" w:rsidRDefault="00526AB2">
          <w:pPr>
            <w:pStyle w:val="TOC1"/>
            <w:tabs>
              <w:tab w:val="right" w:leader="dot" w:pos="9016"/>
            </w:tabs>
            <w:rPr>
              <w:noProof/>
            </w:rPr>
          </w:pPr>
          <w:hyperlink w:anchor="_Toc225697062" w:history="1">
            <w:r w:rsidRPr="0000128D">
              <w:rPr>
                <w:rStyle w:val="Hyperlink"/>
                <w:noProof/>
              </w:rPr>
              <w:t>Linking Risk and Contracting in Project Management</w:t>
            </w:r>
            <w:r>
              <w:rPr>
                <w:noProof/>
                <w:webHidden/>
              </w:rPr>
              <w:tab/>
            </w:r>
            <w:r>
              <w:rPr>
                <w:noProof/>
                <w:webHidden/>
              </w:rPr>
              <w:fldChar w:fldCharType="begin"/>
            </w:r>
            <w:r>
              <w:rPr>
                <w:noProof/>
                <w:webHidden/>
              </w:rPr>
              <w:instrText xml:space="preserve"> PAGEREF _Toc225697062 \h </w:instrText>
            </w:r>
            <w:r>
              <w:rPr>
                <w:noProof/>
                <w:webHidden/>
              </w:rPr>
            </w:r>
            <w:r>
              <w:rPr>
                <w:noProof/>
                <w:webHidden/>
              </w:rPr>
              <w:fldChar w:fldCharType="separate"/>
            </w:r>
            <w:r>
              <w:rPr>
                <w:noProof/>
                <w:webHidden/>
              </w:rPr>
              <w:t>8</w:t>
            </w:r>
            <w:r>
              <w:rPr>
                <w:noProof/>
                <w:webHidden/>
              </w:rPr>
              <w:fldChar w:fldCharType="end"/>
            </w:r>
          </w:hyperlink>
        </w:p>
        <w:p w14:paraId="5E27C279" w14:textId="151EDE39" w:rsidR="00526AB2" w:rsidRDefault="00526AB2">
          <w:pPr>
            <w:pStyle w:val="TOC1"/>
            <w:tabs>
              <w:tab w:val="right" w:leader="dot" w:pos="9016"/>
            </w:tabs>
            <w:rPr>
              <w:noProof/>
            </w:rPr>
          </w:pPr>
          <w:hyperlink w:anchor="_Toc225697063" w:history="1">
            <w:r w:rsidRPr="0000128D">
              <w:rPr>
                <w:rStyle w:val="Hyperlink"/>
                <w:noProof/>
              </w:rPr>
              <w:t>Conclusion</w:t>
            </w:r>
            <w:r>
              <w:rPr>
                <w:noProof/>
                <w:webHidden/>
              </w:rPr>
              <w:tab/>
            </w:r>
            <w:r>
              <w:rPr>
                <w:noProof/>
                <w:webHidden/>
              </w:rPr>
              <w:fldChar w:fldCharType="begin"/>
            </w:r>
            <w:r>
              <w:rPr>
                <w:noProof/>
                <w:webHidden/>
              </w:rPr>
              <w:instrText xml:space="preserve"> PAGEREF _Toc225697063 \h </w:instrText>
            </w:r>
            <w:r>
              <w:rPr>
                <w:noProof/>
                <w:webHidden/>
              </w:rPr>
            </w:r>
            <w:r>
              <w:rPr>
                <w:noProof/>
                <w:webHidden/>
              </w:rPr>
              <w:fldChar w:fldCharType="separate"/>
            </w:r>
            <w:r>
              <w:rPr>
                <w:noProof/>
                <w:webHidden/>
              </w:rPr>
              <w:t>10</w:t>
            </w:r>
            <w:r>
              <w:rPr>
                <w:noProof/>
                <w:webHidden/>
              </w:rPr>
              <w:fldChar w:fldCharType="end"/>
            </w:r>
          </w:hyperlink>
        </w:p>
        <w:p w14:paraId="365C7D84" w14:textId="1E603FDD" w:rsidR="00526AB2" w:rsidRDefault="00526AB2">
          <w:pPr>
            <w:pStyle w:val="TOC1"/>
            <w:tabs>
              <w:tab w:val="right" w:leader="dot" w:pos="9016"/>
            </w:tabs>
            <w:rPr>
              <w:noProof/>
            </w:rPr>
          </w:pPr>
          <w:hyperlink w:anchor="_Toc225697064" w:history="1">
            <w:r w:rsidRPr="0000128D">
              <w:rPr>
                <w:rStyle w:val="Hyperlink"/>
                <w:noProof/>
              </w:rPr>
              <w:t>References (Harvard Style)</w:t>
            </w:r>
            <w:r>
              <w:rPr>
                <w:noProof/>
                <w:webHidden/>
              </w:rPr>
              <w:tab/>
            </w:r>
            <w:r>
              <w:rPr>
                <w:noProof/>
                <w:webHidden/>
              </w:rPr>
              <w:fldChar w:fldCharType="begin"/>
            </w:r>
            <w:r>
              <w:rPr>
                <w:noProof/>
                <w:webHidden/>
              </w:rPr>
              <w:instrText xml:space="preserve"> PAGEREF _Toc225697064 \h </w:instrText>
            </w:r>
            <w:r>
              <w:rPr>
                <w:noProof/>
                <w:webHidden/>
              </w:rPr>
            </w:r>
            <w:r>
              <w:rPr>
                <w:noProof/>
                <w:webHidden/>
              </w:rPr>
              <w:fldChar w:fldCharType="separate"/>
            </w:r>
            <w:r>
              <w:rPr>
                <w:noProof/>
                <w:webHidden/>
              </w:rPr>
              <w:t>11</w:t>
            </w:r>
            <w:r>
              <w:rPr>
                <w:noProof/>
                <w:webHidden/>
              </w:rPr>
              <w:fldChar w:fldCharType="end"/>
            </w:r>
          </w:hyperlink>
        </w:p>
        <w:p w14:paraId="73031B8F" w14:textId="6D7EC372" w:rsidR="00526AB2" w:rsidRDefault="00526AB2">
          <w:r>
            <w:rPr>
              <w:b/>
              <w:bCs/>
            </w:rPr>
            <w:fldChar w:fldCharType="end"/>
          </w:r>
        </w:p>
      </w:sdtContent>
    </w:sdt>
    <w:p w14:paraId="4723328A" w14:textId="77777777" w:rsidR="00DF6C80" w:rsidRDefault="00DF6C80">
      <w:pPr>
        <w:rPr>
          <w:lang w:val="ro-RO"/>
        </w:rPr>
      </w:pPr>
    </w:p>
    <w:p w14:paraId="16410042" w14:textId="77777777" w:rsidR="00DF6C80" w:rsidRDefault="00DF6C80">
      <w:pPr>
        <w:rPr>
          <w:lang w:val="ro-RO"/>
        </w:rPr>
      </w:pPr>
    </w:p>
    <w:p w14:paraId="466C44C8" w14:textId="77777777" w:rsidR="00DF6C80" w:rsidRDefault="00DF6C80">
      <w:pPr>
        <w:rPr>
          <w:lang w:val="ro-RO"/>
        </w:rPr>
      </w:pPr>
    </w:p>
    <w:p w14:paraId="4A7FA2C4" w14:textId="77777777" w:rsidR="00DF6C80" w:rsidRDefault="00DF6C80">
      <w:pPr>
        <w:rPr>
          <w:lang w:val="ro-RO"/>
        </w:rPr>
      </w:pPr>
    </w:p>
    <w:p w14:paraId="53834BFD" w14:textId="77777777" w:rsidR="00DF6C80" w:rsidRDefault="00DF6C80">
      <w:pPr>
        <w:rPr>
          <w:lang w:val="ro-RO"/>
        </w:rPr>
      </w:pPr>
    </w:p>
    <w:p w14:paraId="7B4EEDED" w14:textId="77777777" w:rsidR="00DF6C80" w:rsidRDefault="00DF6C80">
      <w:pPr>
        <w:rPr>
          <w:lang w:val="ro-RO"/>
        </w:rPr>
      </w:pPr>
    </w:p>
    <w:p w14:paraId="18C59EC6" w14:textId="77777777" w:rsidR="00DF6C80" w:rsidRDefault="00DF6C80">
      <w:pPr>
        <w:rPr>
          <w:lang w:val="ro-RO"/>
        </w:rPr>
      </w:pPr>
    </w:p>
    <w:p w14:paraId="7FBA4952" w14:textId="77777777" w:rsidR="00DF6C80" w:rsidRDefault="00DF6C80">
      <w:pPr>
        <w:rPr>
          <w:lang w:val="ro-RO"/>
        </w:rPr>
      </w:pPr>
    </w:p>
    <w:p w14:paraId="790DDE4C" w14:textId="77777777" w:rsidR="00DF6C80" w:rsidRDefault="00DF6C80">
      <w:pPr>
        <w:rPr>
          <w:lang w:val="ro-RO"/>
        </w:rPr>
      </w:pPr>
    </w:p>
    <w:p w14:paraId="7C526494" w14:textId="77777777" w:rsidR="00DF6C80" w:rsidRDefault="00DF6C80">
      <w:pPr>
        <w:rPr>
          <w:lang w:val="ro-RO"/>
        </w:rPr>
      </w:pPr>
    </w:p>
    <w:p w14:paraId="3D316D26" w14:textId="77777777" w:rsidR="00DF6C80" w:rsidRDefault="00DF6C80">
      <w:pPr>
        <w:rPr>
          <w:lang w:val="ro-RO"/>
        </w:rPr>
      </w:pPr>
    </w:p>
    <w:p w14:paraId="566A4E70" w14:textId="77777777" w:rsidR="00DF6C80" w:rsidRDefault="00DF6C80">
      <w:pPr>
        <w:rPr>
          <w:lang w:val="ro-RO"/>
        </w:rPr>
      </w:pPr>
    </w:p>
    <w:p w14:paraId="6539FF78" w14:textId="77777777" w:rsidR="00DF6C80" w:rsidRDefault="00DF6C80">
      <w:pPr>
        <w:rPr>
          <w:lang w:val="ro-RO"/>
        </w:rPr>
      </w:pPr>
    </w:p>
    <w:p w14:paraId="5F5DC403" w14:textId="79224C45" w:rsidR="00DF6C80" w:rsidRPr="00DF6C80" w:rsidRDefault="00DF6C80" w:rsidP="00DF6C80">
      <w:pPr>
        <w:jc w:val="center"/>
        <w:rPr>
          <w:rStyle w:val="BookTitle"/>
          <w:sz w:val="32"/>
          <w:szCs w:val="32"/>
        </w:rPr>
      </w:pPr>
      <w:r w:rsidRPr="00DF6C80">
        <w:rPr>
          <w:rStyle w:val="BookTitle"/>
          <w:sz w:val="32"/>
          <w:szCs w:val="32"/>
        </w:rPr>
        <w:t>Risk Management and Contracting in Project Management</w:t>
      </w:r>
    </w:p>
    <w:p w14:paraId="0115B5A9" w14:textId="77777777" w:rsidR="00DF6C80" w:rsidRPr="00DF6C80" w:rsidRDefault="00DF6C80" w:rsidP="00DF6C80">
      <w:pPr>
        <w:jc w:val="center"/>
        <w:rPr>
          <w:b/>
          <w:bCs/>
          <w:sz w:val="32"/>
          <w:szCs w:val="32"/>
        </w:rPr>
      </w:pPr>
    </w:p>
    <w:p w14:paraId="080D2D82" w14:textId="77777777" w:rsidR="00DF6C80" w:rsidRPr="00C94663" w:rsidRDefault="00DF6C80" w:rsidP="00C94663">
      <w:pPr>
        <w:pStyle w:val="Heading1"/>
        <w:rPr>
          <w:rFonts w:ascii="Arial" w:hAnsi="Arial" w:cs="Arial"/>
          <w:sz w:val="44"/>
          <w:szCs w:val="44"/>
        </w:rPr>
      </w:pPr>
    </w:p>
    <w:p w14:paraId="7F9B20B3" w14:textId="7D4282D0" w:rsidR="00DF6C80" w:rsidRPr="00C94663" w:rsidRDefault="00DF6C80" w:rsidP="00C94663">
      <w:pPr>
        <w:pStyle w:val="Heading1"/>
        <w:rPr>
          <w:rFonts w:ascii="Arial" w:hAnsi="Arial" w:cs="Arial"/>
          <w:sz w:val="44"/>
          <w:szCs w:val="44"/>
        </w:rPr>
      </w:pPr>
      <w:bookmarkStart w:id="0" w:name="_Toc225697053"/>
      <w:r w:rsidRPr="00C94663">
        <w:rPr>
          <w:rFonts w:ascii="Arial" w:hAnsi="Arial" w:cs="Arial"/>
          <w:sz w:val="44"/>
          <w:szCs w:val="44"/>
        </w:rPr>
        <w:t>Introduction</w:t>
      </w:r>
      <w:bookmarkEnd w:id="0"/>
    </w:p>
    <w:p w14:paraId="2649E941" w14:textId="28DF3C45" w:rsidR="00AF6B3A" w:rsidRPr="00C94663" w:rsidRDefault="00AF6B3A" w:rsidP="00C94663">
      <w:pPr>
        <w:spacing w:line="360" w:lineRule="auto"/>
        <w:jc w:val="both"/>
        <w:rPr>
          <w:rFonts w:ascii="Arial" w:hAnsi="Arial" w:cs="Arial"/>
        </w:rPr>
      </w:pPr>
      <w:r w:rsidRPr="00C94663">
        <w:rPr>
          <w:rFonts w:ascii="Arial" w:hAnsi="Arial" w:cs="Arial"/>
        </w:rPr>
        <w:t xml:space="preserve">In the area of project management, it is inevitable to face uncertainty, for which effective risk management and contract methods are the key for successful project completion. Risk management is the systematic process performed to detect, analyse and then manage uncertainties that may affect project objectives, and contracting is a structured process that establishes how responsibilities, risks, and resources are allocated among participants to the project. The two terms are also closely related; and choice of contract determines how risk is allocated and managed in the project </w:t>
      </w:r>
      <w:r w:rsidR="00C94663" w:rsidRPr="00C94663">
        <w:rPr>
          <w:rFonts w:ascii="Arial" w:hAnsi="Arial" w:cs="Arial"/>
        </w:rPr>
        <w:t>life cycle</w:t>
      </w:r>
      <w:r w:rsidRPr="00C94663">
        <w:rPr>
          <w:rFonts w:ascii="Arial" w:hAnsi="Arial" w:cs="Arial"/>
        </w:rPr>
        <w:t xml:space="preserve">. This highlights that the importance of risk management is that it can mitigate adverse </w:t>
      </w:r>
      <w:r w:rsidR="00C94663" w:rsidRPr="00C94663">
        <w:rPr>
          <w:rFonts w:ascii="Arial" w:hAnsi="Arial" w:cs="Arial"/>
        </w:rPr>
        <w:t>effects and</w:t>
      </w:r>
      <w:r w:rsidRPr="00C94663">
        <w:rPr>
          <w:rFonts w:ascii="Arial" w:hAnsi="Arial" w:cs="Arial"/>
        </w:rPr>
        <w:t xml:space="preserve"> exploit positive opportunities enhancing judgement and project success. Likewise, contracting dynamics determine accountability, control, and financial exposure, which are key drivers to project performance. This paper seeks to examine and critically evaluate how risk management works on both the contractual aspects and the risk reduction aspects associated with various contracting approaches and to assess the significance of the two sides of the risk process, as well as to consider the ways in which contractor decision-making impacts the allocation of risk in real life contexts.</w:t>
      </w:r>
    </w:p>
    <w:p w14:paraId="3254A3C2" w14:textId="77777777" w:rsidR="00DF6C80" w:rsidRPr="00DF6C80" w:rsidRDefault="00DF6C80" w:rsidP="00C94663">
      <w:pPr>
        <w:spacing w:line="360" w:lineRule="auto"/>
        <w:jc w:val="both"/>
        <w:rPr>
          <w:rFonts w:ascii="Arial" w:hAnsi="Arial" w:cs="Arial"/>
          <w:b/>
          <w:bCs/>
        </w:rPr>
      </w:pPr>
    </w:p>
    <w:p w14:paraId="29620339" w14:textId="77777777" w:rsidR="00DF6C80" w:rsidRPr="00C94663" w:rsidRDefault="00DF6C80" w:rsidP="00C94663">
      <w:pPr>
        <w:pStyle w:val="Heading2"/>
      </w:pPr>
      <w:bookmarkStart w:id="1" w:name="_Toc225697054"/>
      <w:r w:rsidRPr="00DF6C80">
        <w:t>Risk Planning</w:t>
      </w:r>
      <w:bookmarkEnd w:id="1"/>
    </w:p>
    <w:p w14:paraId="63D4350A" w14:textId="0967728E" w:rsidR="003311E1" w:rsidRPr="003311E1" w:rsidRDefault="003311E1" w:rsidP="00C94663">
      <w:pPr>
        <w:spacing w:line="360" w:lineRule="auto"/>
        <w:jc w:val="both"/>
        <w:rPr>
          <w:rFonts w:ascii="Arial" w:hAnsi="Arial" w:cs="Arial"/>
        </w:rPr>
      </w:pPr>
      <w:r w:rsidRPr="003311E1">
        <w:rPr>
          <w:rFonts w:ascii="Arial" w:hAnsi="Arial" w:cs="Arial"/>
        </w:rPr>
        <w:t xml:space="preserve">Risk in project management refers to a kind of uncertain event or condition that, if it occurs, can affect project objectives, such as scope, time, cost, and quality (PMI, 2021). Risk has two key elements: probability (the likelihood of occurrence) and impact (the extent to which it will have an effect). Significantly, risks may be negative (threats) and positive (opportunities), so effective risk management ought to be both defensive </w:t>
      </w:r>
      <w:r w:rsidRPr="003311E1">
        <w:rPr>
          <w:rFonts w:ascii="Arial" w:hAnsi="Arial" w:cs="Arial"/>
        </w:rPr>
        <w:lastRenderedPageBreak/>
        <w:t xml:space="preserve">(e.g. avoiding damage) and positive (e.g. optimizing for rewards) </w:t>
      </w:r>
      <w:r w:rsidR="00C94663" w:rsidRPr="003311E1">
        <w:rPr>
          <w:rFonts w:ascii="Arial" w:hAnsi="Arial" w:cs="Arial"/>
        </w:rPr>
        <w:t>to</w:t>
      </w:r>
      <w:r w:rsidRPr="003311E1">
        <w:rPr>
          <w:rFonts w:ascii="Arial" w:hAnsi="Arial" w:cs="Arial"/>
        </w:rPr>
        <w:t xml:space="preserve"> avoid harmful effects (Hillson, 2017).</w:t>
      </w:r>
    </w:p>
    <w:p w14:paraId="5F03AEDA" w14:textId="77777777" w:rsidR="003311E1" w:rsidRPr="003311E1" w:rsidRDefault="003311E1" w:rsidP="00C94663">
      <w:pPr>
        <w:spacing w:line="360" w:lineRule="auto"/>
        <w:rPr>
          <w:rFonts w:ascii="Arial" w:hAnsi="Arial" w:cs="Arial"/>
        </w:rPr>
      </w:pPr>
      <w:r w:rsidRPr="003311E1">
        <w:rPr>
          <w:rStyle w:val="Strong"/>
        </w:rPr>
        <w:t>The Risk Management Process</w:t>
      </w:r>
      <w:r w:rsidRPr="003311E1">
        <w:rPr>
          <w:rStyle w:val="Strong"/>
        </w:rPr>
        <w:br/>
      </w:r>
      <w:r w:rsidRPr="003311E1">
        <w:rPr>
          <w:rFonts w:ascii="Arial" w:hAnsi="Arial" w:cs="Arial"/>
        </w:rPr>
        <w:t>Identification, analysis, response, and monitoring and control are the process by which good risk management stands.</w:t>
      </w:r>
    </w:p>
    <w:p w14:paraId="2B57C274" w14:textId="7EE0AF21" w:rsidR="003311E1" w:rsidRPr="003311E1" w:rsidRDefault="003311E1" w:rsidP="00C94663">
      <w:pPr>
        <w:spacing w:line="360" w:lineRule="auto"/>
        <w:rPr>
          <w:rFonts w:ascii="Arial" w:hAnsi="Arial" w:cs="Arial"/>
        </w:rPr>
      </w:pPr>
      <w:r w:rsidRPr="003311E1">
        <w:rPr>
          <w:rStyle w:val="Strong"/>
        </w:rPr>
        <w:t>Risk Identification</w:t>
      </w:r>
      <w:r w:rsidRPr="003311E1">
        <w:rPr>
          <w:rStyle w:val="Strong"/>
        </w:rPr>
        <w:br/>
      </w:r>
      <w:r w:rsidRPr="003311E1">
        <w:rPr>
          <w:rFonts w:ascii="Arial" w:hAnsi="Arial" w:cs="Arial"/>
        </w:rPr>
        <w:t xml:space="preserve">Risk identification describes identifying possible events that might impact the project. This first stage answers the most basic question: what could go </w:t>
      </w:r>
      <w:proofErr w:type="spellStart"/>
      <w:proofErr w:type="gramStart"/>
      <w:r w:rsidRPr="003311E1">
        <w:rPr>
          <w:rFonts w:ascii="Arial" w:hAnsi="Arial" w:cs="Arial"/>
        </w:rPr>
        <w:t>wrong</w:t>
      </w:r>
      <w:r w:rsidR="007700E0">
        <w:rPr>
          <w:rFonts w:ascii="Arial" w:hAnsi="Arial" w:cs="Arial"/>
        </w:rPr>
        <w:t>.</w:t>
      </w:r>
      <w:r w:rsidRPr="003311E1">
        <w:rPr>
          <w:rFonts w:ascii="Arial" w:hAnsi="Arial" w:cs="Arial"/>
        </w:rPr>
        <w:t>Tools</w:t>
      </w:r>
      <w:proofErr w:type="spellEnd"/>
      <w:proofErr w:type="gramEnd"/>
      <w:r w:rsidRPr="003311E1">
        <w:rPr>
          <w:rFonts w:ascii="Arial" w:hAnsi="Arial" w:cs="Arial"/>
        </w:rPr>
        <w:t xml:space="preserve"> may involve brainstorming sessions, expert judgment, analysis of historical data, and building a risk register (Kerzner, 2022). It is a critical stage because unidentified risks cannot be managed. This complete risk register helps project managers to record, classify, and maintain information for risks to affect the entire project life cycle. For instance, in construction works, forewarning of breakdowns in the supply chain can avert delays and increased construction costs.</w:t>
      </w:r>
    </w:p>
    <w:p w14:paraId="5567BB84" w14:textId="77777777" w:rsidR="003311E1" w:rsidRPr="00DF6C80" w:rsidRDefault="003311E1" w:rsidP="00C94663">
      <w:pPr>
        <w:spacing w:line="360" w:lineRule="auto"/>
        <w:jc w:val="both"/>
        <w:rPr>
          <w:rFonts w:ascii="Arial" w:hAnsi="Arial" w:cs="Arial"/>
        </w:rPr>
      </w:pPr>
    </w:p>
    <w:p w14:paraId="01ECC4A3" w14:textId="77777777" w:rsidR="00DF6C80" w:rsidRPr="00DF6C80" w:rsidRDefault="00DF6C80" w:rsidP="00C94663">
      <w:pPr>
        <w:pStyle w:val="Heading2"/>
      </w:pPr>
      <w:bookmarkStart w:id="2" w:name="_Toc225697055"/>
      <w:r w:rsidRPr="00DF6C80">
        <w:t>Risk Analysis</w:t>
      </w:r>
      <w:bookmarkEnd w:id="2"/>
    </w:p>
    <w:p w14:paraId="2BB41407" w14:textId="77777777" w:rsidR="007700E0" w:rsidRDefault="003311E1" w:rsidP="00C94663">
      <w:pPr>
        <w:spacing w:line="360" w:lineRule="auto"/>
        <w:rPr>
          <w:rFonts w:ascii="Arial" w:hAnsi="Arial" w:cs="Arial"/>
        </w:rPr>
      </w:pPr>
      <w:r w:rsidRPr="00C94663">
        <w:rPr>
          <w:rFonts w:ascii="Arial" w:hAnsi="Arial" w:cs="Arial"/>
        </w:rPr>
        <w:t xml:space="preserve">Risk assessment measures the importance of identified </w:t>
      </w:r>
      <w:r w:rsidR="00C94663" w:rsidRPr="00C94663">
        <w:rPr>
          <w:rFonts w:ascii="Arial" w:hAnsi="Arial" w:cs="Arial"/>
        </w:rPr>
        <w:t>threats and</w:t>
      </w:r>
      <w:r w:rsidRPr="00C94663">
        <w:rPr>
          <w:rFonts w:ascii="Arial" w:hAnsi="Arial" w:cs="Arial"/>
        </w:rPr>
        <w:t xml:space="preserve"> prioritises them based on their potential impact. There are two main approaches:</w:t>
      </w:r>
      <w:r w:rsidRPr="00C94663">
        <w:rPr>
          <w:rFonts w:ascii="Arial" w:hAnsi="Arial" w:cs="Arial"/>
        </w:rPr>
        <w:br/>
        <w:t xml:space="preserve">Analysis (qualitative) of risks: classifies risks as high, medium, or low by subjective evaluation. Quantitative analysis: applies numbers; is essentially probability times impact and calculates exposure to risks. One widely used tool is the risk matrix, which visually organizes risks into likelihood and severity, facilitating the prioritisation of critical risks (Chapman &amp; Ward, 2019). </w:t>
      </w:r>
    </w:p>
    <w:p w14:paraId="2DB8EBAE" w14:textId="596AFC5C" w:rsidR="007700E0" w:rsidRDefault="007700E0" w:rsidP="00C94663">
      <w:pPr>
        <w:spacing w:line="360" w:lineRule="auto"/>
        <w:rPr>
          <w:rFonts w:ascii="Arial" w:hAnsi="Arial" w:cs="Arial"/>
        </w:rPr>
      </w:pPr>
      <w:r w:rsidRPr="007700E0">
        <w:rPr>
          <w:rFonts w:ascii="Arial" w:hAnsi="Arial" w:cs="Arial"/>
        </w:rPr>
        <w:t>A risk matrix is a widely used tool to map how likely an event is to happen against the impact of the event on the project. Project managers can visualize prioritisation of which risks may require immediate attention, and which will require monitoring by placing risks in this matrix. So, high probability and high impact risks are classified as critical and require immediate mitigation strategies, and low impact risks are acceptable or monitored with minimal intervention. This method directs resources to the most crucial threats effectively.</w:t>
      </w:r>
    </w:p>
    <w:p w14:paraId="3F02D135" w14:textId="36712583" w:rsidR="00DF6C80" w:rsidRDefault="003311E1" w:rsidP="00C94663">
      <w:pPr>
        <w:spacing w:line="360" w:lineRule="auto"/>
        <w:rPr>
          <w:rFonts w:ascii="Arial" w:hAnsi="Arial" w:cs="Arial"/>
        </w:rPr>
      </w:pPr>
      <w:r w:rsidRPr="00C94663">
        <w:rPr>
          <w:rFonts w:ascii="Arial" w:hAnsi="Arial" w:cs="Arial"/>
        </w:rPr>
        <w:lastRenderedPageBreak/>
        <w:t>At this stage, not all risks are equal; resources should be focused on those that pose the greatest threat or opportunity. In contrast, high probability high impact risks like regulatory changes in a public infrastructure project should be addressed immediately, while low impact risks require less urgent attention.</w:t>
      </w:r>
    </w:p>
    <w:p w14:paraId="1C9D538A" w14:textId="6436103F" w:rsidR="007700E0" w:rsidRPr="00DF6C80" w:rsidRDefault="007700E0" w:rsidP="00C94663">
      <w:pPr>
        <w:spacing w:line="360" w:lineRule="auto"/>
        <w:rPr>
          <w:rFonts w:ascii="Arial" w:hAnsi="Arial" w:cs="Arial"/>
        </w:rPr>
      </w:pPr>
      <w:r w:rsidRPr="007700E0">
        <w:rPr>
          <w:rFonts w:ascii="Arial" w:hAnsi="Arial" w:cs="Arial"/>
        </w:rPr>
        <w:t>Risk prioritisation enables project managers to focus limited resources on the most critical risks. This is particularly important in complex projects where numerous risks may be identified but only a subset can be actively managed. Prioritisation is typically based on a combination of probability, impact, and urgency, ensuring that high-exposure risks are addressed first to minimise potential disruption to project objectives</w:t>
      </w:r>
    </w:p>
    <w:p w14:paraId="324FAE2A" w14:textId="77777777" w:rsidR="00DF6C80" w:rsidRPr="00C94663" w:rsidRDefault="00DF6C80" w:rsidP="00C94663">
      <w:pPr>
        <w:spacing w:line="360" w:lineRule="auto"/>
        <w:jc w:val="both"/>
        <w:rPr>
          <w:rFonts w:ascii="Arial" w:hAnsi="Arial" w:cs="Arial"/>
          <w:b/>
          <w:bCs/>
        </w:rPr>
      </w:pPr>
      <w:r w:rsidRPr="00DF6C80">
        <w:rPr>
          <w:rFonts w:ascii="Arial" w:hAnsi="Arial" w:cs="Arial"/>
          <w:b/>
          <w:bCs/>
        </w:rPr>
        <w:t>Risk Response</w:t>
      </w:r>
    </w:p>
    <w:p w14:paraId="239F0FDA" w14:textId="08936D07" w:rsidR="003311E1" w:rsidRPr="00C94663" w:rsidRDefault="003311E1" w:rsidP="00C94663">
      <w:pPr>
        <w:spacing w:line="360" w:lineRule="auto"/>
        <w:rPr>
          <w:rFonts w:ascii="Arial" w:hAnsi="Arial" w:cs="Arial"/>
        </w:rPr>
      </w:pPr>
      <w:r w:rsidRPr="00C94663">
        <w:rPr>
          <w:rFonts w:ascii="Arial" w:hAnsi="Arial" w:cs="Arial"/>
        </w:rPr>
        <w:t>Risk response is about selecting the strategies that best address the identified risks. The main strategies include:</w:t>
      </w:r>
      <w:r w:rsidRPr="00C94663">
        <w:rPr>
          <w:rFonts w:ascii="Arial" w:hAnsi="Arial" w:cs="Arial"/>
        </w:rPr>
        <w:br/>
        <w:t>Avoidance: Remove the risk altogether, e.g. change project scope.</w:t>
      </w:r>
      <w:r w:rsidRPr="00C94663">
        <w:rPr>
          <w:rFonts w:ascii="Arial" w:hAnsi="Arial" w:cs="Arial"/>
        </w:rPr>
        <w:br/>
        <w:t>Reduction (mitigation): lowering the probability or effects, for instance by incorporating safety features.</w:t>
      </w:r>
      <w:r w:rsidRPr="00C94663">
        <w:rPr>
          <w:rFonts w:ascii="Arial" w:hAnsi="Arial" w:cs="Arial"/>
        </w:rPr>
        <w:br/>
        <w:t>Transfer: transfer of risk to another party, and usually using insurance or contracts.</w:t>
      </w:r>
      <w:r w:rsidRPr="00C94663">
        <w:rPr>
          <w:rFonts w:ascii="Arial" w:hAnsi="Arial" w:cs="Arial"/>
        </w:rPr>
        <w:br/>
        <w:t>Acceptance: taking on the risks, without doing any things to counteract them (mainly lower priority risks).</w:t>
      </w:r>
      <w:r w:rsidRPr="00C94663">
        <w:rPr>
          <w:rFonts w:ascii="Arial" w:hAnsi="Arial" w:cs="Arial"/>
        </w:rPr>
        <w:br/>
        <w:t>The selection of strategy is project and place specific. For instance, in IT projects, cybersecurity risk reduction methods are based on advanced security systems, while financial risks may be transferred through outsourcing agreements.</w:t>
      </w:r>
    </w:p>
    <w:p w14:paraId="2667BA21" w14:textId="6A79B2D2" w:rsidR="003311E1" w:rsidRPr="00C94663" w:rsidRDefault="007700E0" w:rsidP="00C94663">
      <w:pPr>
        <w:spacing w:line="360" w:lineRule="auto"/>
        <w:jc w:val="both"/>
        <w:rPr>
          <w:rFonts w:ascii="Arial" w:hAnsi="Arial" w:cs="Arial"/>
        </w:rPr>
      </w:pPr>
      <w:r w:rsidRPr="007700E0">
        <w:rPr>
          <w:rFonts w:ascii="Arial" w:hAnsi="Arial" w:cs="Arial"/>
        </w:rPr>
        <w:t>The choice of risk response is project- and context-specific. Construction work can be another great example of this; by complying with strict regulations and adjusting designs the construction project is never at danger from any safety hazard. However, IT projects tend to use risk reduction techniques like the adoption of advanced cybersecurity systems. Risk transfer is prevalent within major infrastructure initiatives through insurance policies or contract-outsourcing, transferring financial exposure to third parties. Acceptance is generally given to low-impact risks where mitigation costs are greater than the potential damage caused. This indicates that effective risk response is context-specific and needs to be commensurate with specific project characteristics.</w:t>
      </w:r>
    </w:p>
    <w:p w14:paraId="10F69FD6" w14:textId="77777777" w:rsidR="003311E1" w:rsidRPr="00C94663" w:rsidRDefault="003311E1" w:rsidP="00C94663">
      <w:pPr>
        <w:spacing w:line="360" w:lineRule="auto"/>
        <w:jc w:val="both"/>
        <w:rPr>
          <w:rFonts w:ascii="Arial" w:hAnsi="Arial" w:cs="Arial"/>
        </w:rPr>
      </w:pPr>
    </w:p>
    <w:p w14:paraId="272F0BE9" w14:textId="77777777" w:rsidR="003311E1" w:rsidRPr="00C94663" w:rsidRDefault="003311E1" w:rsidP="00C94663">
      <w:pPr>
        <w:spacing w:line="360" w:lineRule="auto"/>
        <w:jc w:val="both"/>
        <w:rPr>
          <w:rFonts w:ascii="Arial" w:hAnsi="Arial" w:cs="Arial"/>
        </w:rPr>
      </w:pPr>
    </w:p>
    <w:p w14:paraId="46558115" w14:textId="77777777" w:rsidR="003311E1" w:rsidRPr="00DF6C80" w:rsidRDefault="003311E1" w:rsidP="00C94663">
      <w:pPr>
        <w:pStyle w:val="Heading3"/>
      </w:pPr>
    </w:p>
    <w:p w14:paraId="5D5EDB93" w14:textId="77777777" w:rsidR="00DF6C80" w:rsidRPr="00C94663" w:rsidRDefault="00DF6C80" w:rsidP="00C94663">
      <w:pPr>
        <w:pStyle w:val="Heading3"/>
        <w:rPr>
          <w:b/>
          <w:bCs/>
        </w:rPr>
      </w:pPr>
      <w:bookmarkStart w:id="3" w:name="_Toc225697056"/>
      <w:r w:rsidRPr="00DF6C80">
        <w:rPr>
          <w:b/>
          <w:bCs/>
        </w:rPr>
        <w:t>Monitoring and Control</w:t>
      </w:r>
      <w:bookmarkEnd w:id="3"/>
    </w:p>
    <w:p w14:paraId="780AFEA9" w14:textId="0E77CE5B" w:rsidR="003311E1" w:rsidRPr="00DF6C80" w:rsidRDefault="003311E1" w:rsidP="00C94663">
      <w:pPr>
        <w:spacing w:line="360" w:lineRule="auto"/>
        <w:jc w:val="both"/>
        <w:rPr>
          <w:rFonts w:ascii="Arial" w:hAnsi="Arial" w:cs="Arial"/>
        </w:rPr>
      </w:pPr>
      <w:r w:rsidRPr="00C94663">
        <w:rPr>
          <w:rFonts w:ascii="Arial" w:hAnsi="Arial" w:cs="Arial"/>
        </w:rPr>
        <w:t xml:space="preserve">Risk management is not a static activity; risks change over time. Monitoring and control involve continuously tracking risks, updating the risk register, and evaluating the effectiveness of mitigation strategies (Too &amp; Weaver, 2014). This step ensures that new risks come to light early enough, </w:t>
      </w:r>
      <w:r w:rsidR="00C94663" w:rsidRPr="00C94663">
        <w:rPr>
          <w:rFonts w:ascii="Arial" w:hAnsi="Arial" w:cs="Arial"/>
        </w:rPr>
        <w:t>to</w:t>
      </w:r>
      <w:r w:rsidRPr="00C94663">
        <w:rPr>
          <w:rFonts w:ascii="Arial" w:hAnsi="Arial" w:cs="Arial"/>
        </w:rPr>
        <w:t xml:space="preserve"> manage them and respond. For example, </w:t>
      </w:r>
      <w:r w:rsidR="00C94663" w:rsidRPr="00C94663">
        <w:rPr>
          <w:rFonts w:ascii="Arial" w:hAnsi="Arial" w:cs="Arial"/>
        </w:rPr>
        <w:t>because of</w:t>
      </w:r>
      <w:r w:rsidRPr="00C94663">
        <w:rPr>
          <w:rFonts w:ascii="Arial" w:hAnsi="Arial" w:cs="Arial"/>
        </w:rPr>
        <w:t xml:space="preserve"> the COVID-19 pandemic many projects had to review risks concerning workforce availability and supply chains. This demonstrates the dynamic nature of risk. Contracting in Project Management. Contracting refers to formal agreements that set out roles, responsibilities, and risk allocation between parties involved in a project (Walker, 2015). Contract type has a key impact on the project governance, control and risk allocation.</w:t>
      </w:r>
    </w:p>
    <w:p w14:paraId="4A1A45E8" w14:textId="77777777" w:rsidR="00DF6C80" w:rsidRPr="00DF6C80" w:rsidRDefault="00DF6C80" w:rsidP="00C94663">
      <w:pPr>
        <w:pStyle w:val="Heading2"/>
      </w:pPr>
      <w:bookmarkStart w:id="4" w:name="_Toc225697057"/>
      <w:r w:rsidRPr="00DF6C80">
        <w:t>Turnkey Contract</w:t>
      </w:r>
      <w:bookmarkEnd w:id="4"/>
    </w:p>
    <w:p w14:paraId="4CE62BD2" w14:textId="73CEA4B3" w:rsidR="00DF6C80" w:rsidRPr="00DF6C80" w:rsidRDefault="00560533" w:rsidP="00C94663">
      <w:pPr>
        <w:spacing w:line="360" w:lineRule="auto"/>
        <w:jc w:val="both"/>
        <w:rPr>
          <w:rFonts w:ascii="Arial" w:hAnsi="Arial" w:cs="Arial"/>
        </w:rPr>
      </w:pPr>
      <w:r w:rsidRPr="00C94663">
        <w:rPr>
          <w:rFonts w:ascii="Arial" w:hAnsi="Arial" w:cs="Arial"/>
        </w:rPr>
        <w:t xml:space="preserve">This is because a turnkey contract sees a single contractor assuming full responsibility for delivering a complete, ready-to-use project. Once the requirements are defined, the client has minimal involvement. Benefits involve accountability clarity, less coordination and more management ease. Disadvantages consist of loss of flexibility, increased cost and less control by the client. But turnkey contracts are particularly well-suited for large capital-intensive projects that involve large infrastructure units or specialized works demanding a lot of expertise </w:t>
      </w:r>
      <w:r w:rsidR="00C94663" w:rsidRPr="00C94663">
        <w:rPr>
          <w:rFonts w:ascii="Arial" w:hAnsi="Arial" w:cs="Arial"/>
        </w:rPr>
        <w:t>to</w:t>
      </w:r>
      <w:r w:rsidRPr="00C94663">
        <w:rPr>
          <w:rFonts w:ascii="Arial" w:hAnsi="Arial" w:cs="Arial"/>
        </w:rPr>
        <w:t xml:space="preserve"> produce what could otherwise be the only feasible approach. For example, many power plant projects are completed using turnkey arrangements to guarantee technical integration and accountability.</w:t>
      </w:r>
    </w:p>
    <w:p w14:paraId="1A9E9C4F" w14:textId="77777777" w:rsidR="00DF6C80" w:rsidRPr="00DF6C80" w:rsidRDefault="00DF6C80" w:rsidP="00C94663">
      <w:pPr>
        <w:pStyle w:val="Heading2"/>
      </w:pPr>
      <w:bookmarkStart w:id="5" w:name="_Toc225697058"/>
      <w:proofErr w:type="spellStart"/>
      <w:r w:rsidRPr="00DF6C80">
        <w:t>Multicontract</w:t>
      </w:r>
      <w:bookmarkEnd w:id="5"/>
      <w:proofErr w:type="spellEnd"/>
    </w:p>
    <w:p w14:paraId="2EE7BB68" w14:textId="0B0D4CCB" w:rsidR="00560533" w:rsidRPr="00DF6C80" w:rsidRDefault="00560533" w:rsidP="00C94663">
      <w:pPr>
        <w:spacing w:line="360" w:lineRule="auto"/>
        <w:jc w:val="both"/>
        <w:rPr>
          <w:rFonts w:ascii="Arial" w:hAnsi="Arial" w:cs="Arial"/>
        </w:rPr>
      </w:pPr>
      <w:r w:rsidRPr="00C94663">
        <w:rPr>
          <w:rFonts w:ascii="Arial" w:hAnsi="Arial" w:cs="Arial"/>
        </w:rPr>
        <w:t xml:space="preserve">When the client uses a </w:t>
      </w:r>
      <w:proofErr w:type="spellStart"/>
      <w:r w:rsidRPr="00C94663">
        <w:rPr>
          <w:rFonts w:ascii="Arial" w:hAnsi="Arial" w:cs="Arial"/>
        </w:rPr>
        <w:t>multicontract</w:t>
      </w:r>
      <w:proofErr w:type="spellEnd"/>
      <w:r w:rsidRPr="00C94663">
        <w:rPr>
          <w:rFonts w:ascii="Arial" w:hAnsi="Arial" w:cs="Arial"/>
        </w:rPr>
        <w:t xml:space="preserve"> approach, they include several contractors for discrete parts of the project. Pros are more authority and potentially savings. Challenges: More coordination complexity; more potential for disputes; and greater management capability. This approach is typical for construction projects with different contractors to handle design, engineering, and construction separately.</w:t>
      </w:r>
    </w:p>
    <w:p w14:paraId="286C4405" w14:textId="77777777" w:rsidR="00DF6C80" w:rsidRPr="00C94663" w:rsidRDefault="00DF6C80" w:rsidP="00C94663">
      <w:pPr>
        <w:pStyle w:val="Heading2"/>
      </w:pPr>
      <w:bookmarkStart w:id="6" w:name="_Toc225697059"/>
      <w:r w:rsidRPr="00DF6C80">
        <w:lastRenderedPageBreak/>
        <w:t>DIY (Do It Yourself)</w:t>
      </w:r>
      <w:bookmarkEnd w:id="6"/>
    </w:p>
    <w:p w14:paraId="121304E3" w14:textId="6BC5176B" w:rsidR="00560533" w:rsidRPr="00C94663" w:rsidRDefault="00560533" w:rsidP="00C94663">
      <w:pPr>
        <w:spacing w:line="360" w:lineRule="auto"/>
        <w:jc w:val="both"/>
        <w:rPr>
          <w:rFonts w:ascii="Arial" w:hAnsi="Arial" w:cs="Arial"/>
        </w:rPr>
      </w:pPr>
      <w:r w:rsidRPr="00C94663">
        <w:rPr>
          <w:rFonts w:ascii="Arial" w:hAnsi="Arial" w:cs="Arial"/>
        </w:rPr>
        <w:t>DIY Contracting means a client does the job itself, using the in-house resources. Benefits: complete control and retention of knowledge in the organisation. drawbacks include high resource demand, potential skills discrepancies and slower execution. This is commonly applied on small scale initiatives, or in groups that have deep-rooted internal knowledge (e.g. developers).</w:t>
      </w:r>
    </w:p>
    <w:p w14:paraId="236A64D0" w14:textId="77777777" w:rsidR="00560533" w:rsidRPr="00C94663" w:rsidRDefault="00560533" w:rsidP="00C94663">
      <w:pPr>
        <w:spacing w:line="360" w:lineRule="auto"/>
        <w:jc w:val="both"/>
        <w:rPr>
          <w:rFonts w:ascii="Arial" w:hAnsi="Arial" w:cs="Arial"/>
        </w:rPr>
      </w:pPr>
    </w:p>
    <w:p w14:paraId="68D27DE4" w14:textId="77777777" w:rsidR="00560533" w:rsidRPr="00DF6C80" w:rsidRDefault="00560533" w:rsidP="00C94663">
      <w:pPr>
        <w:spacing w:line="360" w:lineRule="auto"/>
        <w:jc w:val="both"/>
        <w:rPr>
          <w:rFonts w:ascii="Arial" w:hAnsi="Arial" w:cs="Arial"/>
          <w:b/>
          <w:bCs/>
        </w:rPr>
      </w:pPr>
    </w:p>
    <w:p w14:paraId="18891746" w14:textId="4129890F" w:rsidR="00DF6C80" w:rsidRPr="00DF6C80" w:rsidRDefault="00DF6C80" w:rsidP="00C94663">
      <w:pPr>
        <w:pStyle w:val="Heading2"/>
      </w:pPr>
      <w:bookmarkStart w:id="7" w:name="_Toc225697060"/>
      <w:proofErr w:type="spellStart"/>
      <w:r w:rsidRPr="00DF6C80">
        <w:t>Multicontract</w:t>
      </w:r>
      <w:proofErr w:type="spellEnd"/>
      <w:r w:rsidRPr="00DF6C80">
        <w:t xml:space="preserve"> + DIY</w:t>
      </w:r>
      <w:bookmarkEnd w:id="7"/>
      <w:r w:rsidRPr="00DF6C80">
        <w:t xml:space="preserve"> </w:t>
      </w:r>
    </w:p>
    <w:p w14:paraId="297D364E" w14:textId="48489131" w:rsidR="00DF6C80" w:rsidRPr="00DF6C80" w:rsidRDefault="00C94663" w:rsidP="00C94663">
      <w:pPr>
        <w:spacing w:line="360" w:lineRule="auto"/>
        <w:jc w:val="both"/>
        <w:rPr>
          <w:rFonts w:ascii="Arial" w:hAnsi="Arial" w:cs="Arial"/>
        </w:rPr>
      </w:pPr>
      <w:r w:rsidRPr="00C94663">
        <w:rPr>
          <w:rFonts w:ascii="Arial" w:hAnsi="Arial" w:cs="Arial"/>
        </w:rPr>
        <w:t>In this hybrid structure, internal execution marries external contracting. Some tasks are in-house, others are outsourced. Benefits are adaptability and a compromise between control and expertise. Drawbacks include the need for detailed coordination and the risk of integration. Such an approach has become popular in current projects, especially for digital transformation projects</w:t>
      </w:r>
      <w:r w:rsidR="00DF6C80" w:rsidRPr="00DF6C80">
        <w:rPr>
          <w:rFonts w:ascii="Arial" w:hAnsi="Arial" w:cs="Arial"/>
        </w:rPr>
        <w:t>.</w:t>
      </w:r>
    </w:p>
    <w:p w14:paraId="1605C8A3" w14:textId="722DEB76" w:rsidR="00DF6C80" w:rsidRDefault="00DF6C80" w:rsidP="00C94663">
      <w:pPr>
        <w:spacing w:line="360" w:lineRule="auto"/>
        <w:jc w:val="both"/>
        <w:rPr>
          <w:rFonts w:ascii="Arial" w:hAnsi="Arial" w:cs="Arial"/>
          <w:lang w:val="ro-RO"/>
        </w:rPr>
      </w:pPr>
    </w:p>
    <w:p w14:paraId="614E6FE1" w14:textId="77777777" w:rsidR="00C94663" w:rsidRPr="00C94663" w:rsidRDefault="00C94663" w:rsidP="00C94663">
      <w:pPr>
        <w:spacing w:line="360" w:lineRule="auto"/>
        <w:jc w:val="both"/>
        <w:rPr>
          <w:rFonts w:ascii="Arial" w:hAnsi="Arial" w:cs="Arial"/>
          <w:lang w:val="ro-RO"/>
        </w:rPr>
      </w:pPr>
    </w:p>
    <w:p w14:paraId="77DF2B6C" w14:textId="77777777" w:rsidR="00DF6C80" w:rsidRDefault="00DF6C80" w:rsidP="00C94663">
      <w:pPr>
        <w:pStyle w:val="Heading2"/>
      </w:pPr>
      <w:bookmarkStart w:id="8" w:name="_Toc225697061"/>
      <w:r w:rsidRPr="00DF6C80">
        <w:t>Critical Analysis of Contracting Approaches (IT vs Property Development)</w:t>
      </w:r>
      <w:bookmarkEnd w:id="8"/>
    </w:p>
    <w:p w14:paraId="6F457FE8" w14:textId="321CC302" w:rsidR="00C94663" w:rsidRDefault="00C94663" w:rsidP="00C94663"/>
    <w:p w14:paraId="3C7B9FA5" w14:textId="66AEF56B" w:rsidR="00C94663" w:rsidRPr="00526AB2" w:rsidRDefault="00C94663" w:rsidP="00526AB2"/>
    <w:p w14:paraId="6CD9D68D" w14:textId="03B46EC6" w:rsidR="00C94663" w:rsidRDefault="00C94663" w:rsidP="00C94663">
      <w:pPr>
        <w:spacing w:line="360" w:lineRule="auto"/>
        <w:jc w:val="both"/>
        <w:rPr>
          <w:rFonts w:ascii="Arial" w:hAnsi="Arial" w:cs="Arial"/>
        </w:rPr>
      </w:pPr>
      <w:r w:rsidRPr="00C94663">
        <w:rPr>
          <w:rFonts w:ascii="Arial" w:hAnsi="Arial" w:cs="Arial"/>
        </w:rPr>
        <w:t>Project success depends a great deal on the way contracting strategies are used particularly with respect to its allocation of risk, control, or flexibility. The right approach to contracting often depends on the type of project presented, as seen in the comparison of IT system implementation and property development projects. This can be demonstrated with the NHS National Programme for IT (</w:t>
      </w:r>
      <w:proofErr w:type="spellStart"/>
      <w:r w:rsidRPr="00C94663">
        <w:rPr>
          <w:rFonts w:ascii="Arial" w:hAnsi="Arial" w:cs="Arial"/>
        </w:rPr>
        <w:t>NPfIT</w:t>
      </w:r>
      <w:proofErr w:type="spellEnd"/>
      <w:r w:rsidRPr="00C94663">
        <w:rPr>
          <w:rFonts w:ascii="Arial" w:hAnsi="Arial" w:cs="Arial"/>
        </w:rPr>
        <w:t>) and the Battersea Power Station Redevelopment. The NHS National Programme for IT (</w:t>
      </w:r>
      <w:proofErr w:type="spellStart"/>
      <w:r w:rsidRPr="00C94663">
        <w:rPr>
          <w:rFonts w:ascii="Arial" w:hAnsi="Arial" w:cs="Arial"/>
        </w:rPr>
        <w:t>NPfIT</w:t>
      </w:r>
      <w:proofErr w:type="spellEnd"/>
      <w:r w:rsidRPr="00C94663">
        <w:rPr>
          <w:rFonts w:ascii="Arial" w:hAnsi="Arial" w:cs="Arial"/>
        </w:rPr>
        <w:t xml:space="preserve">) followed a largely turnkey-style contracting model where large suppliers were responsible for offering IT systems. This approach theoretically transfers some of the risk to contractors and reduces client involvement. The project was dogged by significant issues such as cost overruns, delays and eventually a failure. The contract structure </w:t>
      </w:r>
      <w:r w:rsidRPr="00C94663">
        <w:rPr>
          <w:rFonts w:ascii="Arial" w:hAnsi="Arial" w:cs="Arial"/>
        </w:rPr>
        <w:lastRenderedPageBreak/>
        <w:t xml:space="preserve">was inherently rigid, with one of the main concerns being its inability to adapt to changing user requirements. As noted by Boehm and Turner (2020), IT projects are inherently uncertain and necessitate flexibility which leads to a weaker fit for turnkey contracts. As a result, despite the idea of transferring risk, the economic and operational impact ended up falling back on the public sector: here is another lesson is that transfer of risk is an incomplete endeavour. The Battersea Power Station redevelopment differed, using a multi-contract, hybrid approach of multiple contractors and phased delivery. With that, it gave the client more control as well as expertise with specialisation in different areas related to the project. Winch (2020) highlights the importance of these approaches in construction projects that are complex and require different people to come together with an expertise. Yet this flexibility has brought greater coordination challenges. The multiple contractor management can result in integration issues, delays and cost escalation, especially when project elements are highly interconnected (Chapman and Ward, 2019). This highlights the fact that contract strategies need to fit with the project characteristics based on a comparison of the two cases. The project development shows that turnkey solutions may come unstuck if requirements are not defined ahead of time in new environments. In contrast, the Battersea experience highlights that with the benefits of flexible and tight control that </w:t>
      </w:r>
      <w:proofErr w:type="spellStart"/>
      <w:r w:rsidRPr="00C94663">
        <w:rPr>
          <w:rFonts w:ascii="Arial" w:hAnsi="Arial" w:cs="Arial"/>
        </w:rPr>
        <w:t>multicontract</w:t>
      </w:r>
      <w:proofErr w:type="spellEnd"/>
      <w:r w:rsidRPr="00C94663">
        <w:rPr>
          <w:rFonts w:ascii="Arial" w:hAnsi="Arial" w:cs="Arial"/>
        </w:rPr>
        <w:t xml:space="preserve"> approach has but it also demands a high level of management capability to manage risks of coordination. Overall, it would seem in this article no one contracting approach does work universally. Rather, a decision should emerge based on how uncertain the risk and the level of complexity and the ability of the client to manage risk. According to PMI (2021), project context must be aligned with contracting strategy to achieve successful results. </w:t>
      </w:r>
    </w:p>
    <w:p w14:paraId="539F8CB8" w14:textId="77777777" w:rsidR="007700E0" w:rsidRPr="00C94663" w:rsidRDefault="007700E0" w:rsidP="00C94663">
      <w:pPr>
        <w:spacing w:line="360" w:lineRule="auto"/>
        <w:jc w:val="both"/>
        <w:rPr>
          <w:rFonts w:ascii="Arial" w:hAnsi="Arial" w:cs="Arial"/>
        </w:rPr>
      </w:pPr>
    </w:p>
    <w:p w14:paraId="6C0AACA8" w14:textId="77777777" w:rsidR="00C94663" w:rsidRPr="00DF6C80" w:rsidRDefault="00C94663" w:rsidP="00C94663">
      <w:pPr>
        <w:spacing w:line="360" w:lineRule="auto"/>
        <w:jc w:val="both"/>
        <w:rPr>
          <w:rFonts w:ascii="Arial" w:hAnsi="Arial" w:cs="Arial"/>
          <w:b/>
          <w:bCs/>
        </w:rPr>
      </w:pPr>
    </w:p>
    <w:p w14:paraId="1756F0C6" w14:textId="77777777" w:rsidR="00AF6B3A" w:rsidRPr="00AF6B3A" w:rsidRDefault="00AF6B3A" w:rsidP="00526AB2">
      <w:pPr>
        <w:pStyle w:val="Heading1"/>
      </w:pPr>
      <w:bookmarkStart w:id="9" w:name="_Toc225697062"/>
      <w:r w:rsidRPr="00AF6B3A">
        <w:t>Linking Risk and Contracting in Project Management</w:t>
      </w:r>
      <w:bookmarkEnd w:id="9"/>
    </w:p>
    <w:p w14:paraId="19F302E9" w14:textId="50CDDE8F" w:rsidR="00AF6B3A" w:rsidRPr="00C94663" w:rsidRDefault="00C94663" w:rsidP="00C94663">
      <w:pPr>
        <w:spacing w:line="360" w:lineRule="auto"/>
        <w:jc w:val="both"/>
        <w:rPr>
          <w:rFonts w:ascii="Arial" w:hAnsi="Arial" w:cs="Arial"/>
          <w:lang w:val="ro-RO"/>
        </w:rPr>
      </w:pPr>
      <w:r w:rsidRPr="00C94663">
        <w:rPr>
          <w:rFonts w:ascii="Arial" w:hAnsi="Arial" w:cs="Arial"/>
        </w:rPr>
        <w:t xml:space="preserve">If we move on to contracting, the relationship between risk management and contracting is critical given that the type of contract chosen will influence risk allocation among project stakeholders. Contracts in practice do not eliminate risk; rather they specify which party is responsible for managing and ultimately bearing those risks </w:t>
      </w:r>
      <w:r w:rsidRPr="00C94663">
        <w:rPr>
          <w:rFonts w:ascii="Arial" w:hAnsi="Arial" w:cs="Arial"/>
        </w:rPr>
        <w:lastRenderedPageBreak/>
        <w:t>(PMI, 2021). Thus, good project management involves aligning contract strategy with the risk profile, complexity, and uncertainty involved in the project. From an academic standpoint, the allocation of risk to the contract structure is directly relevant to the contractual arrangement. In a turnkey contract, a large amount of risk</w:t>
      </w:r>
      <w:r>
        <w:rPr>
          <w:rFonts w:ascii="Arial" w:hAnsi="Arial" w:cs="Arial"/>
        </w:rPr>
        <w:t xml:space="preserve"> </w:t>
      </w:r>
      <w:r w:rsidRPr="00C94663">
        <w:rPr>
          <w:rFonts w:ascii="Arial" w:hAnsi="Arial" w:cs="Arial"/>
        </w:rPr>
        <w:t>and it depends on the client's decisions about the project, like any financial, technical, or schedule risk</w:t>
      </w:r>
      <w:r>
        <w:rPr>
          <w:rFonts w:ascii="Arial" w:hAnsi="Arial" w:cs="Arial"/>
        </w:rPr>
        <w:t xml:space="preserve"> </w:t>
      </w:r>
      <w:r w:rsidRPr="00C94663">
        <w:rPr>
          <w:rFonts w:ascii="Arial" w:hAnsi="Arial" w:cs="Arial"/>
        </w:rPr>
        <w:t>is in control of the contractor. It is this that gives the client better cost stability and lessens managerial stress. However, as Winch (2020) points out, contractors usually consider a risk premium in their pricing, which pushes up project total costs. In addition, the success of risk transfer relies on the ability of the contractor to manage those risks. This was a limit on the implementation of the NHS National Programme for IT (</w:t>
      </w:r>
      <w:proofErr w:type="spellStart"/>
      <w:r w:rsidRPr="00C94663">
        <w:rPr>
          <w:rFonts w:ascii="Arial" w:hAnsi="Arial" w:cs="Arial"/>
        </w:rPr>
        <w:t>NPfIT</w:t>
      </w:r>
      <w:proofErr w:type="spellEnd"/>
      <w:r w:rsidRPr="00C94663">
        <w:rPr>
          <w:rFonts w:ascii="Arial" w:hAnsi="Arial" w:cs="Arial"/>
        </w:rPr>
        <w:t xml:space="preserve">), which followed a turnkey style approach. The project was delivered and risk assigned on a contractual agreement to external suppliers, nevertheless the project was a complete failure because of the complicated technical system and constantly changing user needs. Hence, the burden of the operational and financial effects was ultimately absorbed by the public sector. This practice illustrates that in practice risk transfers are rarely complete and particularly less in the context of complicated and uncertain projects (Boehm and Turner, 2020). In a </w:t>
      </w:r>
      <w:proofErr w:type="spellStart"/>
      <w:r w:rsidRPr="00C94663">
        <w:rPr>
          <w:rFonts w:ascii="Arial" w:hAnsi="Arial" w:cs="Arial"/>
        </w:rPr>
        <w:t>multicontract</w:t>
      </w:r>
      <w:proofErr w:type="spellEnd"/>
      <w:r w:rsidRPr="00C94663">
        <w:rPr>
          <w:rFonts w:ascii="Arial" w:hAnsi="Arial" w:cs="Arial"/>
        </w:rPr>
        <w:t xml:space="preserve"> set up, risk is spread amongst multiple contractors, but overall coordination responsibility remains within the client. This gives more flexibility and control, but greater exposure to integration and interface risks. Crossrail (Elizabeth Line) is a prime example of this approach. The project had many contractors, with various aspects under similar management, making access to specialised expertise possible. However, responsibility was fragmented and the lack of coordination posed difficulties, delays and cost overruns. Thus, with a huge financial uncertainty still in the hands of the client, this demonstrates the common connection between increasing control and increasing risk exposure (Kerzner, 2022). Hybrid approaches, too</w:t>
      </w:r>
      <w:r>
        <w:rPr>
          <w:rFonts w:ascii="Arial" w:hAnsi="Arial" w:cs="Arial"/>
        </w:rPr>
        <w:t xml:space="preserve"> </w:t>
      </w:r>
      <w:r w:rsidRPr="00C94663">
        <w:rPr>
          <w:rFonts w:ascii="Arial" w:hAnsi="Arial" w:cs="Arial"/>
        </w:rPr>
        <w:t>like those employed in the Battersea Power Station Redevelopment</w:t>
      </w:r>
      <w:r>
        <w:rPr>
          <w:rFonts w:ascii="Arial" w:hAnsi="Arial" w:cs="Arial"/>
        </w:rPr>
        <w:t xml:space="preserve"> </w:t>
      </w:r>
      <w:r w:rsidRPr="00C94663">
        <w:rPr>
          <w:rFonts w:ascii="Arial" w:hAnsi="Arial" w:cs="Arial"/>
        </w:rPr>
        <w:t xml:space="preserve">mix elements of </w:t>
      </w:r>
      <w:proofErr w:type="spellStart"/>
      <w:r w:rsidRPr="00C94663">
        <w:rPr>
          <w:rFonts w:ascii="Arial" w:hAnsi="Arial" w:cs="Arial"/>
        </w:rPr>
        <w:t>multicontracting</w:t>
      </w:r>
      <w:proofErr w:type="spellEnd"/>
      <w:r w:rsidRPr="00C94663">
        <w:rPr>
          <w:rFonts w:ascii="Arial" w:hAnsi="Arial" w:cs="Arial"/>
        </w:rPr>
        <w:t xml:space="preserve"> with internal delivery. While this ensures a balance of control and expertise, it also demands advanced risk management for both internal and external uncertainties. To quote Chapman and Ward (2019), it is significant complexity of coordinating a multifaceted team of stakeholders that would drastically increase the probability of delays and budget cost increase. Importantly, exposure and spread of financial risk varies among contracting strategies. In turnkey contracts the contractor assumes most of the financial risk while at an increased cost to the client. The client still bears a larger </w:t>
      </w:r>
      <w:r w:rsidRPr="00C94663">
        <w:rPr>
          <w:rFonts w:ascii="Arial" w:hAnsi="Arial" w:cs="Arial"/>
        </w:rPr>
        <w:lastRenderedPageBreak/>
        <w:t xml:space="preserve">portion of the financial and performance risks in </w:t>
      </w:r>
      <w:proofErr w:type="spellStart"/>
      <w:r w:rsidRPr="00C94663">
        <w:rPr>
          <w:rFonts w:ascii="Arial" w:hAnsi="Arial" w:cs="Arial"/>
        </w:rPr>
        <w:t>multicontract</w:t>
      </w:r>
      <w:proofErr w:type="spellEnd"/>
      <w:r w:rsidRPr="00C94663">
        <w:rPr>
          <w:rFonts w:ascii="Arial" w:hAnsi="Arial" w:cs="Arial"/>
        </w:rPr>
        <w:t xml:space="preserve"> and DIY. Hybrid models spread risk more loosely but create more management overhead. Contract selection is a balance act of risk transfer versus control and is not monolithic. Collectively the evidence indicates that an effective allocation of risk will hinge on the match between the contract type and project characteristics. Projects with high uncertainty, such as IT systems need to adopt flexible and adaptive contracting, while more predictable projects may benefit from a greater risk transfer. Thus, one could say that the success of a project is not only about identifying and managing risks (PMI, 2021) but also about choosing contractual frameworks that distribute risks appropriately.</w:t>
      </w:r>
    </w:p>
    <w:p w14:paraId="35598313" w14:textId="77777777" w:rsidR="00DF6C80" w:rsidRPr="00C94663" w:rsidRDefault="00DF6C80" w:rsidP="00C94663">
      <w:pPr>
        <w:spacing w:line="360" w:lineRule="auto"/>
        <w:jc w:val="both"/>
        <w:rPr>
          <w:rFonts w:ascii="Arial" w:hAnsi="Arial" w:cs="Arial"/>
          <w:lang w:val="ro-RO"/>
        </w:rPr>
      </w:pPr>
    </w:p>
    <w:p w14:paraId="4A837356" w14:textId="7C5A3008" w:rsidR="00AF6B3A" w:rsidRPr="00AF6B3A" w:rsidRDefault="00AF6B3A" w:rsidP="00526AB2">
      <w:pPr>
        <w:pStyle w:val="Heading1"/>
      </w:pPr>
      <w:bookmarkStart w:id="10" w:name="_Toc225697063"/>
      <w:r w:rsidRPr="00AF6B3A">
        <w:t>Conclusio</w:t>
      </w:r>
      <w:r w:rsidRPr="00C94663">
        <w:t>n</w:t>
      </w:r>
      <w:bookmarkEnd w:id="10"/>
      <w:r w:rsidRPr="00C94663">
        <w:t xml:space="preserve"> </w:t>
      </w:r>
    </w:p>
    <w:p w14:paraId="30658197" w14:textId="75BD1DE5" w:rsidR="00AF6B3A" w:rsidRPr="00C94663" w:rsidRDefault="00C94663" w:rsidP="00C94663">
      <w:pPr>
        <w:spacing w:line="360" w:lineRule="auto"/>
        <w:jc w:val="both"/>
        <w:rPr>
          <w:rFonts w:ascii="Arial" w:hAnsi="Arial" w:cs="Arial"/>
        </w:rPr>
      </w:pPr>
      <w:r w:rsidRPr="00C94663">
        <w:rPr>
          <w:rFonts w:ascii="Arial" w:hAnsi="Arial" w:cs="Arial"/>
        </w:rPr>
        <w:t xml:space="preserve">This essay demonstrated in this case the importance that effective project management can be achieved if proper contracting techniques are used as well as the risk management processes. Risk, as defined by the Project Management Institute (2021), should be managed through identification, analysis, response, and monitoring to reduce uncertainty and ensure the desired project results. The analysis of contracting approaches demonstrates that turnkey, </w:t>
      </w:r>
      <w:proofErr w:type="spellStart"/>
      <w:r w:rsidRPr="00C94663">
        <w:rPr>
          <w:rFonts w:ascii="Arial" w:hAnsi="Arial" w:cs="Arial"/>
        </w:rPr>
        <w:t>multicontract</w:t>
      </w:r>
      <w:proofErr w:type="spellEnd"/>
      <w:r w:rsidRPr="00C94663">
        <w:rPr>
          <w:rFonts w:ascii="Arial" w:hAnsi="Arial" w:cs="Arial"/>
        </w:rPr>
        <w:t>, DIY, and hybrid models each offer different levels of control, flexibility, and risk allocation. Indeed, the examples we’ve used in the real world, such as the NHS National Programme for IT (</w:t>
      </w:r>
      <w:proofErr w:type="spellStart"/>
      <w:r w:rsidRPr="00C94663">
        <w:rPr>
          <w:rFonts w:ascii="Arial" w:hAnsi="Arial" w:cs="Arial"/>
        </w:rPr>
        <w:t>NPfIT</w:t>
      </w:r>
      <w:proofErr w:type="spellEnd"/>
      <w:r w:rsidRPr="00C94663">
        <w:rPr>
          <w:rFonts w:ascii="Arial" w:hAnsi="Arial" w:cs="Arial"/>
        </w:rPr>
        <w:t>), and Crossrail (Elizabeth Line) illustrate that risk transfer is often incomplete, and that the selection of a contract plays a major role in whether one is financially responsible or not. There is no one best way to do this, but success depends on the extent to which contract strategy matches project complexity, uncertainty, and organisational capability (Winch, 2020; Chapman and Ward, 2019).</w:t>
      </w:r>
    </w:p>
    <w:p w14:paraId="11272B1A" w14:textId="77777777" w:rsidR="00C94663" w:rsidRPr="00C94663" w:rsidRDefault="00C94663" w:rsidP="00C94663">
      <w:pPr>
        <w:spacing w:line="360" w:lineRule="auto"/>
        <w:jc w:val="both"/>
        <w:rPr>
          <w:rFonts w:ascii="Arial" w:hAnsi="Arial" w:cs="Arial"/>
        </w:rPr>
      </w:pPr>
    </w:p>
    <w:p w14:paraId="5EEB0308" w14:textId="77777777" w:rsidR="00C94663" w:rsidRPr="00C94663" w:rsidRDefault="00C94663" w:rsidP="00C94663">
      <w:pPr>
        <w:spacing w:line="360" w:lineRule="auto"/>
        <w:jc w:val="both"/>
        <w:rPr>
          <w:rFonts w:ascii="Arial" w:hAnsi="Arial" w:cs="Arial"/>
        </w:rPr>
      </w:pPr>
    </w:p>
    <w:p w14:paraId="4EC18EC4" w14:textId="77777777" w:rsidR="00C94663" w:rsidRPr="00C94663" w:rsidRDefault="00C94663" w:rsidP="00C94663">
      <w:pPr>
        <w:spacing w:line="360" w:lineRule="auto"/>
        <w:jc w:val="both"/>
        <w:rPr>
          <w:rFonts w:ascii="Arial" w:hAnsi="Arial" w:cs="Arial"/>
        </w:rPr>
      </w:pPr>
    </w:p>
    <w:p w14:paraId="6DF9D006" w14:textId="77777777" w:rsidR="00C94663" w:rsidRPr="00C94663" w:rsidRDefault="00C94663" w:rsidP="00C94663">
      <w:pPr>
        <w:spacing w:line="360" w:lineRule="auto"/>
        <w:jc w:val="both"/>
        <w:rPr>
          <w:rFonts w:ascii="Arial" w:hAnsi="Arial" w:cs="Arial"/>
        </w:rPr>
      </w:pPr>
    </w:p>
    <w:p w14:paraId="63D65F9E" w14:textId="77777777" w:rsidR="00C94663" w:rsidRDefault="00C94663" w:rsidP="00C94663">
      <w:pPr>
        <w:spacing w:line="360" w:lineRule="auto"/>
        <w:jc w:val="both"/>
        <w:rPr>
          <w:rFonts w:ascii="Arial" w:hAnsi="Arial" w:cs="Arial"/>
        </w:rPr>
      </w:pPr>
    </w:p>
    <w:p w14:paraId="67DDD373" w14:textId="77777777" w:rsidR="00526AB2" w:rsidRDefault="00526AB2" w:rsidP="00C94663">
      <w:pPr>
        <w:spacing w:line="360" w:lineRule="auto"/>
        <w:jc w:val="both"/>
        <w:rPr>
          <w:rFonts w:ascii="Arial" w:hAnsi="Arial" w:cs="Arial"/>
        </w:rPr>
      </w:pPr>
    </w:p>
    <w:p w14:paraId="2C77DBAF" w14:textId="77777777" w:rsidR="00526AB2" w:rsidRDefault="00526AB2" w:rsidP="00C94663">
      <w:pPr>
        <w:spacing w:line="360" w:lineRule="auto"/>
        <w:jc w:val="both"/>
        <w:rPr>
          <w:rFonts w:ascii="Arial" w:hAnsi="Arial" w:cs="Arial"/>
        </w:rPr>
      </w:pPr>
    </w:p>
    <w:p w14:paraId="0C58A2D2" w14:textId="77777777" w:rsidR="00526AB2" w:rsidRDefault="00526AB2" w:rsidP="00C94663">
      <w:pPr>
        <w:spacing w:line="360" w:lineRule="auto"/>
        <w:jc w:val="both"/>
        <w:rPr>
          <w:rFonts w:ascii="Arial" w:hAnsi="Arial" w:cs="Arial"/>
        </w:rPr>
      </w:pPr>
    </w:p>
    <w:p w14:paraId="061CB526" w14:textId="77777777" w:rsidR="00526AB2" w:rsidRDefault="00526AB2" w:rsidP="00C94663">
      <w:pPr>
        <w:spacing w:line="360" w:lineRule="auto"/>
        <w:jc w:val="both"/>
        <w:rPr>
          <w:rFonts w:ascii="Arial" w:hAnsi="Arial" w:cs="Arial"/>
        </w:rPr>
      </w:pPr>
    </w:p>
    <w:p w14:paraId="34E6CA38" w14:textId="77777777" w:rsidR="00526AB2" w:rsidRDefault="00526AB2" w:rsidP="00C94663">
      <w:pPr>
        <w:spacing w:line="360" w:lineRule="auto"/>
        <w:jc w:val="both"/>
        <w:rPr>
          <w:rFonts w:ascii="Arial" w:hAnsi="Arial" w:cs="Arial"/>
        </w:rPr>
      </w:pPr>
    </w:p>
    <w:p w14:paraId="375F4A66" w14:textId="77777777" w:rsidR="00526AB2" w:rsidRDefault="00526AB2" w:rsidP="00C94663">
      <w:pPr>
        <w:spacing w:line="360" w:lineRule="auto"/>
        <w:jc w:val="both"/>
        <w:rPr>
          <w:rFonts w:ascii="Arial" w:hAnsi="Arial" w:cs="Arial"/>
        </w:rPr>
      </w:pPr>
    </w:p>
    <w:p w14:paraId="2A5F7CF1" w14:textId="77777777" w:rsidR="00526AB2" w:rsidRDefault="00526AB2" w:rsidP="00C94663">
      <w:pPr>
        <w:spacing w:line="360" w:lineRule="auto"/>
        <w:jc w:val="both"/>
        <w:rPr>
          <w:rFonts w:ascii="Arial" w:hAnsi="Arial" w:cs="Arial"/>
        </w:rPr>
      </w:pPr>
    </w:p>
    <w:p w14:paraId="084A828C" w14:textId="77777777" w:rsidR="00526AB2" w:rsidRDefault="00526AB2" w:rsidP="00C94663">
      <w:pPr>
        <w:spacing w:line="360" w:lineRule="auto"/>
        <w:jc w:val="both"/>
        <w:rPr>
          <w:rFonts w:ascii="Arial" w:hAnsi="Arial" w:cs="Arial"/>
        </w:rPr>
      </w:pPr>
    </w:p>
    <w:p w14:paraId="78566067" w14:textId="77777777" w:rsidR="00526AB2" w:rsidRDefault="00526AB2" w:rsidP="00C94663">
      <w:pPr>
        <w:spacing w:line="360" w:lineRule="auto"/>
        <w:jc w:val="both"/>
        <w:rPr>
          <w:rFonts w:ascii="Arial" w:hAnsi="Arial" w:cs="Arial"/>
        </w:rPr>
      </w:pPr>
    </w:p>
    <w:p w14:paraId="6B2628AC" w14:textId="77777777" w:rsidR="003F3801" w:rsidRDefault="003F3801" w:rsidP="00C94663">
      <w:pPr>
        <w:spacing w:line="360" w:lineRule="auto"/>
        <w:jc w:val="both"/>
        <w:rPr>
          <w:rFonts w:ascii="Arial" w:hAnsi="Arial" w:cs="Arial"/>
        </w:rPr>
      </w:pPr>
    </w:p>
    <w:p w14:paraId="59A0BB6A" w14:textId="77777777" w:rsidR="003F3801" w:rsidRDefault="003F3801" w:rsidP="00C94663">
      <w:pPr>
        <w:spacing w:line="360" w:lineRule="auto"/>
        <w:jc w:val="both"/>
        <w:rPr>
          <w:rFonts w:ascii="Arial" w:hAnsi="Arial" w:cs="Arial"/>
        </w:rPr>
      </w:pPr>
    </w:p>
    <w:p w14:paraId="47805DD2" w14:textId="77777777" w:rsidR="003F3801" w:rsidRDefault="003F3801" w:rsidP="00C94663">
      <w:pPr>
        <w:spacing w:line="360" w:lineRule="auto"/>
        <w:jc w:val="both"/>
        <w:rPr>
          <w:rFonts w:ascii="Arial" w:hAnsi="Arial" w:cs="Arial"/>
        </w:rPr>
      </w:pPr>
    </w:p>
    <w:p w14:paraId="5BDD5ABC" w14:textId="77777777" w:rsidR="003F3801" w:rsidRDefault="003F3801" w:rsidP="00C94663">
      <w:pPr>
        <w:spacing w:line="360" w:lineRule="auto"/>
        <w:jc w:val="both"/>
        <w:rPr>
          <w:rFonts w:ascii="Arial" w:hAnsi="Arial" w:cs="Arial"/>
        </w:rPr>
      </w:pPr>
    </w:p>
    <w:p w14:paraId="42C480C2" w14:textId="77777777" w:rsidR="003F3801" w:rsidRDefault="003F3801" w:rsidP="00C94663">
      <w:pPr>
        <w:spacing w:line="360" w:lineRule="auto"/>
        <w:jc w:val="both"/>
        <w:rPr>
          <w:rFonts w:ascii="Arial" w:hAnsi="Arial" w:cs="Arial"/>
        </w:rPr>
      </w:pPr>
    </w:p>
    <w:p w14:paraId="2F21A840" w14:textId="77777777" w:rsidR="003F3801" w:rsidRDefault="003F3801" w:rsidP="00C94663">
      <w:pPr>
        <w:spacing w:line="360" w:lineRule="auto"/>
        <w:jc w:val="both"/>
        <w:rPr>
          <w:rFonts w:ascii="Arial" w:hAnsi="Arial" w:cs="Arial"/>
        </w:rPr>
      </w:pPr>
    </w:p>
    <w:p w14:paraId="0D007FF5" w14:textId="77777777" w:rsidR="00526AB2" w:rsidRPr="00AF6B3A" w:rsidRDefault="00526AB2" w:rsidP="00C94663">
      <w:pPr>
        <w:spacing w:line="360" w:lineRule="auto"/>
        <w:jc w:val="both"/>
        <w:rPr>
          <w:rFonts w:ascii="Arial" w:hAnsi="Arial" w:cs="Arial"/>
        </w:rPr>
      </w:pPr>
    </w:p>
    <w:p w14:paraId="3F57AD7C" w14:textId="77777777" w:rsidR="00AF6B3A" w:rsidRPr="00AF6B3A" w:rsidRDefault="00AF6B3A" w:rsidP="00526AB2">
      <w:pPr>
        <w:pStyle w:val="Heading1"/>
      </w:pPr>
      <w:bookmarkStart w:id="11" w:name="_Toc225697064"/>
      <w:r w:rsidRPr="00AF6B3A">
        <w:t>References (Harvard Style)</w:t>
      </w:r>
      <w:bookmarkEnd w:id="11"/>
    </w:p>
    <w:p w14:paraId="21A74DCF"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Boehm, B. and Turner, R. (2020) </w:t>
      </w:r>
      <w:r w:rsidRPr="00AF6B3A">
        <w:rPr>
          <w:rFonts w:ascii="Arial" w:hAnsi="Arial" w:cs="Arial"/>
          <w:i/>
          <w:iCs/>
        </w:rPr>
        <w:t>Balancing Agility and Discipline: A Guide for the Perplexed</w:t>
      </w:r>
      <w:r w:rsidRPr="00AF6B3A">
        <w:rPr>
          <w:rFonts w:ascii="Arial" w:hAnsi="Arial" w:cs="Arial"/>
        </w:rPr>
        <w:t>. Addison-Wesley.</w:t>
      </w:r>
    </w:p>
    <w:p w14:paraId="2A60B6EC"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Chapman, C. and Ward, S. (2019) </w:t>
      </w:r>
      <w:r w:rsidRPr="00AF6B3A">
        <w:rPr>
          <w:rFonts w:ascii="Arial" w:hAnsi="Arial" w:cs="Arial"/>
          <w:i/>
          <w:iCs/>
        </w:rPr>
        <w:t>How to Manage Project Opportunity and Risk</w:t>
      </w:r>
      <w:r w:rsidRPr="00AF6B3A">
        <w:rPr>
          <w:rFonts w:ascii="Arial" w:hAnsi="Arial" w:cs="Arial"/>
        </w:rPr>
        <w:t xml:space="preserve">. 4th </w:t>
      </w:r>
      <w:proofErr w:type="spellStart"/>
      <w:r w:rsidRPr="00AF6B3A">
        <w:rPr>
          <w:rFonts w:ascii="Arial" w:hAnsi="Arial" w:cs="Arial"/>
        </w:rPr>
        <w:t>edn</w:t>
      </w:r>
      <w:proofErr w:type="spellEnd"/>
      <w:r w:rsidRPr="00AF6B3A">
        <w:rPr>
          <w:rFonts w:ascii="Arial" w:hAnsi="Arial" w:cs="Arial"/>
        </w:rPr>
        <w:t>. Wiley.</w:t>
      </w:r>
    </w:p>
    <w:p w14:paraId="5B564277"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Hillson, D. (2017) </w:t>
      </w:r>
      <w:r w:rsidRPr="00AF6B3A">
        <w:rPr>
          <w:rFonts w:ascii="Arial" w:hAnsi="Arial" w:cs="Arial"/>
          <w:i/>
          <w:iCs/>
        </w:rPr>
        <w:t>Practical Project Risk Management</w:t>
      </w:r>
      <w:r w:rsidRPr="00AF6B3A">
        <w:rPr>
          <w:rFonts w:ascii="Arial" w:hAnsi="Arial" w:cs="Arial"/>
        </w:rPr>
        <w:t>. Berrett-Koehler.</w:t>
      </w:r>
    </w:p>
    <w:p w14:paraId="1740BB0E"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Kerzner, H. (2022) </w:t>
      </w:r>
      <w:r w:rsidRPr="00AF6B3A">
        <w:rPr>
          <w:rFonts w:ascii="Arial" w:hAnsi="Arial" w:cs="Arial"/>
          <w:i/>
          <w:iCs/>
        </w:rPr>
        <w:t>Project Management: A Systems Approach to Planning, Scheduling, and Controlling</w:t>
      </w:r>
      <w:r w:rsidRPr="00AF6B3A">
        <w:rPr>
          <w:rFonts w:ascii="Arial" w:hAnsi="Arial" w:cs="Arial"/>
        </w:rPr>
        <w:t xml:space="preserve">. 13th </w:t>
      </w:r>
      <w:proofErr w:type="spellStart"/>
      <w:r w:rsidRPr="00AF6B3A">
        <w:rPr>
          <w:rFonts w:ascii="Arial" w:hAnsi="Arial" w:cs="Arial"/>
        </w:rPr>
        <w:t>edn</w:t>
      </w:r>
      <w:proofErr w:type="spellEnd"/>
      <w:r w:rsidRPr="00AF6B3A">
        <w:rPr>
          <w:rFonts w:ascii="Arial" w:hAnsi="Arial" w:cs="Arial"/>
        </w:rPr>
        <w:t>. Wiley.</w:t>
      </w:r>
    </w:p>
    <w:p w14:paraId="2954CA2D"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Loosemore, M. (2016) </w:t>
      </w:r>
      <w:r w:rsidRPr="00AF6B3A">
        <w:rPr>
          <w:rFonts w:ascii="Arial" w:hAnsi="Arial" w:cs="Arial"/>
          <w:i/>
          <w:iCs/>
        </w:rPr>
        <w:t>Risk Management in Projects</w:t>
      </w:r>
      <w:r w:rsidRPr="00AF6B3A">
        <w:rPr>
          <w:rFonts w:ascii="Arial" w:hAnsi="Arial" w:cs="Arial"/>
        </w:rPr>
        <w:t>. Routledge.</w:t>
      </w:r>
    </w:p>
    <w:p w14:paraId="34DCDBC4" w14:textId="77777777" w:rsidR="00AF6B3A" w:rsidRPr="00AF6B3A" w:rsidRDefault="00AF6B3A" w:rsidP="00C94663">
      <w:pPr>
        <w:spacing w:line="360" w:lineRule="auto"/>
        <w:jc w:val="both"/>
        <w:rPr>
          <w:rFonts w:ascii="Arial" w:hAnsi="Arial" w:cs="Arial"/>
        </w:rPr>
      </w:pPr>
      <w:r w:rsidRPr="00AF6B3A">
        <w:rPr>
          <w:rFonts w:ascii="Arial" w:hAnsi="Arial" w:cs="Arial"/>
        </w:rPr>
        <w:lastRenderedPageBreak/>
        <w:t xml:space="preserve">PMI (2021) </w:t>
      </w:r>
      <w:r w:rsidRPr="00AF6B3A">
        <w:rPr>
          <w:rFonts w:ascii="Arial" w:hAnsi="Arial" w:cs="Arial"/>
          <w:i/>
          <w:iCs/>
        </w:rPr>
        <w:t>A Guide to the Project Management Body of Knowledge (PMBOK Guide)</w:t>
      </w:r>
      <w:r w:rsidRPr="00AF6B3A">
        <w:rPr>
          <w:rFonts w:ascii="Arial" w:hAnsi="Arial" w:cs="Arial"/>
        </w:rPr>
        <w:t xml:space="preserve">. 7th </w:t>
      </w:r>
      <w:proofErr w:type="spellStart"/>
      <w:r w:rsidRPr="00AF6B3A">
        <w:rPr>
          <w:rFonts w:ascii="Arial" w:hAnsi="Arial" w:cs="Arial"/>
        </w:rPr>
        <w:t>edn</w:t>
      </w:r>
      <w:proofErr w:type="spellEnd"/>
      <w:r w:rsidRPr="00AF6B3A">
        <w:rPr>
          <w:rFonts w:ascii="Arial" w:hAnsi="Arial" w:cs="Arial"/>
        </w:rPr>
        <w:t>. Project Management Institute.</w:t>
      </w:r>
    </w:p>
    <w:p w14:paraId="17E7C99E"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Too, E.G. and Weaver, P. (2014) ‘The management of project management: A conceptual framework for project governance’, </w:t>
      </w:r>
      <w:r w:rsidRPr="00AF6B3A">
        <w:rPr>
          <w:rFonts w:ascii="Arial" w:hAnsi="Arial" w:cs="Arial"/>
          <w:i/>
          <w:iCs/>
        </w:rPr>
        <w:t>International Journal of Project Management</w:t>
      </w:r>
      <w:r w:rsidRPr="00AF6B3A">
        <w:rPr>
          <w:rFonts w:ascii="Arial" w:hAnsi="Arial" w:cs="Arial"/>
        </w:rPr>
        <w:t>, 32(8), pp. 1382–1394.</w:t>
      </w:r>
    </w:p>
    <w:p w14:paraId="322E7CF4"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Walker, A. (2015) </w:t>
      </w:r>
      <w:r w:rsidRPr="00AF6B3A">
        <w:rPr>
          <w:rFonts w:ascii="Arial" w:hAnsi="Arial" w:cs="Arial"/>
          <w:i/>
          <w:iCs/>
        </w:rPr>
        <w:t>Project Management in Construction</w:t>
      </w:r>
      <w:r w:rsidRPr="00AF6B3A">
        <w:rPr>
          <w:rFonts w:ascii="Arial" w:hAnsi="Arial" w:cs="Arial"/>
        </w:rPr>
        <w:t xml:space="preserve">. 6th </w:t>
      </w:r>
      <w:proofErr w:type="spellStart"/>
      <w:r w:rsidRPr="00AF6B3A">
        <w:rPr>
          <w:rFonts w:ascii="Arial" w:hAnsi="Arial" w:cs="Arial"/>
        </w:rPr>
        <w:t>edn</w:t>
      </w:r>
      <w:proofErr w:type="spellEnd"/>
      <w:r w:rsidRPr="00AF6B3A">
        <w:rPr>
          <w:rFonts w:ascii="Arial" w:hAnsi="Arial" w:cs="Arial"/>
        </w:rPr>
        <w:t>. Wiley-Blackwell.</w:t>
      </w:r>
    </w:p>
    <w:p w14:paraId="3C7C6C37" w14:textId="77777777" w:rsidR="00AF6B3A" w:rsidRPr="00AF6B3A" w:rsidRDefault="00AF6B3A" w:rsidP="00C94663">
      <w:pPr>
        <w:spacing w:line="360" w:lineRule="auto"/>
        <w:jc w:val="both"/>
        <w:rPr>
          <w:rFonts w:ascii="Arial" w:hAnsi="Arial" w:cs="Arial"/>
        </w:rPr>
      </w:pPr>
      <w:r w:rsidRPr="00AF6B3A">
        <w:rPr>
          <w:rFonts w:ascii="Arial" w:hAnsi="Arial" w:cs="Arial"/>
        </w:rPr>
        <w:t xml:space="preserve">Winch, G. (2020) </w:t>
      </w:r>
      <w:r w:rsidRPr="00AF6B3A">
        <w:rPr>
          <w:rFonts w:ascii="Arial" w:hAnsi="Arial" w:cs="Arial"/>
          <w:i/>
          <w:iCs/>
        </w:rPr>
        <w:t>Managing Construction Projects</w:t>
      </w:r>
      <w:r w:rsidRPr="00AF6B3A">
        <w:rPr>
          <w:rFonts w:ascii="Arial" w:hAnsi="Arial" w:cs="Arial"/>
        </w:rPr>
        <w:t xml:space="preserve">. 3rd </w:t>
      </w:r>
      <w:proofErr w:type="spellStart"/>
      <w:r w:rsidRPr="00AF6B3A">
        <w:rPr>
          <w:rFonts w:ascii="Arial" w:hAnsi="Arial" w:cs="Arial"/>
        </w:rPr>
        <w:t>edn</w:t>
      </w:r>
      <w:proofErr w:type="spellEnd"/>
      <w:r w:rsidRPr="00AF6B3A">
        <w:rPr>
          <w:rFonts w:ascii="Arial" w:hAnsi="Arial" w:cs="Arial"/>
        </w:rPr>
        <w:t>. Wiley.</w:t>
      </w:r>
    </w:p>
    <w:p w14:paraId="0C505014" w14:textId="77777777" w:rsidR="00AF6B3A" w:rsidRDefault="00AF6B3A" w:rsidP="00C94663">
      <w:pPr>
        <w:spacing w:line="360" w:lineRule="auto"/>
        <w:jc w:val="both"/>
        <w:rPr>
          <w:rFonts w:ascii="Arial" w:hAnsi="Arial" w:cs="Arial"/>
        </w:rPr>
      </w:pPr>
      <w:r w:rsidRPr="00AF6B3A">
        <w:rPr>
          <w:rFonts w:ascii="Arial" w:hAnsi="Arial" w:cs="Arial"/>
        </w:rPr>
        <w:t xml:space="preserve">Zou, P.X.W., Zhang, G. and Wang, J. (2020) ‘Understanding the key risks in construction projects’, </w:t>
      </w:r>
      <w:r w:rsidRPr="00AF6B3A">
        <w:rPr>
          <w:rFonts w:ascii="Arial" w:hAnsi="Arial" w:cs="Arial"/>
          <w:i/>
          <w:iCs/>
        </w:rPr>
        <w:t>International Journal of Project Management</w:t>
      </w:r>
      <w:r w:rsidRPr="00AF6B3A">
        <w:rPr>
          <w:rFonts w:ascii="Arial" w:hAnsi="Arial" w:cs="Arial"/>
        </w:rPr>
        <w:t>, 38(1), pp. 1–12.</w:t>
      </w:r>
    </w:p>
    <w:p w14:paraId="3488F28D" w14:textId="67E0B889" w:rsidR="003F3801" w:rsidRPr="003F3801" w:rsidRDefault="003F3801" w:rsidP="003F3801">
      <w:pPr>
        <w:spacing w:line="360" w:lineRule="auto"/>
        <w:jc w:val="both"/>
        <w:rPr>
          <w:rFonts w:ascii="Arial" w:hAnsi="Arial" w:cs="Arial"/>
        </w:rPr>
      </w:pPr>
      <w:r w:rsidRPr="003F3801">
        <w:rPr>
          <w:rFonts w:ascii="Arial" w:hAnsi="Arial" w:cs="Arial"/>
        </w:rPr>
        <w:t>Too, E.G. and Le, T. (2021) ‘Project governance and risk management: A contemporary review’, International Journal of Project Management, 39(4), pp. 307–320.</w:t>
      </w:r>
    </w:p>
    <w:p w14:paraId="69918BB7" w14:textId="02E35FD9" w:rsidR="003F3801" w:rsidRPr="003F3801" w:rsidRDefault="003F3801" w:rsidP="003F3801">
      <w:pPr>
        <w:spacing w:line="360" w:lineRule="auto"/>
        <w:jc w:val="both"/>
        <w:rPr>
          <w:rFonts w:ascii="Arial" w:hAnsi="Arial" w:cs="Arial"/>
        </w:rPr>
      </w:pPr>
      <w:r w:rsidRPr="003F3801">
        <w:rPr>
          <w:rFonts w:ascii="Arial" w:hAnsi="Arial" w:cs="Arial"/>
        </w:rPr>
        <w:t>Marle, F. and Vidal, L.-A. (2020) Managing Complex, High Risk Projects. Springer.</w:t>
      </w:r>
    </w:p>
    <w:p w14:paraId="74F18CE2" w14:textId="0FA9DF2C" w:rsidR="003F3801" w:rsidRPr="00AF6B3A" w:rsidRDefault="003F3801" w:rsidP="003F3801">
      <w:pPr>
        <w:spacing w:line="360" w:lineRule="auto"/>
        <w:jc w:val="both"/>
        <w:rPr>
          <w:rFonts w:ascii="Arial" w:hAnsi="Arial" w:cs="Arial"/>
        </w:rPr>
      </w:pPr>
      <w:r w:rsidRPr="003F3801">
        <w:rPr>
          <w:rFonts w:ascii="Arial" w:hAnsi="Arial" w:cs="Arial"/>
        </w:rPr>
        <w:t>Sanchez, O.P. and Terlizzi, M.A. (2022) ‘Risk management in IT projects: A systematic literature review’, Journal of Risk Research, 25(3), pp. 1</w:t>
      </w:r>
    </w:p>
    <w:p w14:paraId="7BA67FEA" w14:textId="77777777" w:rsidR="00DF6C80" w:rsidRPr="00C94663" w:rsidRDefault="00DF6C80" w:rsidP="00C94663">
      <w:pPr>
        <w:spacing w:line="360" w:lineRule="auto"/>
        <w:jc w:val="both"/>
        <w:rPr>
          <w:rFonts w:ascii="Arial" w:hAnsi="Arial" w:cs="Arial"/>
          <w:lang w:val="ro-RO"/>
        </w:rPr>
      </w:pPr>
    </w:p>
    <w:p w14:paraId="5FE1551F" w14:textId="77777777" w:rsidR="00DF6C80" w:rsidRPr="00C94663" w:rsidRDefault="00DF6C80" w:rsidP="00C94663">
      <w:pPr>
        <w:spacing w:line="360" w:lineRule="auto"/>
        <w:jc w:val="both"/>
        <w:rPr>
          <w:rFonts w:ascii="Arial" w:hAnsi="Arial" w:cs="Arial"/>
          <w:lang w:val="ro-RO"/>
        </w:rPr>
      </w:pPr>
    </w:p>
    <w:p w14:paraId="1B7C0E62" w14:textId="77777777" w:rsidR="00DF6C80" w:rsidRPr="00C94663" w:rsidRDefault="00DF6C80" w:rsidP="00C94663">
      <w:pPr>
        <w:spacing w:line="360" w:lineRule="auto"/>
        <w:jc w:val="both"/>
        <w:rPr>
          <w:rFonts w:ascii="Arial" w:hAnsi="Arial" w:cs="Arial"/>
          <w:lang w:val="ro-RO"/>
        </w:rPr>
      </w:pPr>
    </w:p>
    <w:p w14:paraId="224F1BFB" w14:textId="77777777" w:rsidR="00DF6C80" w:rsidRPr="00C94663" w:rsidRDefault="00DF6C80" w:rsidP="00C94663">
      <w:pPr>
        <w:spacing w:line="360" w:lineRule="auto"/>
        <w:jc w:val="both"/>
        <w:rPr>
          <w:rFonts w:ascii="Arial" w:hAnsi="Arial" w:cs="Arial"/>
          <w:lang w:val="ro-RO"/>
        </w:rPr>
      </w:pPr>
    </w:p>
    <w:p w14:paraId="7477641A" w14:textId="77777777" w:rsidR="00DF6C80" w:rsidRPr="00C94663" w:rsidRDefault="00DF6C80" w:rsidP="00C94663">
      <w:pPr>
        <w:spacing w:line="360" w:lineRule="auto"/>
        <w:jc w:val="both"/>
        <w:rPr>
          <w:rFonts w:ascii="Arial" w:hAnsi="Arial" w:cs="Arial"/>
          <w:lang w:val="ro-RO"/>
        </w:rPr>
      </w:pPr>
    </w:p>
    <w:p w14:paraId="248ACA78" w14:textId="77777777" w:rsidR="00DF6C80" w:rsidRPr="00C94663" w:rsidRDefault="00DF6C80" w:rsidP="00C94663">
      <w:pPr>
        <w:spacing w:line="360" w:lineRule="auto"/>
        <w:jc w:val="both"/>
        <w:rPr>
          <w:rFonts w:ascii="Arial" w:hAnsi="Arial" w:cs="Arial"/>
          <w:lang w:val="ro-RO"/>
        </w:rPr>
      </w:pPr>
    </w:p>
    <w:p w14:paraId="6665965E" w14:textId="77777777" w:rsidR="00DF6C80" w:rsidRPr="00C94663" w:rsidRDefault="00DF6C80" w:rsidP="00C94663">
      <w:pPr>
        <w:spacing w:line="360" w:lineRule="auto"/>
        <w:jc w:val="both"/>
        <w:rPr>
          <w:rFonts w:ascii="Arial" w:hAnsi="Arial" w:cs="Arial"/>
          <w:lang w:val="ro-RO"/>
        </w:rPr>
      </w:pPr>
    </w:p>
    <w:p w14:paraId="439D0D15" w14:textId="77777777" w:rsidR="00DF6C80" w:rsidRPr="00C94663" w:rsidRDefault="00DF6C80" w:rsidP="00C94663">
      <w:pPr>
        <w:spacing w:line="360" w:lineRule="auto"/>
        <w:jc w:val="both"/>
        <w:rPr>
          <w:rFonts w:ascii="Arial" w:hAnsi="Arial" w:cs="Arial"/>
          <w:lang w:val="ro-RO"/>
        </w:rPr>
      </w:pPr>
    </w:p>
    <w:p w14:paraId="0A4C354E" w14:textId="77777777" w:rsidR="00DF6C80" w:rsidRPr="00C94663" w:rsidRDefault="00DF6C80" w:rsidP="00C94663">
      <w:pPr>
        <w:spacing w:line="360" w:lineRule="auto"/>
        <w:jc w:val="both"/>
        <w:rPr>
          <w:rFonts w:ascii="Arial" w:hAnsi="Arial" w:cs="Arial"/>
          <w:lang w:val="ro-RO"/>
        </w:rPr>
      </w:pPr>
    </w:p>
    <w:p w14:paraId="777C7C8A" w14:textId="77777777" w:rsidR="00DF6C80" w:rsidRPr="00C94663" w:rsidRDefault="00DF6C80" w:rsidP="00C94663">
      <w:pPr>
        <w:spacing w:line="360" w:lineRule="auto"/>
        <w:jc w:val="both"/>
        <w:rPr>
          <w:rFonts w:ascii="Arial" w:hAnsi="Arial" w:cs="Arial"/>
          <w:lang w:val="ro-RO"/>
        </w:rPr>
      </w:pPr>
    </w:p>
    <w:p w14:paraId="314E142E" w14:textId="77777777" w:rsidR="00DF6C80" w:rsidRPr="00C94663" w:rsidRDefault="00DF6C80" w:rsidP="00C94663">
      <w:pPr>
        <w:spacing w:line="360" w:lineRule="auto"/>
        <w:jc w:val="both"/>
        <w:rPr>
          <w:rFonts w:ascii="Arial" w:hAnsi="Arial" w:cs="Arial"/>
          <w:lang w:val="ro-RO"/>
        </w:rPr>
      </w:pPr>
    </w:p>
    <w:p w14:paraId="2751645C" w14:textId="77777777" w:rsidR="00DF6C80" w:rsidRPr="00C94663" w:rsidRDefault="00DF6C80" w:rsidP="00C94663">
      <w:pPr>
        <w:spacing w:line="360" w:lineRule="auto"/>
        <w:jc w:val="both"/>
        <w:rPr>
          <w:rFonts w:ascii="Arial" w:hAnsi="Arial" w:cs="Arial"/>
          <w:lang w:val="ro-RO"/>
        </w:rPr>
      </w:pPr>
    </w:p>
    <w:p w14:paraId="791C1DBC" w14:textId="77777777" w:rsidR="00DF6C80" w:rsidRPr="00C94663" w:rsidRDefault="00DF6C80" w:rsidP="00C94663">
      <w:pPr>
        <w:spacing w:line="360" w:lineRule="auto"/>
        <w:jc w:val="both"/>
        <w:rPr>
          <w:rFonts w:ascii="Arial" w:hAnsi="Arial" w:cs="Arial"/>
          <w:lang w:val="ro-RO"/>
        </w:rPr>
      </w:pPr>
    </w:p>
    <w:sectPr w:rsidR="00DF6C80" w:rsidRPr="00C9466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D824D" w14:textId="77777777" w:rsidR="00CA6D7D" w:rsidRDefault="00CA6D7D" w:rsidP="00DF6C80">
      <w:pPr>
        <w:spacing w:after="0" w:line="240" w:lineRule="auto"/>
      </w:pPr>
      <w:r>
        <w:separator/>
      </w:r>
    </w:p>
  </w:endnote>
  <w:endnote w:type="continuationSeparator" w:id="0">
    <w:p w14:paraId="69C9CF2C" w14:textId="77777777" w:rsidR="00CA6D7D" w:rsidRDefault="00CA6D7D" w:rsidP="00DF6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4A5E1" w14:textId="77777777" w:rsidR="00CA6D7D" w:rsidRDefault="00CA6D7D" w:rsidP="00DF6C80">
      <w:pPr>
        <w:spacing w:after="0" w:line="240" w:lineRule="auto"/>
      </w:pPr>
      <w:r>
        <w:separator/>
      </w:r>
    </w:p>
  </w:footnote>
  <w:footnote w:type="continuationSeparator" w:id="0">
    <w:p w14:paraId="3C017A9E" w14:textId="77777777" w:rsidR="00CA6D7D" w:rsidRDefault="00CA6D7D" w:rsidP="00DF6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9120095"/>
      <w:docPartObj>
        <w:docPartGallery w:val="Page Numbers (Top of Page)"/>
        <w:docPartUnique/>
      </w:docPartObj>
    </w:sdtPr>
    <w:sdtEndPr>
      <w:rPr>
        <w:color w:val="7F7F7F" w:themeColor="background1" w:themeShade="7F"/>
        <w:spacing w:val="60"/>
      </w:rPr>
    </w:sdtEndPr>
    <w:sdtContent>
      <w:p w14:paraId="5EC4F87B" w14:textId="7A08D704" w:rsidR="00DF6C80" w:rsidRDefault="00DF6C80">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E2633CE" w14:textId="77777777" w:rsidR="00DF6C80" w:rsidRDefault="00DF6C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05FB4"/>
    <w:multiLevelType w:val="multilevel"/>
    <w:tmpl w:val="9C32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4B7C3B"/>
    <w:multiLevelType w:val="multilevel"/>
    <w:tmpl w:val="7836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6429321">
    <w:abstractNumId w:val="0"/>
  </w:num>
  <w:num w:numId="2" w16cid:durableId="178488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80"/>
    <w:rsid w:val="003311E1"/>
    <w:rsid w:val="003F3801"/>
    <w:rsid w:val="00526AB2"/>
    <w:rsid w:val="00560533"/>
    <w:rsid w:val="007700E0"/>
    <w:rsid w:val="00822713"/>
    <w:rsid w:val="00951857"/>
    <w:rsid w:val="009D25D6"/>
    <w:rsid w:val="00A929BF"/>
    <w:rsid w:val="00AF6B3A"/>
    <w:rsid w:val="00B92C07"/>
    <w:rsid w:val="00C50831"/>
    <w:rsid w:val="00C94663"/>
    <w:rsid w:val="00CA6D7D"/>
    <w:rsid w:val="00DF6C80"/>
    <w:rsid w:val="00E23B6D"/>
    <w:rsid w:val="00FF1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288D"/>
  <w15:chartTrackingRefBased/>
  <w15:docId w15:val="{7E182EE0-4811-496D-9DAA-B980DCFE6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DF6C80"/>
    <w:rPr>
      <w:b/>
      <w:bCs/>
    </w:rPr>
  </w:style>
  <w:style w:type="paragraph" w:styleId="Header">
    <w:name w:val="header"/>
    <w:basedOn w:val="Normal"/>
    <w:link w:val="HeaderChar"/>
    <w:uiPriority w:val="99"/>
    <w:unhideWhenUsed/>
    <w:rsid w:val="00DF6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C80"/>
  </w:style>
  <w:style w:type="paragraph" w:styleId="Footer">
    <w:name w:val="footer"/>
    <w:basedOn w:val="Normal"/>
    <w:link w:val="FooterChar"/>
    <w:uiPriority w:val="99"/>
    <w:unhideWhenUsed/>
    <w:rsid w:val="00DF6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C80"/>
  </w:style>
  <w:style w:type="character" w:styleId="BookTitle">
    <w:name w:val="Book Title"/>
    <w:basedOn w:val="DefaultParagraphFont"/>
    <w:uiPriority w:val="33"/>
    <w:qFormat/>
    <w:rsid w:val="00DF6C80"/>
    <w:rPr>
      <w:b/>
      <w:bCs/>
      <w:i/>
      <w:iCs/>
      <w:spacing w:val="5"/>
    </w:rPr>
  </w:style>
  <w:style w:type="paragraph" w:styleId="TOCHeading">
    <w:name w:val="TOC Heading"/>
    <w:basedOn w:val="Heading1"/>
    <w:next w:val="Normal"/>
    <w:uiPriority w:val="39"/>
    <w:unhideWhenUsed/>
    <w:qFormat/>
    <w:rsid w:val="00526AB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26AB2"/>
    <w:pPr>
      <w:spacing w:after="100"/>
    </w:pPr>
  </w:style>
  <w:style w:type="paragraph" w:styleId="TOC2">
    <w:name w:val="toc 2"/>
    <w:basedOn w:val="Normal"/>
    <w:next w:val="Normal"/>
    <w:autoRedefine/>
    <w:uiPriority w:val="39"/>
    <w:unhideWhenUsed/>
    <w:rsid w:val="00526AB2"/>
    <w:pPr>
      <w:spacing w:after="100"/>
      <w:ind w:left="240"/>
    </w:pPr>
  </w:style>
  <w:style w:type="paragraph" w:styleId="TOC3">
    <w:name w:val="toc 3"/>
    <w:basedOn w:val="Normal"/>
    <w:next w:val="Normal"/>
    <w:autoRedefine/>
    <w:uiPriority w:val="39"/>
    <w:unhideWhenUsed/>
    <w:rsid w:val="00526AB2"/>
    <w:pPr>
      <w:spacing w:after="100"/>
      <w:ind w:left="480"/>
    </w:pPr>
  </w:style>
  <w:style w:type="character" w:styleId="Hyperlink">
    <w:name w:val="Hyperlink"/>
    <w:basedOn w:val="DefaultParagraphFont"/>
    <w:uiPriority w:val="99"/>
    <w:unhideWhenUsed/>
    <w:rsid w:val="00526AB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10C89-04D4-4DA4-B4F0-AFB1FB3F9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2944</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ocneanu</dc:creator>
  <cp:keywords/>
  <dc:description/>
  <cp:lastModifiedBy>ionela ocneanu</cp:lastModifiedBy>
  <cp:revision>5</cp:revision>
  <dcterms:created xsi:type="dcterms:W3CDTF">2026-03-29T15:22:00Z</dcterms:created>
  <dcterms:modified xsi:type="dcterms:W3CDTF">2026-03-29T19:01:00Z</dcterms:modified>
</cp:coreProperties>
</file>