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0D7649" w14:textId="044DD532" w:rsidR="008375B5" w:rsidRPr="00140EFF" w:rsidRDefault="009334D8" w:rsidP="00AB764F">
      <w:pPr>
        <w:pStyle w:val="NoSpacing"/>
        <w:spacing w:line="360" w:lineRule="auto"/>
        <w:jc w:val="center"/>
        <w:rPr>
          <w:rFonts w:ascii="Times New Roman" w:hAnsi="Times New Roman"/>
        </w:rPr>
      </w:pPr>
      <w:r w:rsidRPr="00140EFF">
        <w:rPr>
          <w:rFonts w:ascii="Times New Roman" w:hAnsi="Times New Roman"/>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Pr="00140EFF" w:rsidRDefault="008375B5" w:rsidP="00140EFF">
      <w:pPr>
        <w:pStyle w:val="NoSpacing"/>
        <w:spacing w:line="360" w:lineRule="auto"/>
        <w:jc w:val="both"/>
        <w:rPr>
          <w:rStyle w:val="Strong"/>
          <w:rFonts w:ascii="Times New Roman" w:hAnsi="Times New Roman"/>
          <w:color w:val="1D2125"/>
        </w:rPr>
      </w:pPr>
    </w:p>
    <w:p w14:paraId="3D4BDE11" w14:textId="77777777" w:rsidR="008375B5" w:rsidRPr="00140EFF" w:rsidRDefault="008375B5" w:rsidP="00AB764F">
      <w:pPr>
        <w:pStyle w:val="NoSpacing"/>
        <w:spacing w:line="360" w:lineRule="auto"/>
        <w:jc w:val="center"/>
        <w:rPr>
          <w:rStyle w:val="Strong"/>
          <w:rFonts w:ascii="Times New Roman" w:hAnsi="Times New Roman"/>
          <w:color w:val="1D2125"/>
        </w:rPr>
      </w:pPr>
    </w:p>
    <w:p w14:paraId="22930AF8" w14:textId="77777777" w:rsidR="008375B5" w:rsidRPr="00140EFF" w:rsidRDefault="008375B5" w:rsidP="00AB764F">
      <w:pPr>
        <w:pStyle w:val="NoSpacing"/>
        <w:spacing w:line="360" w:lineRule="auto"/>
        <w:jc w:val="center"/>
        <w:rPr>
          <w:rStyle w:val="Strong"/>
          <w:rFonts w:ascii="Times New Roman" w:hAnsi="Times New Roman"/>
          <w:color w:val="1D2125"/>
        </w:rPr>
      </w:pPr>
    </w:p>
    <w:p w14:paraId="7E1888EF" w14:textId="4704F126" w:rsidR="008375B5" w:rsidRPr="00140EFF" w:rsidRDefault="008375B5" w:rsidP="00AB764F">
      <w:pPr>
        <w:pStyle w:val="NoSpacing"/>
        <w:spacing w:line="360" w:lineRule="auto"/>
        <w:jc w:val="center"/>
        <w:rPr>
          <w:rStyle w:val="Strong"/>
          <w:rFonts w:ascii="Times New Roman" w:hAnsi="Times New Roman"/>
          <w:color w:val="1D2125"/>
        </w:rPr>
      </w:pPr>
      <w:r w:rsidRPr="00140EFF">
        <w:rPr>
          <w:rStyle w:val="Strong"/>
          <w:rFonts w:ascii="Times New Roman" w:hAnsi="Times New Roman"/>
          <w:color w:val="1D2125"/>
        </w:rPr>
        <w:t>Digital Transformation in the Health and Care Professions (BMHP6026)</w:t>
      </w:r>
      <w:r w:rsidR="005103EA">
        <w:rPr>
          <w:rStyle w:val="Strong"/>
          <w:rFonts w:ascii="Times New Roman" w:hAnsi="Times New Roman"/>
          <w:color w:val="1D2125"/>
        </w:rPr>
        <w:t xml:space="preserve"> </w:t>
      </w:r>
    </w:p>
    <w:p w14:paraId="0E4A258C" w14:textId="77777777" w:rsidR="008375B5" w:rsidRPr="00140EFF" w:rsidRDefault="008375B5" w:rsidP="00140EFF">
      <w:pPr>
        <w:pStyle w:val="NoSpacing"/>
        <w:spacing w:line="360" w:lineRule="auto"/>
        <w:jc w:val="both"/>
        <w:rPr>
          <w:rStyle w:val="Strong"/>
          <w:rFonts w:ascii="Times New Roman" w:hAnsi="Times New Roman"/>
          <w:color w:val="1D2125"/>
        </w:rPr>
      </w:pPr>
    </w:p>
    <w:p w14:paraId="4D8F34EA" w14:textId="77777777" w:rsidR="008375B5" w:rsidRPr="00140EFF" w:rsidRDefault="008375B5" w:rsidP="00140EFF">
      <w:pPr>
        <w:pStyle w:val="NoSpacing"/>
        <w:spacing w:line="360" w:lineRule="auto"/>
        <w:jc w:val="both"/>
        <w:rPr>
          <w:rStyle w:val="Strong"/>
          <w:rFonts w:ascii="Times New Roman" w:hAnsi="Times New Roman"/>
          <w:color w:val="1D2125"/>
        </w:rPr>
      </w:pPr>
    </w:p>
    <w:p w14:paraId="09EDD2AC" w14:textId="77777777" w:rsidR="008375B5" w:rsidRPr="00140EFF" w:rsidRDefault="008375B5" w:rsidP="00140EFF">
      <w:pPr>
        <w:pStyle w:val="NoSpacing"/>
        <w:spacing w:line="360" w:lineRule="auto"/>
        <w:jc w:val="both"/>
        <w:rPr>
          <w:rStyle w:val="Strong"/>
          <w:rFonts w:ascii="Times New Roman" w:hAnsi="Times New Roman"/>
          <w:b w:val="0"/>
          <w:bCs w:val="0"/>
          <w:color w:val="1D2125"/>
        </w:rPr>
      </w:pPr>
      <w:r w:rsidRPr="00140EFF">
        <w:rPr>
          <w:rFonts w:ascii="Times New Roman" w:hAnsi="Times New Roman"/>
          <w:b/>
          <w:bCs/>
          <w:color w:val="000000"/>
        </w:rPr>
        <w:t>Component 1: Written Report</w:t>
      </w:r>
    </w:p>
    <w:p w14:paraId="03B7C5EA" w14:textId="77777777" w:rsidR="008375B5" w:rsidRPr="00140EFF" w:rsidRDefault="008375B5" w:rsidP="00140EFF">
      <w:pPr>
        <w:pStyle w:val="NoSpacing"/>
        <w:spacing w:line="360" w:lineRule="auto"/>
        <w:jc w:val="both"/>
        <w:rPr>
          <w:rStyle w:val="Strong"/>
          <w:rFonts w:ascii="Times New Roman" w:hAnsi="Times New Roman"/>
          <w:color w:val="1D2125"/>
        </w:rPr>
      </w:pPr>
    </w:p>
    <w:p w14:paraId="3C3042AD" w14:textId="472A6500" w:rsidR="008375B5" w:rsidRPr="00140EFF" w:rsidRDefault="008375B5" w:rsidP="00140EFF">
      <w:pPr>
        <w:pStyle w:val="NoSpacing"/>
        <w:spacing w:line="360" w:lineRule="auto"/>
        <w:jc w:val="both"/>
        <w:rPr>
          <w:rStyle w:val="Strong"/>
          <w:rFonts w:ascii="Times New Roman" w:hAnsi="Times New Roman"/>
          <w:color w:val="1D2125"/>
        </w:rPr>
      </w:pPr>
      <w:r w:rsidRPr="00140EFF">
        <w:rPr>
          <w:rStyle w:val="Strong"/>
          <w:rFonts w:ascii="Times New Roman" w:hAnsi="Times New Roman"/>
          <w:color w:val="1D2125"/>
        </w:rPr>
        <w:t>Student name:</w:t>
      </w:r>
      <w:r w:rsidR="0026297E">
        <w:rPr>
          <w:rStyle w:val="Strong"/>
          <w:rFonts w:ascii="Times New Roman" w:hAnsi="Times New Roman"/>
          <w:color w:val="1D2125"/>
        </w:rPr>
        <w:t xml:space="preserve"> </w:t>
      </w:r>
      <w:proofErr w:type="spellStart"/>
      <w:r w:rsidR="0026297E" w:rsidRPr="0026297E">
        <w:rPr>
          <w:rStyle w:val="Strong"/>
          <w:rFonts w:ascii="Times New Roman" w:hAnsi="Times New Roman"/>
          <w:color w:val="1D2125"/>
        </w:rPr>
        <w:t>Kossiwa</w:t>
      </w:r>
      <w:proofErr w:type="spellEnd"/>
      <w:r w:rsidR="0026297E" w:rsidRPr="0026297E">
        <w:rPr>
          <w:rStyle w:val="Strong"/>
          <w:rFonts w:ascii="Times New Roman" w:hAnsi="Times New Roman"/>
          <w:color w:val="1D2125"/>
        </w:rPr>
        <w:t xml:space="preserve"> Seyram Dele</w:t>
      </w:r>
    </w:p>
    <w:p w14:paraId="227AC82E" w14:textId="67C85320" w:rsidR="008375B5" w:rsidRPr="00140EFF" w:rsidRDefault="008375B5" w:rsidP="00140EFF">
      <w:pPr>
        <w:pStyle w:val="NoSpacing"/>
        <w:spacing w:line="360" w:lineRule="auto"/>
        <w:jc w:val="both"/>
        <w:rPr>
          <w:rStyle w:val="Strong"/>
          <w:rFonts w:ascii="Times New Roman" w:hAnsi="Times New Roman"/>
          <w:color w:val="1D2125"/>
        </w:rPr>
      </w:pPr>
      <w:r w:rsidRPr="00140EFF">
        <w:rPr>
          <w:rStyle w:val="Strong"/>
          <w:rFonts w:ascii="Times New Roman" w:hAnsi="Times New Roman"/>
          <w:color w:val="1D2125"/>
        </w:rPr>
        <w:t>Student number:</w:t>
      </w:r>
      <w:r w:rsidR="0026297E">
        <w:rPr>
          <w:rStyle w:val="Strong"/>
          <w:rFonts w:ascii="Times New Roman" w:hAnsi="Times New Roman"/>
          <w:color w:val="1D2125"/>
        </w:rPr>
        <w:t xml:space="preserve"> </w:t>
      </w:r>
      <w:r w:rsidR="0026297E" w:rsidRPr="0026297E">
        <w:rPr>
          <w:rStyle w:val="Strong"/>
          <w:rFonts w:ascii="Times New Roman" w:hAnsi="Times New Roman"/>
          <w:color w:val="1D2125"/>
        </w:rPr>
        <w:t>2336282</w:t>
      </w:r>
    </w:p>
    <w:p w14:paraId="7AC13EE1" w14:textId="77777777" w:rsidR="00AB764F" w:rsidRDefault="008375B5" w:rsidP="00140EFF">
      <w:pPr>
        <w:pStyle w:val="NoSpacing"/>
        <w:spacing w:line="360" w:lineRule="auto"/>
        <w:jc w:val="both"/>
      </w:pPr>
      <w:r w:rsidRPr="00140EFF">
        <w:rPr>
          <w:rStyle w:val="Strong"/>
          <w:rFonts w:ascii="Times New Roman" w:hAnsi="Times New Roman"/>
          <w:color w:val="1D2125"/>
        </w:rPr>
        <w:t>Lecturer’s name:</w:t>
      </w:r>
      <w:r w:rsidR="00AB764F" w:rsidRPr="00AB764F">
        <w:t xml:space="preserve"> </w:t>
      </w:r>
      <w:r w:rsidR="00AB764F">
        <w:t xml:space="preserve">G1 Caroline Salami (module leader) </w:t>
      </w:r>
    </w:p>
    <w:p w14:paraId="5B5E64AD" w14:textId="1A81908B" w:rsidR="008375B5" w:rsidRPr="00140EFF" w:rsidRDefault="00AB764F" w:rsidP="00AB764F">
      <w:pPr>
        <w:pStyle w:val="NoSpacing"/>
        <w:spacing w:line="360" w:lineRule="auto"/>
        <w:ind w:left="1440"/>
        <w:jc w:val="both"/>
        <w:rPr>
          <w:rStyle w:val="Strong"/>
          <w:rFonts w:ascii="Times New Roman" w:hAnsi="Times New Roman"/>
          <w:color w:val="1D2125"/>
        </w:rPr>
      </w:pPr>
      <w:r>
        <w:t xml:space="preserve">         </w:t>
      </w:r>
      <w:r>
        <w:t>G2 Brian Mashumba</w:t>
      </w:r>
    </w:p>
    <w:p w14:paraId="4F492421" w14:textId="77777777" w:rsidR="008375B5" w:rsidRPr="00140EFF" w:rsidRDefault="008375B5" w:rsidP="00140EFF">
      <w:pPr>
        <w:pStyle w:val="NoSpacing"/>
        <w:spacing w:line="360" w:lineRule="auto"/>
        <w:jc w:val="both"/>
        <w:rPr>
          <w:rFonts w:ascii="Times New Roman" w:hAnsi="Times New Roman"/>
        </w:rPr>
      </w:pPr>
    </w:p>
    <w:p w14:paraId="43FBD350" w14:textId="77777777" w:rsidR="008375B5" w:rsidRPr="00140EFF" w:rsidRDefault="008375B5" w:rsidP="00140EFF">
      <w:pPr>
        <w:pStyle w:val="NoSpacing"/>
        <w:spacing w:line="360" w:lineRule="auto"/>
        <w:jc w:val="both"/>
        <w:rPr>
          <w:rFonts w:ascii="Times New Roman" w:hAnsi="Times New Roman"/>
        </w:rPr>
      </w:pPr>
    </w:p>
    <w:p w14:paraId="2EE68F49" w14:textId="77777777" w:rsidR="008375B5" w:rsidRPr="00140EFF" w:rsidRDefault="008375B5" w:rsidP="00140EFF">
      <w:pPr>
        <w:pStyle w:val="NoSpacing"/>
        <w:spacing w:line="360" w:lineRule="auto"/>
        <w:jc w:val="both"/>
        <w:rPr>
          <w:rFonts w:ascii="Times New Roman" w:hAnsi="Times New Roman"/>
        </w:rPr>
      </w:pPr>
    </w:p>
    <w:p w14:paraId="5E13BA96" w14:textId="77777777" w:rsidR="008375B5" w:rsidRPr="00140EFF" w:rsidRDefault="008375B5" w:rsidP="00140EFF">
      <w:pPr>
        <w:pStyle w:val="NoSpacing"/>
        <w:spacing w:line="360" w:lineRule="auto"/>
        <w:jc w:val="both"/>
        <w:rPr>
          <w:rFonts w:ascii="Times New Roman" w:hAnsi="Times New Roman"/>
        </w:rPr>
      </w:pPr>
    </w:p>
    <w:p w14:paraId="72DB3E4E" w14:textId="77777777" w:rsidR="00F81433" w:rsidRDefault="00F81433">
      <w:pPr>
        <w:spacing w:after="0" w:line="240" w:lineRule="auto"/>
        <w:rPr>
          <w:rFonts w:ascii="Times New Roman" w:hAnsi="Times New Roman"/>
          <w:b/>
          <w:bCs/>
          <w:color w:val="000000"/>
        </w:rPr>
      </w:pPr>
      <w:r>
        <w:rPr>
          <w:rFonts w:ascii="Times New Roman" w:hAnsi="Times New Roman"/>
          <w:b/>
          <w:bCs/>
          <w:color w:val="000000"/>
        </w:rPr>
        <w:br w:type="page"/>
      </w:r>
    </w:p>
    <w:sdt>
      <w:sdtPr>
        <w:rPr>
          <w:rFonts w:ascii="Times New Roman" w:eastAsia="Aptos" w:hAnsi="Times New Roman" w:cs="Times New Roman"/>
          <w:b w:val="0"/>
          <w:bCs w:val="0"/>
          <w:color w:val="auto"/>
          <w:kern w:val="2"/>
          <w:sz w:val="24"/>
          <w:szCs w:val="24"/>
          <w:lang w:val="en-GB"/>
        </w:rPr>
        <w:id w:val="699287399"/>
        <w:docPartObj>
          <w:docPartGallery w:val="Table of Contents"/>
          <w:docPartUnique/>
        </w:docPartObj>
      </w:sdtPr>
      <w:sdtEndPr>
        <w:rPr>
          <w:noProof/>
        </w:rPr>
      </w:sdtEndPr>
      <w:sdtContent>
        <w:p w14:paraId="71A579A2" w14:textId="7228732C" w:rsidR="00F81433" w:rsidRPr="00F81433" w:rsidRDefault="00F81433" w:rsidP="00F81433">
          <w:pPr>
            <w:pStyle w:val="TOCHeading"/>
            <w:spacing w:before="0" w:line="360" w:lineRule="auto"/>
            <w:rPr>
              <w:rFonts w:ascii="Times New Roman" w:hAnsi="Times New Roman" w:cs="Times New Roman"/>
              <w:color w:val="auto"/>
              <w:sz w:val="24"/>
              <w:szCs w:val="24"/>
            </w:rPr>
          </w:pPr>
          <w:r w:rsidRPr="00F81433">
            <w:rPr>
              <w:rFonts w:ascii="Times New Roman" w:hAnsi="Times New Roman" w:cs="Times New Roman"/>
              <w:color w:val="auto"/>
              <w:sz w:val="24"/>
              <w:szCs w:val="24"/>
            </w:rPr>
            <w:t>Table of Contents</w:t>
          </w:r>
        </w:p>
        <w:p w14:paraId="3356584C" w14:textId="4751A0F0" w:rsidR="00F81433" w:rsidRPr="00F81433" w:rsidRDefault="00F81433" w:rsidP="00F81433">
          <w:pPr>
            <w:pStyle w:val="TOC2"/>
            <w:tabs>
              <w:tab w:val="right" w:leader="dot" w:pos="9016"/>
            </w:tabs>
            <w:spacing w:line="360" w:lineRule="auto"/>
            <w:rPr>
              <w:rFonts w:ascii="Times New Roman" w:hAnsi="Times New Roman"/>
              <w:noProof/>
              <w:sz w:val="24"/>
              <w:szCs w:val="24"/>
            </w:rPr>
          </w:pPr>
          <w:r w:rsidRPr="00F81433">
            <w:rPr>
              <w:rFonts w:ascii="Times New Roman" w:hAnsi="Times New Roman"/>
              <w:b w:val="0"/>
              <w:bCs w:val="0"/>
              <w:sz w:val="24"/>
              <w:szCs w:val="24"/>
            </w:rPr>
            <w:fldChar w:fldCharType="begin"/>
          </w:r>
          <w:r w:rsidRPr="00F81433">
            <w:rPr>
              <w:rFonts w:ascii="Times New Roman" w:hAnsi="Times New Roman"/>
              <w:sz w:val="24"/>
              <w:szCs w:val="24"/>
            </w:rPr>
            <w:instrText xml:space="preserve"> TOC \o "1-3" \h \z \u </w:instrText>
          </w:r>
          <w:r w:rsidRPr="00F81433">
            <w:rPr>
              <w:rFonts w:ascii="Times New Roman" w:hAnsi="Times New Roman"/>
              <w:b w:val="0"/>
              <w:bCs w:val="0"/>
              <w:sz w:val="24"/>
              <w:szCs w:val="24"/>
            </w:rPr>
            <w:fldChar w:fldCharType="separate"/>
          </w:r>
          <w:hyperlink w:anchor="_Toc234920414" w:history="1">
            <w:r w:rsidRPr="00F81433">
              <w:rPr>
                <w:rStyle w:val="Hyperlink"/>
                <w:rFonts w:ascii="Times New Roman" w:hAnsi="Times New Roman"/>
                <w:noProof/>
                <w:color w:val="auto"/>
                <w:sz w:val="24"/>
                <w:szCs w:val="24"/>
              </w:rPr>
              <w:t>1.0 Introduction</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_Toc234920414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3</w:t>
            </w:r>
            <w:r w:rsidRPr="00F81433">
              <w:rPr>
                <w:rFonts w:ascii="Times New Roman" w:hAnsi="Times New Roman"/>
                <w:noProof/>
                <w:webHidden/>
                <w:sz w:val="24"/>
                <w:szCs w:val="24"/>
              </w:rPr>
              <w:fldChar w:fldCharType="end"/>
            </w:r>
          </w:hyperlink>
        </w:p>
        <w:p w14:paraId="12861F59" w14:textId="5AE163E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5" w:history="1">
            <w:r w:rsidRPr="00F81433">
              <w:rPr>
                <w:rStyle w:val="Hyperlink"/>
                <w:rFonts w:ascii="Times New Roman" w:hAnsi="Times New Roman"/>
                <w:noProof/>
                <w:color w:val="auto"/>
                <w:sz w:val="24"/>
                <w:szCs w:val="24"/>
              </w:rPr>
              <w:t>2.0 Impact on Workforce</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_Toc234920415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3</w:t>
            </w:r>
            <w:r w:rsidRPr="00F81433">
              <w:rPr>
                <w:rFonts w:ascii="Times New Roman" w:hAnsi="Times New Roman"/>
                <w:noProof/>
                <w:webHidden/>
                <w:sz w:val="24"/>
                <w:szCs w:val="24"/>
              </w:rPr>
              <w:fldChar w:fldCharType="end"/>
            </w:r>
          </w:hyperlink>
        </w:p>
        <w:p w14:paraId="3E6D549A" w14:textId="39479202"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6" w:history="1">
            <w:r w:rsidRPr="00F81433">
              <w:rPr>
                <w:rStyle w:val="Hyperlink"/>
                <w:rFonts w:ascii="Times New Roman" w:hAnsi="Times New Roman"/>
                <w:noProof/>
                <w:color w:val="auto"/>
                <w:sz w:val="24"/>
                <w:szCs w:val="24"/>
              </w:rPr>
              <w:t>2.1 Changes in Job Roles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_Toc234920416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3</w:t>
            </w:r>
            <w:r w:rsidRPr="00F81433">
              <w:rPr>
                <w:rFonts w:ascii="Times New Roman" w:hAnsi="Times New Roman"/>
                <w:noProof/>
                <w:webHidden/>
                <w:sz w:val="24"/>
                <w:szCs w:val="24"/>
              </w:rPr>
              <w:fldChar w:fldCharType="end"/>
            </w:r>
          </w:hyperlink>
        </w:p>
        <w:p w14:paraId="0353656D" w14:textId="217D515B"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7" w:history="1">
            <w:r w:rsidRPr="00F81433">
              <w:rPr>
                <w:rStyle w:val="Hyperlink"/>
                <w:rFonts w:ascii="Times New Roman" w:hAnsi="Times New Roman"/>
                <w:noProof/>
                <w:color w:val="auto"/>
                <w:sz w:val="24"/>
                <w:szCs w:val="24"/>
              </w:rPr>
              <w:t>2.2 Role Competency and Digital Skills Development</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_Toc234920417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3166B308" w14:textId="209617AB"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8" w:history="1">
            <w:r w:rsidRPr="00F81433">
              <w:rPr>
                <w:rStyle w:val="Hyperlink"/>
                <w:rFonts w:ascii="Times New Roman" w:hAnsi="Times New Roman"/>
                <w:noProof/>
                <w:color w:val="auto"/>
                <w:sz w:val="24"/>
                <w:szCs w:val="24"/>
              </w:rPr>
              <w:t>2.3 Positive Outcomes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_Toc234920418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4BEF08BC" w14:textId="3AFA9E4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9" w:history="1">
            <w:r w:rsidRPr="00F81433">
              <w:rPr>
                <w:rStyle w:val="Hyperlink"/>
                <w:rFonts w:ascii="Times New Roman" w:hAnsi="Times New Roman"/>
                <w:noProof/>
                <w:color w:val="auto"/>
                <w:sz w:val="24"/>
                <w:szCs w:val="24"/>
              </w:rPr>
              <w:t>2.4 Challenges and Negative Outcomes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_Toc234920419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2C2EE213" w14:textId="39D252C4"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0" w:history="1">
            <w:r w:rsidRPr="00F81433">
              <w:rPr>
                <w:rStyle w:val="Hyperlink"/>
                <w:rFonts w:ascii="Times New Roman" w:hAnsi="Times New Roman"/>
                <w:noProof/>
                <w:color w:val="auto"/>
                <w:sz w:val="24"/>
                <w:szCs w:val="24"/>
              </w:rPr>
              <w:t>3.0 Impact on Service Delivery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_Toc234920420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1DA3BB36" w14:textId="165707E4"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1" w:history="1">
            <w:r w:rsidRPr="00F81433">
              <w:rPr>
                <w:rStyle w:val="Hyperlink"/>
                <w:rFonts w:ascii="Times New Roman" w:hAnsi="Times New Roman"/>
                <w:noProof/>
                <w:color w:val="auto"/>
                <w:sz w:val="24"/>
                <w:szCs w:val="24"/>
              </w:rPr>
              <w:t>3.1 Day-to-Day Service Changes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_Toc234920421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2D51C4F6" w14:textId="7333CB46"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2" w:history="1">
            <w:r w:rsidRPr="00F81433">
              <w:rPr>
                <w:rStyle w:val="Hyperlink"/>
                <w:rFonts w:ascii="Times New Roman" w:hAnsi="Times New Roman"/>
                <w:noProof/>
                <w:color w:val="auto"/>
                <w:sz w:val="24"/>
                <w:szCs w:val="24"/>
              </w:rPr>
              <w:t>3.2 Quantifiable Service Improvements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_Toc234920422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34FDC9A4" w14:textId="1215E36F"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3" w:history="1">
            <w:r w:rsidRPr="00F81433">
              <w:rPr>
                <w:rStyle w:val="Hyperlink"/>
                <w:rFonts w:ascii="Times New Roman" w:hAnsi="Times New Roman"/>
                <w:noProof/>
                <w:color w:val="auto"/>
                <w:sz w:val="24"/>
                <w:szCs w:val="24"/>
              </w:rPr>
              <w:t>3.3 Integration Across Sectors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_Toc234920423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072D5BDE" w14:textId="0C061A4E"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4" w:history="1">
            <w:r w:rsidRPr="00F81433">
              <w:rPr>
                <w:rStyle w:val="Hyperlink"/>
                <w:rFonts w:ascii="Times New Roman" w:hAnsi="Times New Roman"/>
                <w:noProof/>
                <w:color w:val="auto"/>
                <w:sz w:val="24"/>
                <w:szCs w:val="24"/>
              </w:rPr>
              <w:t>3.4 Challenges in Service Delivery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_Toc234920424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722A0B78" w14:textId="6D037836"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5" w:history="1">
            <w:r w:rsidRPr="00F81433">
              <w:rPr>
                <w:rStyle w:val="Hyperlink"/>
                <w:rFonts w:ascii="Times New Roman" w:hAnsi="Times New Roman"/>
                <w:noProof/>
                <w:color w:val="auto"/>
                <w:sz w:val="24"/>
                <w:szCs w:val="24"/>
              </w:rPr>
              <w:t>4.0 Impact on Patients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_Toc234920425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5206E0CC" w14:textId="3F27045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6" w:history="1">
            <w:r w:rsidRPr="00F81433">
              <w:rPr>
                <w:rStyle w:val="Hyperlink"/>
                <w:rFonts w:ascii="Times New Roman" w:hAnsi="Times New Roman"/>
                <w:noProof/>
                <w:color w:val="auto"/>
                <w:sz w:val="24"/>
                <w:szCs w:val="24"/>
              </w:rPr>
              <w:t>Improved Medication Adherence</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_Toc234920426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6CEAC2A8" w14:textId="3B0CE6F4"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7" w:history="1">
            <w:r w:rsidRPr="00F81433">
              <w:rPr>
                <w:rStyle w:val="Hyperlink"/>
                <w:rFonts w:ascii="Times New Roman" w:hAnsi="Times New Roman"/>
                <w:noProof/>
                <w:color w:val="auto"/>
                <w:sz w:val="24"/>
                <w:szCs w:val="24"/>
              </w:rPr>
              <w:t>5.0 Impact on Community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_Toc234920427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053A8AFD" w14:textId="4C25563B"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8" w:history="1">
            <w:r w:rsidRPr="00F81433">
              <w:rPr>
                <w:rStyle w:val="Hyperlink"/>
                <w:rFonts w:ascii="Times New Roman" w:hAnsi="Times New Roman"/>
                <w:noProof/>
                <w:color w:val="auto"/>
                <w:sz w:val="24"/>
                <w:szCs w:val="24"/>
              </w:rPr>
              <w:t>5.1 Impact on Families and Unpaid Carers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_Toc234920428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31F2CB3A" w14:textId="2CEDAF09"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9" w:history="1">
            <w:r w:rsidRPr="00F81433">
              <w:rPr>
                <w:rStyle w:val="Hyperlink"/>
                <w:rFonts w:ascii="Times New Roman" w:hAnsi="Times New Roman"/>
                <w:noProof/>
                <w:color w:val="auto"/>
                <w:sz w:val="24"/>
                <w:szCs w:val="24"/>
              </w:rPr>
              <w:t>5.2 Community-Based Service Delivery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_Toc234920429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4A6B3634" w14:textId="5B1043B0"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0" w:history="1">
            <w:r w:rsidRPr="00F81433">
              <w:rPr>
                <w:rStyle w:val="Hyperlink"/>
                <w:rFonts w:ascii="Times New Roman" w:hAnsi="Times New Roman"/>
                <w:noProof/>
                <w:color w:val="auto"/>
                <w:sz w:val="24"/>
                <w:szCs w:val="24"/>
              </w:rPr>
              <w:t>5.3 Co-Production and Community Engagement</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_Toc234920430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0E0B4355" w14:textId="4DC7BE2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1" w:history="1">
            <w:r w:rsidRPr="00F81433">
              <w:rPr>
                <w:rStyle w:val="Hyperlink"/>
                <w:rFonts w:ascii="Times New Roman" w:hAnsi="Times New Roman"/>
                <w:noProof/>
                <w:color w:val="auto"/>
                <w:sz w:val="24"/>
                <w:szCs w:val="24"/>
              </w:rPr>
              <w:t>5.4 Public Health Implications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_Toc234920431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7</w:t>
            </w:r>
            <w:r w:rsidRPr="00F81433">
              <w:rPr>
                <w:rFonts w:ascii="Times New Roman" w:hAnsi="Times New Roman"/>
                <w:noProof/>
                <w:webHidden/>
                <w:sz w:val="24"/>
                <w:szCs w:val="24"/>
              </w:rPr>
              <w:fldChar w:fldCharType="end"/>
            </w:r>
          </w:hyperlink>
        </w:p>
        <w:p w14:paraId="6122D092" w14:textId="1557DBD7"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2" w:history="1">
            <w:r w:rsidRPr="00F81433">
              <w:rPr>
                <w:rStyle w:val="Hyperlink"/>
                <w:rFonts w:ascii="Times New Roman" w:hAnsi="Times New Roman"/>
                <w:noProof/>
                <w:color w:val="auto"/>
                <w:sz w:val="24"/>
                <w:szCs w:val="24"/>
              </w:rPr>
              <w:t>5.5 Challenges and Limitations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_Toc234920432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7</w:t>
            </w:r>
            <w:r w:rsidRPr="00F81433">
              <w:rPr>
                <w:rFonts w:ascii="Times New Roman" w:hAnsi="Times New Roman"/>
                <w:noProof/>
                <w:webHidden/>
                <w:sz w:val="24"/>
                <w:szCs w:val="24"/>
              </w:rPr>
              <w:fldChar w:fldCharType="end"/>
            </w:r>
          </w:hyperlink>
        </w:p>
        <w:p w14:paraId="0FA84FD4" w14:textId="2B8FF152"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3" w:history="1">
            <w:r w:rsidRPr="00F81433">
              <w:rPr>
                <w:rStyle w:val="Hyperlink"/>
                <w:rFonts w:ascii="Times New Roman" w:hAnsi="Times New Roman"/>
                <w:noProof/>
                <w:color w:val="auto"/>
                <w:sz w:val="24"/>
                <w:szCs w:val="24"/>
              </w:rPr>
              <w:t>6.0 Conclusion</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_Toc234920433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7</w:t>
            </w:r>
            <w:r w:rsidRPr="00F81433">
              <w:rPr>
                <w:rFonts w:ascii="Times New Roman" w:hAnsi="Times New Roman"/>
                <w:noProof/>
                <w:webHidden/>
                <w:sz w:val="24"/>
                <w:szCs w:val="24"/>
              </w:rPr>
              <w:fldChar w:fldCharType="end"/>
            </w:r>
          </w:hyperlink>
        </w:p>
        <w:p w14:paraId="743828CB" w14:textId="4C29943B" w:rsidR="00F81433" w:rsidRPr="00F81433" w:rsidRDefault="00F81433" w:rsidP="00F81433">
          <w:pPr>
            <w:spacing w:line="360" w:lineRule="auto"/>
            <w:rPr>
              <w:rFonts w:ascii="Times New Roman" w:hAnsi="Times New Roman"/>
            </w:rPr>
          </w:pPr>
          <w:r w:rsidRPr="00F81433">
            <w:rPr>
              <w:rFonts w:ascii="Times New Roman" w:hAnsi="Times New Roman"/>
              <w:b/>
              <w:bCs/>
              <w:noProof/>
            </w:rPr>
            <w:fldChar w:fldCharType="end"/>
          </w:r>
        </w:p>
      </w:sdtContent>
    </w:sdt>
    <w:p w14:paraId="014C36E6" w14:textId="77777777" w:rsidR="008375B5" w:rsidRPr="00F81433" w:rsidRDefault="008375B5" w:rsidP="00F81433">
      <w:pPr>
        <w:pStyle w:val="NoSpacing"/>
        <w:spacing w:line="360" w:lineRule="auto"/>
        <w:jc w:val="both"/>
        <w:rPr>
          <w:rFonts w:ascii="Times New Roman" w:hAnsi="Times New Roman"/>
          <w:b/>
          <w:bCs/>
        </w:rPr>
      </w:pPr>
    </w:p>
    <w:p w14:paraId="63E2CA27" w14:textId="77777777" w:rsidR="008375B5" w:rsidRPr="00140EFF" w:rsidRDefault="008375B5" w:rsidP="00140EFF">
      <w:pPr>
        <w:pStyle w:val="NoSpacing"/>
        <w:spacing w:line="360" w:lineRule="auto"/>
        <w:jc w:val="both"/>
        <w:rPr>
          <w:rFonts w:ascii="Times New Roman" w:hAnsi="Times New Roman"/>
          <w:b/>
          <w:bCs/>
          <w:color w:val="000000"/>
        </w:rPr>
      </w:pPr>
    </w:p>
    <w:p w14:paraId="0E7227A5" w14:textId="77777777" w:rsidR="008375B5" w:rsidRPr="00140EFF" w:rsidRDefault="008375B5" w:rsidP="00140EFF">
      <w:pPr>
        <w:pStyle w:val="NoSpacing"/>
        <w:spacing w:line="360" w:lineRule="auto"/>
        <w:jc w:val="both"/>
        <w:rPr>
          <w:rFonts w:ascii="Times New Roman" w:hAnsi="Times New Roman"/>
          <w:b/>
          <w:bCs/>
          <w:color w:val="000000"/>
        </w:rPr>
      </w:pPr>
    </w:p>
    <w:p w14:paraId="4C678BFB" w14:textId="77777777" w:rsidR="008375B5" w:rsidRPr="00140EFF" w:rsidRDefault="008375B5" w:rsidP="00140EFF">
      <w:pPr>
        <w:pStyle w:val="NoSpacing"/>
        <w:spacing w:line="360" w:lineRule="auto"/>
        <w:jc w:val="both"/>
        <w:rPr>
          <w:rFonts w:ascii="Times New Roman" w:hAnsi="Times New Roman"/>
          <w:b/>
          <w:bCs/>
          <w:color w:val="000000"/>
        </w:rPr>
      </w:pPr>
    </w:p>
    <w:p w14:paraId="3B71E803" w14:textId="77777777" w:rsidR="008375B5" w:rsidRPr="00140EFF" w:rsidRDefault="008375B5" w:rsidP="00140EFF">
      <w:pPr>
        <w:pStyle w:val="NoSpacing"/>
        <w:spacing w:line="360" w:lineRule="auto"/>
        <w:jc w:val="both"/>
        <w:rPr>
          <w:rFonts w:ascii="Times New Roman" w:hAnsi="Times New Roman"/>
          <w:b/>
          <w:bCs/>
          <w:color w:val="000000"/>
        </w:rPr>
      </w:pPr>
    </w:p>
    <w:p w14:paraId="1BDE8E0A" w14:textId="77777777" w:rsidR="008375B5" w:rsidRPr="00140EFF" w:rsidRDefault="008375B5" w:rsidP="00140EFF">
      <w:pPr>
        <w:pStyle w:val="NoSpacing"/>
        <w:spacing w:line="360" w:lineRule="auto"/>
        <w:jc w:val="both"/>
        <w:rPr>
          <w:rFonts w:ascii="Times New Roman" w:hAnsi="Times New Roman"/>
          <w:b/>
          <w:bCs/>
          <w:color w:val="000000"/>
        </w:rPr>
      </w:pPr>
    </w:p>
    <w:p w14:paraId="43FBCC08" w14:textId="77777777" w:rsidR="008375B5" w:rsidRPr="00140EFF" w:rsidRDefault="008375B5" w:rsidP="00140EFF">
      <w:pPr>
        <w:pStyle w:val="NoSpacing"/>
        <w:spacing w:line="360" w:lineRule="auto"/>
        <w:jc w:val="both"/>
        <w:rPr>
          <w:rFonts w:ascii="Times New Roman" w:hAnsi="Times New Roman"/>
          <w:b/>
          <w:bCs/>
          <w:color w:val="000000"/>
        </w:rPr>
      </w:pPr>
    </w:p>
    <w:p w14:paraId="2DCF23CD" w14:textId="77777777" w:rsidR="008375B5" w:rsidRPr="00140EFF" w:rsidRDefault="008375B5" w:rsidP="00140EFF">
      <w:pPr>
        <w:pStyle w:val="NoSpacing"/>
        <w:spacing w:line="360" w:lineRule="auto"/>
        <w:jc w:val="both"/>
        <w:rPr>
          <w:rFonts w:ascii="Times New Roman" w:hAnsi="Times New Roman"/>
          <w:b/>
          <w:bCs/>
          <w:color w:val="000000"/>
        </w:rPr>
      </w:pPr>
    </w:p>
    <w:p w14:paraId="7E9D4197" w14:textId="77777777" w:rsidR="008375B5" w:rsidRPr="00140EFF" w:rsidRDefault="008375B5" w:rsidP="00140EFF">
      <w:pPr>
        <w:pStyle w:val="NoSpacing"/>
        <w:spacing w:line="360" w:lineRule="auto"/>
        <w:jc w:val="both"/>
        <w:rPr>
          <w:rFonts w:ascii="Times New Roman" w:hAnsi="Times New Roman"/>
          <w:b/>
          <w:bCs/>
          <w:color w:val="000000"/>
        </w:rPr>
      </w:pPr>
    </w:p>
    <w:p w14:paraId="2F97C8DA" w14:textId="77777777" w:rsidR="008375B5" w:rsidRPr="00140EFF" w:rsidRDefault="008375B5" w:rsidP="00140EFF">
      <w:pPr>
        <w:pStyle w:val="NoSpacing"/>
        <w:spacing w:line="360" w:lineRule="auto"/>
        <w:jc w:val="both"/>
        <w:rPr>
          <w:rFonts w:ascii="Times New Roman" w:hAnsi="Times New Roman"/>
          <w:b/>
          <w:bCs/>
          <w:color w:val="000000"/>
        </w:rPr>
      </w:pPr>
    </w:p>
    <w:p w14:paraId="758F1547" w14:textId="77777777" w:rsidR="00140EFF" w:rsidRDefault="00140EFF">
      <w:pPr>
        <w:spacing w:after="0" w:line="240" w:lineRule="auto"/>
        <w:rPr>
          <w:rFonts w:ascii="Times New Roman" w:hAnsi="Times New Roman"/>
          <w:color w:val="0F1115"/>
        </w:rPr>
      </w:pPr>
      <w:r>
        <w:rPr>
          <w:rFonts w:ascii="Times New Roman" w:hAnsi="Times New Roman"/>
          <w:color w:val="0F1115"/>
        </w:rPr>
        <w:br w:type="page"/>
      </w:r>
    </w:p>
    <w:p w14:paraId="39CC16DF" w14:textId="7B5E8E89" w:rsidR="00140EFF" w:rsidRPr="00140EFF" w:rsidRDefault="00140EFF" w:rsidP="00140EFF">
      <w:pPr>
        <w:pStyle w:val="Heading2"/>
        <w:rPr>
          <w:kern w:val="0"/>
          <w:lang w:eastAsia="en-GB"/>
        </w:rPr>
      </w:pPr>
      <w:bookmarkStart w:id="0" w:name="_Toc234920414"/>
      <w:r w:rsidRPr="00140EFF">
        <w:lastRenderedPageBreak/>
        <w:t>1.0 Introduction</w:t>
      </w:r>
      <w:bookmarkEnd w:id="0"/>
    </w:p>
    <w:p w14:paraId="7870C73B" w14:textId="563D8FF5" w:rsidR="00093BB7" w:rsidRPr="00093BB7" w:rsidRDefault="00093BB7" w:rsidP="00093BB7">
      <w:pPr>
        <w:pStyle w:val="NoSpacing"/>
        <w:spacing w:line="360" w:lineRule="auto"/>
        <w:jc w:val="both"/>
        <w:rPr>
          <w:rFonts w:ascii="Times New Roman" w:hAnsi="Times New Roman"/>
          <w:color w:val="0F1115"/>
        </w:rPr>
      </w:pPr>
      <w:r w:rsidRPr="00093BB7">
        <w:rPr>
          <w:rFonts w:ascii="Times New Roman" w:hAnsi="Times New Roman"/>
          <w:color w:val="0F1115"/>
        </w:rPr>
        <w:t>The issue of non-adherence to prescribed medication is still one of the most urgent problems of the global healthcare sector. According to the current estimations, 30–50% of patients with chronic diseases cannot stick to their regimes leading to deterioration of their health state and developing other disorders which increase their usage of healthcare services (Waqas et al., 2026). The statistics in the UK shows that non-adherence to prescribed treatment results in losses for the National Health Service which amounts £1 billion per year and wasting about £300 millions of prescribed drugs (Health Management, 2025; Life Sciences Hub Wales, 2026).</w:t>
      </w:r>
      <w:r>
        <w:rPr>
          <w:rFonts w:ascii="Times New Roman" w:hAnsi="Times New Roman"/>
          <w:color w:val="0F1115"/>
        </w:rPr>
        <w:t xml:space="preserve"> </w:t>
      </w:r>
      <w:r w:rsidR="00EB7D82">
        <w:rPr>
          <w:rFonts w:ascii="Times New Roman" w:hAnsi="Times New Roman"/>
          <w:color w:val="0F1115"/>
        </w:rPr>
        <w:t xml:space="preserve">   </w:t>
      </w:r>
      <w:r w:rsidRPr="00093BB7">
        <w:rPr>
          <w:rFonts w:ascii="Times New Roman" w:hAnsi="Times New Roman"/>
          <w:color w:val="0F1115"/>
        </w:rPr>
        <w:t>Smart pill dispensers and digital adherence alerts have appeared within the last decade as potential solutions to this problem. These devices allow automatic dispensing, giving audio-visual reminders, providing monitoring of patients' adherence to the regimen and notification to carers and doctors of any missed doses (</w:t>
      </w:r>
      <w:proofErr w:type="spellStart"/>
      <w:r w:rsidRPr="00093BB7">
        <w:rPr>
          <w:rFonts w:ascii="Times New Roman" w:hAnsi="Times New Roman"/>
          <w:color w:val="0F1115"/>
        </w:rPr>
        <w:t>Gargioni</w:t>
      </w:r>
      <w:proofErr w:type="spellEnd"/>
      <w:r w:rsidRPr="00093BB7">
        <w:rPr>
          <w:rFonts w:ascii="Times New Roman" w:hAnsi="Times New Roman"/>
          <w:color w:val="0F1115"/>
        </w:rPr>
        <w:t>, Fogli and Baroni, 2024). SMAPs incorporate sensors and processors for recording medication consumption and events (Key Features of Smart Medication Adherence Products, 2023).</w:t>
      </w:r>
    </w:p>
    <w:p w14:paraId="162CC3E8" w14:textId="2A0813A7" w:rsidR="00140EFF" w:rsidRPr="00140EFF" w:rsidRDefault="00093BB7" w:rsidP="00093BB7">
      <w:pPr>
        <w:pStyle w:val="NoSpacing"/>
        <w:spacing w:line="360" w:lineRule="auto"/>
        <w:jc w:val="both"/>
        <w:rPr>
          <w:rFonts w:ascii="Times New Roman" w:hAnsi="Times New Roman"/>
          <w:color w:val="0F1115"/>
        </w:rPr>
      </w:pPr>
      <w:r w:rsidRPr="00093BB7">
        <w:rPr>
          <w:rFonts w:ascii="Times New Roman" w:hAnsi="Times New Roman"/>
          <w:color w:val="0F1115"/>
        </w:rPr>
        <w:t>This report provides critical evaluation of digital technologies for managing medications in the UK including smart pill dispensers and digital alerts with regard to four aspects workforce, service delivery, patients/service users and the community.</w:t>
      </w:r>
    </w:p>
    <w:p w14:paraId="4E645A5F" w14:textId="77777777" w:rsidR="00140EFF" w:rsidRPr="00140EFF" w:rsidRDefault="00140EFF" w:rsidP="00140EFF">
      <w:pPr>
        <w:pStyle w:val="Heading2"/>
      </w:pPr>
      <w:bookmarkStart w:id="1" w:name="_Toc234920415"/>
      <w:r w:rsidRPr="00140EFF">
        <w:t>2.0 Impact on Workforce</w:t>
      </w:r>
      <w:bookmarkEnd w:id="1"/>
    </w:p>
    <w:p w14:paraId="7AEBC61A" w14:textId="3CEF5581"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The introduction of smart pill dispensers and adherence technologies has brought about a number of changes to the healthcare and social care workforce, which include the alteration of professional roles, changes in competencies, and reallocation of clinical tasks.</w:t>
      </w:r>
    </w:p>
    <w:p w14:paraId="421BBA3F" w14:textId="77777777" w:rsidR="00140EFF" w:rsidRPr="00140EFF" w:rsidRDefault="00140EFF" w:rsidP="00DB12D9">
      <w:pPr>
        <w:pStyle w:val="Heading2"/>
      </w:pPr>
      <w:bookmarkStart w:id="2" w:name="_Toc234920416"/>
      <w:r w:rsidRPr="00140EFF">
        <w:t>2.1 Changes in Job Roles</w:t>
      </w:r>
      <w:bookmarkEnd w:id="2"/>
    </w:p>
    <w:p w14:paraId="688B0F46" w14:textId="3A45EB3A" w:rsidR="00140EFF" w:rsidRPr="00140EFF" w:rsidRDefault="00DB12D9" w:rsidP="00DB12D9">
      <w:pPr>
        <w:pStyle w:val="NoSpacing"/>
        <w:spacing w:line="360" w:lineRule="auto"/>
        <w:jc w:val="both"/>
        <w:rPr>
          <w:rFonts w:ascii="Times New Roman" w:hAnsi="Times New Roman"/>
          <w:color w:val="0F1115"/>
        </w:rPr>
      </w:pPr>
      <w:r w:rsidRPr="00DB12D9">
        <w:rPr>
          <w:rFonts w:ascii="Times New Roman" w:hAnsi="Times New Roman"/>
          <w:color w:val="0F1115"/>
        </w:rPr>
        <w:t>Another significant area where transformation in the workplace can be witnessed is the changing roles in the pharmacy industry. With the emergence of digitally enabled medication adherence systems like smart pill boxes and digital medication management devices, it becomes necessary for professionals to engage themselves in new ways (Waqas et al., 2026). Pharmacists now have to deal not only with medication but also with patient care, with technology making tasks safer and more efficient, and giving them time to attend to other activities (Pharmacy Times, 2026). It is important to differentiate between the digitisation of medication processes (just transferring from paper to digital) and transformation, where technology is used to redesign medication delivery and monitoring (From Digitisation to Transformation, 2025).</w:t>
      </w:r>
      <w:r>
        <w:rPr>
          <w:rFonts w:ascii="Times New Roman" w:hAnsi="Times New Roman"/>
          <w:color w:val="0F1115"/>
        </w:rPr>
        <w:t xml:space="preserve"> </w:t>
      </w:r>
      <w:r w:rsidRPr="00DB12D9">
        <w:rPr>
          <w:rFonts w:ascii="Times New Roman" w:hAnsi="Times New Roman"/>
          <w:color w:val="0F1115"/>
        </w:rPr>
        <w:t xml:space="preserve">In the world of digital medication, pharmacy technicians now have new responsibilities, including driving the implementation of digital tools and leveraging digital </w:t>
      </w:r>
      <w:r w:rsidRPr="00DB12D9">
        <w:rPr>
          <w:rFonts w:ascii="Times New Roman" w:hAnsi="Times New Roman"/>
          <w:color w:val="0F1115"/>
        </w:rPr>
        <w:lastRenderedPageBreak/>
        <w:t>and operational capabilities to allow pharmacists to conduct clinical work (Pharmacy Congress, 2026).</w:t>
      </w:r>
    </w:p>
    <w:p w14:paraId="39D5D91B" w14:textId="77777777" w:rsidR="00140EFF" w:rsidRPr="00140EFF" w:rsidRDefault="00140EFF" w:rsidP="00DB12D9">
      <w:pPr>
        <w:pStyle w:val="Heading2"/>
      </w:pPr>
      <w:bookmarkStart w:id="3" w:name="_Toc234920417"/>
      <w:r w:rsidRPr="00140EFF">
        <w:t>2.2 Role Competency and Digital Skills Development</w:t>
      </w:r>
      <w:bookmarkEnd w:id="3"/>
    </w:p>
    <w:p w14:paraId="21F63467" w14:textId="1497951B" w:rsidR="00140EFF" w:rsidRPr="00140EFF" w:rsidRDefault="00DB12D9" w:rsidP="00DB12D9">
      <w:pPr>
        <w:pStyle w:val="NoSpacing"/>
        <w:spacing w:line="360" w:lineRule="auto"/>
        <w:jc w:val="both"/>
        <w:rPr>
          <w:rFonts w:ascii="Times New Roman" w:hAnsi="Times New Roman"/>
          <w:color w:val="0F1115"/>
        </w:rPr>
      </w:pPr>
      <w:r w:rsidRPr="00DB12D9">
        <w:rPr>
          <w:rFonts w:ascii="Times New Roman" w:hAnsi="Times New Roman"/>
          <w:color w:val="0F1115"/>
        </w:rPr>
        <w:t xml:space="preserve">The implementation of digital medicine programs has called for an upskill of the existing </w:t>
      </w:r>
      <w:proofErr w:type="spellStart"/>
      <w:r w:rsidRPr="00DB12D9">
        <w:rPr>
          <w:rFonts w:ascii="Times New Roman" w:hAnsi="Times New Roman"/>
          <w:color w:val="0F1115"/>
        </w:rPr>
        <w:t>labor</w:t>
      </w:r>
      <w:proofErr w:type="spellEnd"/>
      <w:r w:rsidRPr="00DB12D9">
        <w:rPr>
          <w:rFonts w:ascii="Times New Roman" w:hAnsi="Times New Roman"/>
          <w:color w:val="0F1115"/>
        </w:rPr>
        <w:t xml:space="preserve"> force. It is noted that the priority area of the NHS Digital Medicine Program is the development of the </w:t>
      </w:r>
      <w:proofErr w:type="spellStart"/>
      <w:r w:rsidRPr="00DB12D9">
        <w:rPr>
          <w:rFonts w:ascii="Times New Roman" w:hAnsi="Times New Roman"/>
          <w:color w:val="0F1115"/>
        </w:rPr>
        <w:t>labor</w:t>
      </w:r>
      <w:proofErr w:type="spellEnd"/>
      <w:r w:rsidRPr="00DB12D9">
        <w:rPr>
          <w:rFonts w:ascii="Times New Roman" w:hAnsi="Times New Roman"/>
          <w:color w:val="0F1115"/>
        </w:rPr>
        <w:t xml:space="preserve"> force to help pharmacy professionals and clinicians in gaining the skills needed to provide services in a digitalized NHS (NHS England, 2026). The need for upskilling of the workforce to cope with changes caused by the digitalization of healthcare becomes increasingly evident.</w:t>
      </w:r>
      <w:r>
        <w:rPr>
          <w:rFonts w:ascii="Times New Roman" w:hAnsi="Times New Roman"/>
          <w:color w:val="0F1115"/>
        </w:rPr>
        <w:t xml:space="preserve"> </w:t>
      </w:r>
      <w:r w:rsidRPr="00DB12D9">
        <w:rPr>
          <w:rFonts w:ascii="Times New Roman" w:hAnsi="Times New Roman"/>
          <w:color w:val="0F1115"/>
        </w:rPr>
        <w:t xml:space="preserve">According to one estimate, the information-processing part of the tasks of pharmacists will be performed by AI technologies, while the responsibility of the pharmacists will focus on what cannot be done with technological </w:t>
      </w:r>
      <w:r w:rsidR="00015AAE" w:rsidRPr="00DB12D9">
        <w:rPr>
          <w:rFonts w:ascii="Times New Roman" w:hAnsi="Times New Roman"/>
          <w:color w:val="0F1115"/>
        </w:rPr>
        <w:t>means responsibility</w:t>
      </w:r>
      <w:r w:rsidRPr="00DB12D9">
        <w:rPr>
          <w:rFonts w:ascii="Times New Roman" w:hAnsi="Times New Roman"/>
          <w:color w:val="0F1115"/>
        </w:rPr>
        <w:t>, application of clinical reasoning in the cases of particular patients and assessment of tools (Drug Topics, 2026). The problem here is not in replacing the roles of the professionals but in improper design and validation of tools.</w:t>
      </w:r>
    </w:p>
    <w:p w14:paraId="7D451F18" w14:textId="77777777" w:rsidR="00140EFF" w:rsidRPr="00140EFF" w:rsidRDefault="00140EFF" w:rsidP="00DB12D9">
      <w:pPr>
        <w:pStyle w:val="Heading2"/>
      </w:pPr>
      <w:bookmarkStart w:id="4" w:name="_Toc234920418"/>
      <w:r w:rsidRPr="00140EFF">
        <w:t>2.3 Positive Outcomes</w:t>
      </w:r>
      <w:bookmarkEnd w:id="4"/>
    </w:p>
    <w:p w14:paraId="5FC6C717" w14:textId="420B82A5"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The advantages associated with using intelligent pill dispensers in relation to workforce issues are many. Technology ensures increased efficiency and safety, allowing workers to be allocated to other more valuable activities because their jobs are expanding due to their direct involvement with patients (Pharmacy Times, 2026).</w:t>
      </w:r>
    </w:p>
    <w:p w14:paraId="67D0A26E" w14:textId="77777777" w:rsidR="00140EFF" w:rsidRPr="00140EFF" w:rsidRDefault="00140EFF" w:rsidP="00DB12D9">
      <w:pPr>
        <w:pStyle w:val="Heading2"/>
      </w:pPr>
      <w:bookmarkStart w:id="5" w:name="_Toc234920419"/>
      <w:r w:rsidRPr="00140EFF">
        <w:t>2.4 Challenges and Negative Outcomes</w:t>
      </w:r>
      <w:bookmarkEnd w:id="5"/>
    </w:p>
    <w:p w14:paraId="3DCB38BB" w14:textId="2A9437FA"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Nonetheless, there are some difficulties associated with this change in workforce. Digital health governance tends to work in silos in relation to clinical governance or is an already existing activity, hence making more work for the administrators rather than reducing it (From Digitisation to Transformation, 2025). In addition, implementation will require great effort in terms of change management and training. Some other worries include deskilling of some particular skills due to excessive dependency on technology.</w:t>
      </w:r>
    </w:p>
    <w:p w14:paraId="384C3DFE" w14:textId="77777777" w:rsidR="00140EFF" w:rsidRPr="00140EFF" w:rsidRDefault="00140EFF" w:rsidP="00DB12D9">
      <w:pPr>
        <w:pStyle w:val="Heading2"/>
      </w:pPr>
      <w:bookmarkStart w:id="6" w:name="_Toc234920420"/>
      <w:r w:rsidRPr="00140EFF">
        <w:t>3.0 Impact on Service Delivery</w:t>
      </w:r>
      <w:bookmarkEnd w:id="6"/>
    </w:p>
    <w:p w14:paraId="5FF30DDE" w14:textId="30497196"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Electronic dispensing of medicines and computerized alarm systems have revolutionized the provision of medicine-related services from being reactive and visits-based to proactive and technology-based.</w:t>
      </w:r>
    </w:p>
    <w:p w14:paraId="0A67DA43" w14:textId="77777777" w:rsidR="00140EFF" w:rsidRPr="00140EFF" w:rsidRDefault="00140EFF" w:rsidP="00DB12D9">
      <w:pPr>
        <w:pStyle w:val="Heading2"/>
      </w:pPr>
      <w:bookmarkStart w:id="7" w:name="_Toc234920421"/>
      <w:r w:rsidRPr="00140EFF">
        <w:t>3.1 Day-to-Day Service Changes</w:t>
      </w:r>
      <w:bookmarkEnd w:id="7"/>
    </w:p>
    <w:p w14:paraId="52E454F9" w14:textId="76A8828E" w:rsidR="00140EFF" w:rsidRPr="00140EFF" w:rsidRDefault="00DB12D9" w:rsidP="00DB12D9">
      <w:pPr>
        <w:pStyle w:val="NoSpacing"/>
        <w:spacing w:line="360" w:lineRule="auto"/>
        <w:jc w:val="both"/>
        <w:rPr>
          <w:rFonts w:ascii="Times New Roman" w:hAnsi="Times New Roman"/>
          <w:color w:val="0F1115"/>
        </w:rPr>
      </w:pPr>
      <w:r w:rsidRPr="00DB12D9">
        <w:rPr>
          <w:rFonts w:ascii="Times New Roman" w:hAnsi="Times New Roman"/>
          <w:color w:val="0F1115"/>
        </w:rPr>
        <w:t xml:space="preserve">Community-based traditional drug administration involved visiting homes to give drugs or remind patients to take their doses. As shown by the Bridgend pilot in Wales involving more than 70 people in 12 months, digital drug dispensers minimize the need for such visits (Welsh Government, 2026). This is because the dispensers come with audio and video prompts, release </w:t>
      </w:r>
      <w:r w:rsidRPr="00DB12D9">
        <w:rPr>
          <w:rFonts w:ascii="Times New Roman" w:hAnsi="Times New Roman"/>
          <w:color w:val="0F1115"/>
        </w:rPr>
        <w:lastRenderedPageBreak/>
        <w:t>the appropriate dose at the right time, and store the rest of the medication in a locked compartment.</w:t>
      </w:r>
      <w:r>
        <w:rPr>
          <w:rFonts w:ascii="Times New Roman" w:hAnsi="Times New Roman"/>
          <w:color w:val="0F1115"/>
        </w:rPr>
        <w:t xml:space="preserve"> </w:t>
      </w:r>
      <w:r w:rsidRPr="00DB12D9">
        <w:rPr>
          <w:rFonts w:ascii="Times New Roman" w:hAnsi="Times New Roman"/>
          <w:color w:val="0F1115"/>
        </w:rPr>
        <w:t>The service has changed from episodic to continuous monitoring since the drug dispensers are connected to an online portal which notifies a "circle of care" if the medication isn't used. Real-time monitoring makes possible real-time interventions, as evident from 155 interventions based on alerts within six months.</w:t>
      </w:r>
    </w:p>
    <w:p w14:paraId="1C9CB08C" w14:textId="77777777" w:rsidR="00140EFF" w:rsidRPr="00140EFF" w:rsidRDefault="00140EFF" w:rsidP="00DB12D9">
      <w:pPr>
        <w:pStyle w:val="Heading2"/>
      </w:pPr>
      <w:bookmarkStart w:id="8" w:name="_Toc234920422"/>
      <w:r w:rsidRPr="00140EFF">
        <w:t>3.2 Quantifiable Service Improvements</w:t>
      </w:r>
      <w:bookmarkEnd w:id="8"/>
    </w:p>
    <w:p w14:paraId="69ADEA57" w14:textId="14479401" w:rsidR="00792154" w:rsidRPr="00792154"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Bridgend pilot demonstrates remarkable results regarding service delivery, with a 46% reduction in hospital admissions, 36% reduction in emergency department attendance, and 55% reduction in bed days within a period of six months (Welsh Government, 2026). Moreover, seven people reduced their care packages, which saved more than £36,000 yearly. This implies that digital medication management is efficient and produces better outcomes.</w:t>
      </w:r>
    </w:p>
    <w:p w14:paraId="6C7BEB43" w14:textId="79B987F0" w:rsidR="00140EFF" w:rsidRPr="00140EFF"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According to a systematic review of digital pillboxes among older adults, the mean adherence rate was found to be 88.8%, which is higher than the good adherence rate of 80% (What does the literature say about using electronic pillboxes for older adults, 2024). However, the adherence rates were not consistent, with a standard deviation of 10.7.</w:t>
      </w:r>
    </w:p>
    <w:p w14:paraId="68FD692A" w14:textId="77777777" w:rsidR="00140EFF" w:rsidRPr="00140EFF" w:rsidRDefault="00140EFF" w:rsidP="00792154">
      <w:pPr>
        <w:pStyle w:val="Heading2"/>
      </w:pPr>
      <w:bookmarkStart w:id="9" w:name="_Toc234920423"/>
      <w:r w:rsidRPr="00140EFF">
        <w:t>3.3 Integration Across Sectors</w:t>
      </w:r>
      <w:bookmarkEnd w:id="9"/>
    </w:p>
    <w:p w14:paraId="5CB86BD0" w14:textId="46904CAB" w:rsidR="00140EFF" w:rsidRPr="00140EFF" w:rsidRDefault="00792154" w:rsidP="00140EFF">
      <w:pPr>
        <w:pStyle w:val="NoSpacing"/>
        <w:spacing w:line="360" w:lineRule="auto"/>
        <w:jc w:val="both"/>
        <w:rPr>
          <w:rFonts w:ascii="Times New Roman" w:hAnsi="Times New Roman"/>
          <w:color w:val="0F1115"/>
        </w:rPr>
      </w:pPr>
      <w:r w:rsidRPr="00792154">
        <w:rPr>
          <w:rFonts w:ascii="Times New Roman" w:hAnsi="Times New Roman"/>
          <w:color w:val="0F1115"/>
        </w:rPr>
        <w:t>The use of digital tools for medication management is one form of service integration as a result of collaboration between different sectors of society, including health boards, local authorities, pharmacies in the community, and industry players (Life Sciences Hub Wales, 2026). No more silo-based approaches, as pharmacists, social care workers, and other healthcare professionals collaborate to help patients.</w:t>
      </w:r>
    </w:p>
    <w:p w14:paraId="2A0CF88F" w14:textId="77777777" w:rsidR="00140EFF" w:rsidRPr="00140EFF" w:rsidRDefault="00140EFF" w:rsidP="00792154">
      <w:pPr>
        <w:pStyle w:val="Heading2"/>
      </w:pPr>
      <w:bookmarkStart w:id="10" w:name="_Toc234920424"/>
      <w:r w:rsidRPr="00140EFF">
        <w:t>3.4 Challenges in Service Delivery</w:t>
      </w:r>
      <w:bookmarkEnd w:id="10"/>
    </w:p>
    <w:p w14:paraId="4EDEAFF0" w14:textId="77777777" w:rsidR="00792154" w:rsidRPr="00792154"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However, despite the successes, there are still obstacles that have to be taken into account. Patient selection and education are vital factors for successful treatment; not every patient can be prescribed digital dispensers because of severe cognitive impairment and inability to operate technology (</w:t>
      </w:r>
      <w:proofErr w:type="spellStart"/>
      <w:r w:rsidRPr="00792154">
        <w:rPr>
          <w:rFonts w:ascii="Times New Roman" w:hAnsi="Times New Roman"/>
          <w:color w:val="0F1115"/>
        </w:rPr>
        <w:t>Gargioni</w:t>
      </w:r>
      <w:proofErr w:type="spellEnd"/>
      <w:r w:rsidRPr="00792154">
        <w:rPr>
          <w:rFonts w:ascii="Times New Roman" w:hAnsi="Times New Roman"/>
          <w:color w:val="0F1115"/>
        </w:rPr>
        <w:t>, Fogli &amp; Baroni, 2024). The factors that have to be considered are compatibility with the system of prescriptions used in the country, administration of complicated therapies by using automated devices without any human help, recharging, operability for elderly people, and extremely high costs (</w:t>
      </w:r>
      <w:proofErr w:type="spellStart"/>
      <w:r w:rsidRPr="00792154">
        <w:rPr>
          <w:rFonts w:ascii="Times New Roman" w:hAnsi="Times New Roman"/>
          <w:color w:val="0F1115"/>
        </w:rPr>
        <w:t>Gargioni</w:t>
      </w:r>
      <w:proofErr w:type="spellEnd"/>
      <w:r w:rsidRPr="00792154">
        <w:rPr>
          <w:rFonts w:ascii="Times New Roman" w:hAnsi="Times New Roman"/>
          <w:color w:val="0F1115"/>
        </w:rPr>
        <w:t>, Fogli &amp; Baroni, 2024).</w:t>
      </w:r>
    </w:p>
    <w:p w14:paraId="46F37028" w14:textId="788B355F" w:rsidR="00140EFF" w:rsidRDefault="00792154" w:rsidP="00140EFF">
      <w:pPr>
        <w:pStyle w:val="NoSpacing"/>
        <w:spacing w:line="360" w:lineRule="auto"/>
        <w:jc w:val="both"/>
        <w:rPr>
          <w:rFonts w:ascii="Times New Roman" w:hAnsi="Times New Roman"/>
          <w:color w:val="0F1115"/>
        </w:rPr>
      </w:pPr>
      <w:r w:rsidRPr="00792154">
        <w:rPr>
          <w:rFonts w:ascii="Times New Roman" w:hAnsi="Times New Roman"/>
          <w:color w:val="0F1115"/>
        </w:rPr>
        <w:t>According to a systematic review of adherence technologies, digital pillboxes can underestimate and overestimate the intake of pills; the sensitivity and specificity of such tools are 25-99% and 69-100%, respectively (The performance of digital technologies for measuring tuberculosis medication adherence, 2024).</w:t>
      </w:r>
    </w:p>
    <w:p w14:paraId="602EB4A2" w14:textId="77777777" w:rsidR="00015AAE" w:rsidRPr="00140EFF" w:rsidRDefault="00015AAE" w:rsidP="00140EFF">
      <w:pPr>
        <w:pStyle w:val="NoSpacing"/>
        <w:spacing w:line="360" w:lineRule="auto"/>
        <w:jc w:val="both"/>
        <w:rPr>
          <w:rFonts w:ascii="Times New Roman" w:hAnsi="Times New Roman"/>
          <w:color w:val="0F1115"/>
        </w:rPr>
      </w:pPr>
    </w:p>
    <w:p w14:paraId="0422860D" w14:textId="77777777" w:rsidR="00140EFF" w:rsidRPr="00140EFF" w:rsidRDefault="00140EFF" w:rsidP="00792154">
      <w:pPr>
        <w:pStyle w:val="Heading2"/>
      </w:pPr>
      <w:bookmarkStart w:id="11" w:name="_Toc234920425"/>
      <w:r w:rsidRPr="00140EFF">
        <w:lastRenderedPageBreak/>
        <w:t>4.0 Impact on Patients</w:t>
      </w:r>
      <w:bookmarkEnd w:id="11"/>
    </w:p>
    <w:p w14:paraId="3B7D5A31" w14:textId="0C67F838" w:rsidR="00140EFF" w:rsidRPr="00140EFF" w:rsidRDefault="00792154" w:rsidP="00140EFF">
      <w:pPr>
        <w:pStyle w:val="NoSpacing"/>
        <w:spacing w:line="360" w:lineRule="auto"/>
        <w:jc w:val="both"/>
        <w:rPr>
          <w:rFonts w:ascii="Times New Roman" w:hAnsi="Times New Roman"/>
          <w:color w:val="0F1115"/>
        </w:rPr>
      </w:pPr>
      <w:r w:rsidRPr="00792154">
        <w:rPr>
          <w:rFonts w:ascii="Times New Roman" w:hAnsi="Times New Roman"/>
          <w:color w:val="0F1115"/>
        </w:rPr>
        <w:t>However, the influence of these innovative pill dispensers has been remarkable, as they have helped patients and customers adhere to their medication and become more independent and psychologically well.</w:t>
      </w:r>
    </w:p>
    <w:p w14:paraId="52F9EFDA" w14:textId="2BD8B5D5" w:rsidR="00140EFF" w:rsidRPr="00140EFF" w:rsidRDefault="00140EFF" w:rsidP="00792154">
      <w:pPr>
        <w:pStyle w:val="Heading2"/>
      </w:pPr>
      <w:bookmarkStart w:id="12" w:name="_Toc234920426"/>
      <w:r w:rsidRPr="00140EFF">
        <w:t>Improved Medication Adherence</w:t>
      </w:r>
      <w:bookmarkEnd w:id="12"/>
    </w:p>
    <w:p w14:paraId="522F8370" w14:textId="77777777" w:rsidR="00792154" w:rsidRPr="00792154"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Medication adherence improvement is the most important patient outcome. The Bridgend pilot project demonstrated more than an 80% adherence rate in all patient groups (Life Sciences Hub Wales, 2026). In a meta-analysis, mobile health interventions were shown to be associated with significantly increased medication adherence (OR=2.371), Effectiveness of Mobile Health Intervention in Medication Adherence (2025). Specifically, subgroup analysis revealed that pill dispenser-based interventions were highly effective (OR=2.453), Effectiveness of Mobile Health Intervention in Medication Adherence (2025).</w:t>
      </w:r>
    </w:p>
    <w:p w14:paraId="18A9DEDB" w14:textId="5E9AE31A" w:rsidR="00140EFF" w:rsidRPr="00140EFF"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In the case of personalised adherence in epilepsy, even better adherence was noted: 93% in terms of taking adherence, 90% in timing adherence, and 86% of correctly dosed days without any medication holidays (2025</w:t>
      </w:r>
      <w:r w:rsidR="008233FB">
        <w:rPr>
          <w:rFonts w:ascii="Times New Roman" w:hAnsi="Times New Roman"/>
          <w:color w:val="0F1115"/>
        </w:rPr>
        <w:t>)</w:t>
      </w:r>
      <w:r w:rsidRPr="00792154">
        <w:rPr>
          <w:rFonts w:ascii="Times New Roman" w:hAnsi="Times New Roman"/>
          <w:color w:val="0F1115"/>
        </w:rPr>
        <w:t>.</w:t>
      </w:r>
      <w:r>
        <w:rPr>
          <w:rFonts w:ascii="Times New Roman" w:hAnsi="Times New Roman"/>
          <w:color w:val="0F1115"/>
        </w:rPr>
        <w:t xml:space="preserve"> </w:t>
      </w:r>
      <w:r w:rsidRPr="00792154">
        <w:rPr>
          <w:rFonts w:ascii="Times New Roman" w:hAnsi="Times New Roman"/>
          <w:color w:val="0F1115"/>
        </w:rPr>
        <w:t>Adherence will improve the overall clinical state of patients</w:t>
      </w:r>
      <w:r>
        <w:rPr>
          <w:rFonts w:ascii="Times New Roman" w:hAnsi="Times New Roman"/>
          <w:color w:val="0F1115"/>
        </w:rPr>
        <w:t xml:space="preserve"> </w:t>
      </w:r>
      <w:r w:rsidRPr="00792154">
        <w:rPr>
          <w:rFonts w:ascii="Times New Roman" w:hAnsi="Times New Roman"/>
          <w:color w:val="0F1115"/>
        </w:rPr>
        <w:t>decrease disease progression, prevent complications, and improve their quality of life.</w:t>
      </w:r>
    </w:p>
    <w:p w14:paraId="0C154F1A" w14:textId="77777777" w:rsidR="00140EFF" w:rsidRPr="00140EFF" w:rsidRDefault="00140EFF" w:rsidP="008233FB">
      <w:pPr>
        <w:pStyle w:val="Heading2"/>
      </w:pPr>
      <w:bookmarkStart w:id="13" w:name="_Toc234920427"/>
      <w:r w:rsidRPr="00140EFF">
        <w:t>5.0 Impact on Community</w:t>
      </w:r>
      <w:bookmarkEnd w:id="13"/>
    </w:p>
    <w:p w14:paraId="288844F4" w14:textId="0760ECC8" w:rsidR="00140EFF" w:rsidRPr="00140EFF" w:rsidRDefault="008233FB" w:rsidP="00140EFF">
      <w:pPr>
        <w:pStyle w:val="NoSpacing"/>
        <w:spacing w:line="360" w:lineRule="auto"/>
        <w:jc w:val="both"/>
        <w:rPr>
          <w:rFonts w:ascii="Times New Roman" w:hAnsi="Times New Roman"/>
          <w:color w:val="0F1115"/>
        </w:rPr>
      </w:pPr>
      <w:r w:rsidRPr="008233FB">
        <w:rPr>
          <w:rFonts w:ascii="Times New Roman" w:hAnsi="Times New Roman"/>
          <w:color w:val="0F1115"/>
        </w:rPr>
        <w:t>The community level impacts of intelligent medication dispensers go beyond the users to include family members, carers, healthcare providers and the wider public health sector.</w:t>
      </w:r>
    </w:p>
    <w:p w14:paraId="0ECA1A70" w14:textId="77777777" w:rsidR="00140EFF" w:rsidRPr="00140EFF" w:rsidRDefault="00140EFF" w:rsidP="008233FB">
      <w:pPr>
        <w:pStyle w:val="Heading2"/>
      </w:pPr>
      <w:bookmarkStart w:id="14" w:name="_Toc234920428"/>
      <w:r w:rsidRPr="00140EFF">
        <w:t>5.1 Impact on Families and Unpaid Carers</w:t>
      </w:r>
      <w:bookmarkEnd w:id="14"/>
    </w:p>
    <w:p w14:paraId="0CF1F45B" w14:textId="0AFB5A61" w:rsidR="00140EFF" w:rsidRPr="00140EFF"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The Bridgend pilot demonstrates significant gains for families and carers who do not receive payment for their services, since 83% believe that they have gained increased support, reduced isolation, and a sense of security that the care recipient is receiving increased assistance (Life Sciences Hub Wales, 2026). Technology reduces visits made to obtain prescription medications by the family, thereby enabling carers to continue in their paid employment.</w:t>
      </w:r>
      <w:r>
        <w:rPr>
          <w:rFonts w:ascii="Times New Roman" w:hAnsi="Times New Roman"/>
          <w:color w:val="0F1115"/>
        </w:rPr>
        <w:t xml:space="preserve"> </w:t>
      </w:r>
      <w:r w:rsidRPr="009602C8">
        <w:rPr>
          <w:rFonts w:ascii="Times New Roman" w:hAnsi="Times New Roman"/>
          <w:color w:val="0F1115"/>
        </w:rPr>
        <w:t xml:space="preserve">The technology used for medication reminders has resulted in significant benefits to care professionals, according to </w:t>
      </w:r>
      <w:proofErr w:type="spellStart"/>
      <w:r w:rsidRPr="009602C8">
        <w:rPr>
          <w:rFonts w:ascii="Times New Roman" w:hAnsi="Times New Roman"/>
          <w:color w:val="0F1115"/>
        </w:rPr>
        <w:t>Salmensuu</w:t>
      </w:r>
      <w:proofErr w:type="spellEnd"/>
      <w:r w:rsidRPr="009602C8">
        <w:rPr>
          <w:rFonts w:ascii="Times New Roman" w:hAnsi="Times New Roman"/>
          <w:color w:val="0F1115"/>
        </w:rPr>
        <w:t xml:space="preserve"> et al. (2026), and carer burden reduction results in psychosocial benefits.</w:t>
      </w:r>
    </w:p>
    <w:p w14:paraId="39380121" w14:textId="77777777" w:rsidR="00140EFF" w:rsidRPr="00140EFF" w:rsidRDefault="00140EFF" w:rsidP="009602C8">
      <w:pPr>
        <w:pStyle w:val="Heading2"/>
      </w:pPr>
      <w:bookmarkStart w:id="15" w:name="_Toc234920429"/>
      <w:r w:rsidRPr="00140EFF">
        <w:t>5.2 Community-Based Service Delivery</w:t>
      </w:r>
      <w:bookmarkEnd w:id="15"/>
    </w:p>
    <w:p w14:paraId="34902010" w14:textId="6CC63ABC" w:rsid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Smart dispensers facilitate community care through a reduction in institutionalization. Digital medication dispensers encourage self-reliance, decrease the need for care packages, and could reduce hospitalization caused by medication errors (Welsh Government, 2026). Monitoring from a distance enables families and services to provide help in a timely manner even when not physically present.</w:t>
      </w:r>
    </w:p>
    <w:p w14:paraId="462CC963" w14:textId="77777777" w:rsidR="00015AAE" w:rsidRPr="00140EFF" w:rsidRDefault="00015AAE" w:rsidP="00140EFF">
      <w:pPr>
        <w:pStyle w:val="NoSpacing"/>
        <w:spacing w:line="360" w:lineRule="auto"/>
        <w:jc w:val="both"/>
        <w:rPr>
          <w:rFonts w:ascii="Times New Roman" w:hAnsi="Times New Roman"/>
          <w:color w:val="0F1115"/>
        </w:rPr>
      </w:pPr>
    </w:p>
    <w:p w14:paraId="182ACDD2" w14:textId="77777777" w:rsidR="00140EFF" w:rsidRPr="00140EFF" w:rsidRDefault="00140EFF" w:rsidP="009602C8">
      <w:pPr>
        <w:pStyle w:val="Heading2"/>
      </w:pPr>
      <w:bookmarkStart w:id="16" w:name="_Toc234920430"/>
      <w:r w:rsidRPr="00140EFF">
        <w:lastRenderedPageBreak/>
        <w:t>5.3 Co-Production and Community Engagement</w:t>
      </w:r>
      <w:bookmarkEnd w:id="16"/>
    </w:p>
    <w:p w14:paraId="3D26BA1F" w14:textId="4D45BF0D" w:rsidR="00140EFF" w:rsidRP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Medication digital management systems are co-created by the constant feedback from the users, their family members, caregivers, and workers (Life Sciences Hub Wales, 2026). Such an interactive process makes it possible for the innovation to meet community needs and to be accepted by the users. The cooperation of community pharmacies, local government, and healthcare providers illustrates its advantages.</w:t>
      </w:r>
    </w:p>
    <w:p w14:paraId="11BF0005" w14:textId="77777777" w:rsidR="00140EFF" w:rsidRPr="00140EFF" w:rsidRDefault="00140EFF" w:rsidP="009602C8">
      <w:pPr>
        <w:pStyle w:val="Heading2"/>
      </w:pPr>
      <w:bookmarkStart w:id="17" w:name="_Toc234920431"/>
      <w:r w:rsidRPr="00140EFF">
        <w:t>5.4 Public Health Implications</w:t>
      </w:r>
      <w:bookmarkEnd w:id="17"/>
    </w:p>
    <w:p w14:paraId="6228DD37" w14:textId="3C2D63C0" w:rsidR="00140EFF" w:rsidRP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In terms of public health, medication adherence would improve the well-being of the population. Medication nonadherence is estimated at 30% to 50% among the patients around the world. With smart dispensers helping increase the adherence rate, the burden of chronic illnesses would be reduced, complications would not occur, and the usage of the services of the health care sector would reduce among the population. In economic terms, such benefits are significant. The NHS spends between £500 million and £1 billion per year on nonadherence, which means that small improvements in adherence would bring great cost reductions.</w:t>
      </w:r>
    </w:p>
    <w:p w14:paraId="54BB72E0" w14:textId="77777777" w:rsidR="00140EFF" w:rsidRPr="00140EFF" w:rsidRDefault="00140EFF" w:rsidP="009602C8">
      <w:pPr>
        <w:pStyle w:val="Heading2"/>
      </w:pPr>
      <w:bookmarkStart w:id="18" w:name="_Toc234920432"/>
      <w:r w:rsidRPr="00140EFF">
        <w:t>5.5 Challenges and Limitations</w:t>
      </w:r>
      <w:bookmarkEnd w:id="18"/>
    </w:p>
    <w:p w14:paraId="2167B092" w14:textId="3EF09F64" w:rsidR="00140EFF" w:rsidRP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However, there remain some community-based barriers to overcome. The digital divide affects people who lack technology, knowledge about digital skills, or internet access. In a systematic review of medication reminders, it was noted that there was not much equity data available and also it is unclear whether such technology increases or mitigates health inequities (</w:t>
      </w:r>
      <w:proofErr w:type="spellStart"/>
      <w:r w:rsidRPr="009602C8">
        <w:rPr>
          <w:rFonts w:ascii="Times New Roman" w:hAnsi="Times New Roman"/>
          <w:color w:val="0F1115"/>
        </w:rPr>
        <w:t>Salmensuu</w:t>
      </w:r>
      <w:proofErr w:type="spellEnd"/>
      <w:r w:rsidRPr="009602C8">
        <w:rPr>
          <w:rFonts w:ascii="Times New Roman" w:hAnsi="Times New Roman"/>
          <w:color w:val="0F1115"/>
        </w:rPr>
        <w:t xml:space="preserve"> et al., 2026).</w:t>
      </w:r>
      <w:r>
        <w:rPr>
          <w:rFonts w:ascii="Times New Roman" w:hAnsi="Times New Roman"/>
          <w:color w:val="0F1115"/>
        </w:rPr>
        <w:t xml:space="preserve"> </w:t>
      </w:r>
      <w:r w:rsidRPr="009602C8">
        <w:rPr>
          <w:rFonts w:ascii="Times New Roman" w:hAnsi="Times New Roman"/>
          <w:color w:val="0F1115"/>
        </w:rPr>
        <w:t>Sustainability of such innovations also needs to be addressed as there have been successful pilot projects which got funded, but large-scale implementation will require significant investment in technology and workforce training. It is also unclear whether such innovations are scalable for other communities and geographical areas.</w:t>
      </w:r>
    </w:p>
    <w:p w14:paraId="21ED9813" w14:textId="77777777" w:rsidR="00140EFF" w:rsidRPr="00140EFF" w:rsidRDefault="00140EFF" w:rsidP="009602C8">
      <w:pPr>
        <w:pStyle w:val="Heading2"/>
      </w:pPr>
      <w:bookmarkStart w:id="19" w:name="_Toc234920433"/>
      <w:r w:rsidRPr="00140EFF">
        <w:t>6.0 Conclusion</w:t>
      </w:r>
      <w:bookmarkEnd w:id="19"/>
    </w:p>
    <w:p w14:paraId="36FFF023" w14:textId="77777777" w:rsidR="009602C8" w:rsidRPr="009602C8"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Smart dispensers and alerts are contributing to a significant digital transformation in health and social care with improvements in the workforce, delivery of services, patients, and the community at large (Welsh Government 2026; Life Sciences Hub Wales 2026; What does the literature say about using electronic pillboxes for older adults? 2024).</w:t>
      </w:r>
    </w:p>
    <w:p w14:paraId="13AC3CF1" w14:textId="77777777" w:rsidR="009602C8" w:rsidRPr="009602C8"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 xml:space="preserve">In terms of the workforce, digital transformation is moving pharmacists into new technology-enabled jobs that are </w:t>
      </w:r>
      <w:proofErr w:type="spellStart"/>
      <w:r w:rsidRPr="009602C8">
        <w:rPr>
          <w:rFonts w:ascii="Times New Roman" w:hAnsi="Times New Roman"/>
          <w:color w:val="0F1115"/>
        </w:rPr>
        <w:t>centered</w:t>
      </w:r>
      <w:proofErr w:type="spellEnd"/>
      <w:r w:rsidRPr="009602C8">
        <w:rPr>
          <w:rFonts w:ascii="Times New Roman" w:hAnsi="Times New Roman"/>
          <w:color w:val="0F1115"/>
        </w:rPr>
        <w:t xml:space="preserve"> on the patients (Pharmacy Times 2026; NHS England 2026). As far as service delivery goes, the shift moves from a reactive and visit-driven approach to an active and continuous monitoring one (</w:t>
      </w:r>
      <w:proofErr w:type="spellStart"/>
      <w:r w:rsidRPr="009602C8">
        <w:rPr>
          <w:rFonts w:ascii="Times New Roman" w:hAnsi="Times New Roman"/>
          <w:color w:val="0F1115"/>
        </w:rPr>
        <w:t>Gargioni</w:t>
      </w:r>
      <w:proofErr w:type="spellEnd"/>
      <w:r w:rsidRPr="009602C8">
        <w:rPr>
          <w:rFonts w:ascii="Times New Roman" w:hAnsi="Times New Roman"/>
          <w:color w:val="0F1115"/>
        </w:rPr>
        <w:t>, Fogli and Baroni 2024). The patients benefit in terms of adherence, autonomy, and improved well-being, although usability and the digital divide are still the challenges (</w:t>
      </w:r>
      <w:proofErr w:type="spellStart"/>
      <w:r w:rsidRPr="009602C8">
        <w:rPr>
          <w:rFonts w:ascii="Times New Roman" w:hAnsi="Times New Roman"/>
          <w:color w:val="0F1115"/>
        </w:rPr>
        <w:t>Salmensuu</w:t>
      </w:r>
      <w:proofErr w:type="spellEnd"/>
      <w:r w:rsidRPr="009602C8">
        <w:rPr>
          <w:rFonts w:ascii="Times New Roman" w:hAnsi="Times New Roman"/>
          <w:color w:val="0F1115"/>
        </w:rPr>
        <w:t xml:space="preserve"> et al. 2026; Older adults' preferences for medication </w:t>
      </w:r>
      <w:r w:rsidRPr="009602C8">
        <w:rPr>
          <w:rFonts w:ascii="Times New Roman" w:hAnsi="Times New Roman"/>
          <w:color w:val="0F1115"/>
        </w:rPr>
        <w:lastRenderedPageBreak/>
        <w:t>adherence tech 2025). Community-based care and other public health impacts can be achieved, although equity and sustainability are issues.</w:t>
      </w:r>
    </w:p>
    <w:p w14:paraId="580A2DC5" w14:textId="55BB1311" w:rsidR="00140EFF" w:rsidRPr="00140EFF"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On the other hand, several limitations have been demonstrated by the research: accuracy of the device varies and sensitivity from 25% to 99% was found (The performance of digital technologies for measuring tuberculosis medication adherence 2024). The results vary and are susceptible to bias, so additional studies on reliability are required (Waqas et al. 2026). Usability by older adults, integration, and cost are the barriers to utilization of the technology (</w:t>
      </w:r>
      <w:proofErr w:type="spellStart"/>
      <w:r w:rsidRPr="009602C8">
        <w:rPr>
          <w:rFonts w:ascii="Times New Roman" w:hAnsi="Times New Roman"/>
          <w:color w:val="0F1115"/>
        </w:rPr>
        <w:t>Gargioni</w:t>
      </w:r>
      <w:proofErr w:type="spellEnd"/>
      <w:r w:rsidRPr="009602C8">
        <w:rPr>
          <w:rFonts w:ascii="Times New Roman" w:hAnsi="Times New Roman"/>
          <w:color w:val="0F1115"/>
        </w:rPr>
        <w:t>, Fogli and Baroni 2024).</w:t>
      </w:r>
      <w:r>
        <w:rPr>
          <w:rFonts w:ascii="Times New Roman" w:hAnsi="Times New Roman"/>
          <w:color w:val="0F1115"/>
        </w:rPr>
        <w:t xml:space="preserve"> </w:t>
      </w:r>
      <w:r w:rsidRPr="009602C8">
        <w:rPr>
          <w:rFonts w:ascii="Times New Roman" w:hAnsi="Times New Roman"/>
          <w:color w:val="0F1115"/>
        </w:rPr>
        <w:t>There is a need for scalable and person-</w:t>
      </w:r>
      <w:proofErr w:type="spellStart"/>
      <w:r w:rsidRPr="009602C8">
        <w:rPr>
          <w:rFonts w:ascii="Times New Roman" w:hAnsi="Times New Roman"/>
          <w:color w:val="0F1115"/>
        </w:rPr>
        <w:t>centered</w:t>
      </w:r>
      <w:proofErr w:type="spellEnd"/>
      <w:r w:rsidRPr="009602C8">
        <w:rPr>
          <w:rFonts w:ascii="Times New Roman" w:hAnsi="Times New Roman"/>
          <w:color w:val="0F1115"/>
        </w:rPr>
        <w:t xml:space="preserve"> models of digital transformation. Smart dispensers and adherence alerts present such an example connected to quality and value. Replication is necessary to make sure of accessibility, equity, and responsiveness to needs of the individual. Future research should </w:t>
      </w:r>
      <w:proofErr w:type="spellStart"/>
      <w:r w:rsidRPr="009602C8">
        <w:rPr>
          <w:rFonts w:ascii="Times New Roman" w:hAnsi="Times New Roman"/>
          <w:color w:val="0F1115"/>
        </w:rPr>
        <w:t>center</w:t>
      </w:r>
      <w:proofErr w:type="spellEnd"/>
      <w:r w:rsidRPr="009602C8">
        <w:rPr>
          <w:rFonts w:ascii="Times New Roman" w:hAnsi="Times New Roman"/>
          <w:color w:val="0F1115"/>
        </w:rPr>
        <w:t xml:space="preserve"> around acceptability and implementation of the tools by target populations (Effectiveness of Mobile Health Intervention in Medication Adherence 2025).</w:t>
      </w:r>
    </w:p>
    <w:p w14:paraId="198AC9CB" w14:textId="3F97F3B3" w:rsidR="00140EFF" w:rsidRPr="00140EFF" w:rsidRDefault="00140EFF" w:rsidP="00140EFF">
      <w:pPr>
        <w:pStyle w:val="NoSpacing"/>
        <w:spacing w:line="360" w:lineRule="auto"/>
        <w:jc w:val="both"/>
        <w:rPr>
          <w:rFonts w:ascii="Times New Roman" w:hAnsi="Times New Roman"/>
          <w:color w:val="0F1115"/>
        </w:rPr>
      </w:pPr>
    </w:p>
    <w:p w14:paraId="5164F320" w14:textId="77777777" w:rsidR="009602C8" w:rsidRDefault="009602C8">
      <w:pPr>
        <w:spacing w:after="0" w:line="240" w:lineRule="auto"/>
        <w:rPr>
          <w:rFonts w:ascii="Times New Roman" w:hAnsi="Times New Roman"/>
          <w:color w:val="0F1115"/>
        </w:rPr>
      </w:pPr>
      <w:r>
        <w:rPr>
          <w:rFonts w:ascii="Times New Roman" w:hAnsi="Times New Roman"/>
          <w:color w:val="0F1115"/>
        </w:rPr>
        <w:br w:type="page"/>
      </w:r>
    </w:p>
    <w:p w14:paraId="7C6C2172" w14:textId="04D74454" w:rsidR="00140EFF" w:rsidRPr="00140EFF" w:rsidRDefault="00140EFF" w:rsidP="00015AAE">
      <w:pPr>
        <w:pStyle w:val="Heading2"/>
      </w:pPr>
      <w:r w:rsidRPr="00140EFF">
        <w:lastRenderedPageBreak/>
        <w:t>7.0 References</w:t>
      </w:r>
    </w:p>
    <w:p w14:paraId="7BDB3F93"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Drug Topics (2026) 'Q&amp;A: How AI Is Reshaping the Pharmacist's Role in Medication Safety', </w:t>
      </w:r>
    </w:p>
    <w:p w14:paraId="7E36EE0D" w14:textId="2166B284"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Drug Topics, 10 July. Available at: https://www.drugtopics.com (Accessed: 12 July 2026).</w:t>
      </w:r>
    </w:p>
    <w:p w14:paraId="6312E513"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Effectiveness of Mobile Health Intervention in Medication Adherence: </w:t>
      </w:r>
      <w:proofErr w:type="gramStart"/>
      <w:r w:rsidRPr="00FC4845">
        <w:rPr>
          <w:rFonts w:ascii="Times New Roman" w:hAnsi="Times New Roman"/>
        </w:rPr>
        <w:t>a</w:t>
      </w:r>
      <w:proofErr w:type="gramEnd"/>
      <w:r w:rsidRPr="00FC4845">
        <w:rPr>
          <w:rFonts w:ascii="Times New Roman" w:hAnsi="Times New Roman"/>
        </w:rPr>
        <w:t xml:space="preserve"> Systematic Review </w:t>
      </w:r>
    </w:p>
    <w:p w14:paraId="1C575BBD" w14:textId="1D766BD1"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and Meta-Analysis (2025) Journal of Medical Systems, 49, article number 13. doi:10.1007/s10916-024-02135-2.</w:t>
      </w:r>
    </w:p>
    <w:p w14:paraId="37896441"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From Digitisation to Transformation: Modernising Medication Safety for the Digital Age </w:t>
      </w:r>
    </w:p>
    <w:p w14:paraId="5E67349B" w14:textId="06F6723E" w:rsidR="00FC4845" w:rsidRPr="00FC4845" w:rsidRDefault="00FC4845" w:rsidP="00FC4845">
      <w:pPr>
        <w:pStyle w:val="NoSpacing"/>
        <w:spacing w:line="360" w:lineRule="auto"/>
        <w:ind w:firstLine="720"/>
        <w:jc w:val="both"/>
        <w:rPr>
          <w:rFonts w:ascii="Times New Roman" w:hAnsi="Times New Roman"/>
        </w:rPr>
      </w:pPr>
      <w:r w:rsidRPr="00FC4845">
        <w:rPr>
          <w:rFonts w:ascii="Times New Roman" w:hAnsi="Times New Roman"/>
        </w:rPr>
        <w:t>(2025) Wiley Online Library, 3 November. doi:10.1111/meds.12987.</w:t>
      </w:r>
    </w:p>
    <w:p w14:paraId="1BFF35E0" w14:textId="77777777" w:rsidR="00FC4845" w:rsidRDefault="00FC4845" w:rsidP="00FC4845">
      <w:pPr>
        <w:pStyle w:val="NoSpacing"/>
        <w:spacing w:line="360" w:lineRule="auto"/>
        <w:jc w:val="both"/>
        <w:rPr>
          <w:rFonts w:ascii="Times New Roman" w:hAnsi="Times New Roman"/>
        </w:rPr>
      </w:pPr>
      <w:proofErr w:type="spellStart"/>
      <w:r w:rsidRPr="00FC4845">
        <w:rPr>
          <w:rFonts w:ascii="Times New Roman" w:hAnsi="Times New Roman"/>
        </w:rPr>
        <w:t>Gargioni</w:t>
      </w:r>
      <w:proofErr w:type="spellEnd"/>
      <w:r w:rsidRPr="00FC4845">
        <w:rPr>
          <w:rFonts w:ascii="Times New Roman" w:hAnsi="Times New Roman"/>
        </w:rPr>
        <w:t xml:space="preserve">, L., Fogli, D. and Baroni, P. (2024) 'A Systematic Review on Pill and Medication </w:t>
      </w:r>
    </w:p>
    <w:p w14:paraId="3859FB12" w14:textId="43BF4678"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Dispensers from a Human-</w:t>
      </w:r>
      <w:proofErr w:type="spellStart"/>
      <w:r w:rsidRPr="00FC4845">
        <w:rPr>
          <w:rFonts w:ascii="Times New Roman" w:hAnsi="Times New Roman"/>
        </w:rPr>
        <w:t>Centered</w:t>
      </w:r>
      <w:proofErr w:type="spellEnd"/>
      <w:r w:rsidRPr="00FC4845">
        <w:rPr>
          <w:rFonts w:ascii="Times New Roman" w:hAnsi="Times New Roman"/>
        </w:rPr>
        <w:t xml:space="preserve"> Perspective', Journal of Healthcare Informatics Research, 8, pp. 244-285. doi:10.1007/s41666-024-00161-w.</w:t>
      </w:r>
    </w:p>
    <w:p w14:paraId="30180E2E"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Health Management (2025) 'Medication Adherence Prediction: Potential Implications for </w:t>
      </w:r>
    </w:p>
    <w:p w14:paraId="6F01B66E" w14:textId="3D819AAF"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Medicines Wastage', Health Management, 22 August. Available at: https://healthmanagement.org (Accessed: 12 July 2026).</w:t>
      </w:r>
    </w:p>
    <w:p w14:paraId="69CFE7EE" w14:textId="5FF167BE"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Homecare Association (2025) '£1 </w:t>
      </w:r>
      <w:r w:rsidR="0026297E" w:rsidRPr="00FC4845">
        <w:rPr>
          <w:rFonts w:ascii="Times New Roman" w:hAnsi="Times New Roman"/>
        </w:rPr>
        <w:t>billion</w:t>
      </w:r>
      <w:r w:rsidRPr="00FC4845">
        <w:rPr>
          <w:rFonts w:ascii="Times New Roman" w:hAnsi="Times New Roman"/>
        </w:rPr>
        <w:t xml:space="preserve"> a Year Lost to Missed Pills - Homecare Holds the </w:t>
      </w:r>
    </w:p>
    <w:p w14:paraId="2FC09272" w14:textId="086D728B"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Key', Homecare Association, 8 September. Available at: https://www.homecareassociation.org.uk (Accessed: 12 July 2026).</w:t>
      </w:r>
    </w:p>
    <w:p w14:paraId="1CA9F108"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Key Features of Smart Medication Adherence Products: Updated Scoping Review (2023) </w:t>
      </w:r>
    </w:p>
    <w:p w14:paraId="09BEFC41" w14:textId="68018075"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PMC, 19 December. Available at: https://pmc.ncbi.nlm.nih.gov (Accessed: 12 July 2026).</w:t>
      </w:r>
    </w:p>
    <w:p w14:paraId="48E34E8A"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Life Sciences Hub Wales (2026) 'Digital medication management devices transform safety and </w:t>
      </w:r>
    </w:p>
    <w:p w14:paraId="7EDFFF1C" w14:textId="3E90824B"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independence in Bridgend', Life Sciences Hub Wales, 17 March. Available at: https://lshubwales.com (Accessed: 12 July 2026).</w:t>
      </w:r>
    </w:p>
    <w:p w14:paraId="392C593A"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NHS England (2026) 'Digital Medicines Programme', NHS England. Available at: </w:t>
      </w:r>
    </w:p>
    <w:p w14:paraId="724AC988" w14:textId="7F27E941" w:rsidR="00FC4845" w:rsidRPr="00FC4845" w:rsidRDefault="00FC4845" w:rsidP="00FC4845">
      <w:pPr>
        <w:pStyle w:val="NoSpacing"/>
        <w:spacing w:line="360" w:lineRule="auto"/>
        <w:ind w:firstLine="720"/>
        <w:jc w:val="both"/>
        <w:rPr>
          <w:rFonts w:ascii="Times New Roman" w:hAnsi="Times New Roman"/>
        </w:rPr>
      </w:pPr>
      <w:r w:rsidRPr="00FC4845">
        <w:rPr>
          <w:rFonts w:ascii="Times New Roman" w:hAnsi="Times New Roman"/>
        </w:rPr>
        <w:t>https://www.england.nhs.uk (Accessed: 12 July 2026).</w:t>
      </w:r>
    </w:p>
    <w:p w14:paraId="2A5F5DD7"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Older adults' preferences for features of medication adherence technologies: a preference </w:t>
      </w:r>
    </w:p>
    <w:p w14:paraId="3A226A0E" w14:textId="7567CE39"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elicitation study (2025) BMC Digital Health, 23 November. doi:10.1186/s44247-025-00189-7.</w:t>
      </w:r>
    </w:p>
    <w:p w14:paraId="57777BA4"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Personalized adherence interventions using medication adherence technologies in </w:t>
      </w:r>
    </w:p>
    <w:p w14:paraId="554B7A78" w14:textId="330B66E7"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polypharmacy management in epilepsy: An interprofessional case report (2025) PubMed, 7 April. Available at: https://pubmed.ncbi.nlm.nih.gov (Accessed: 12 July 2026).</w:t>
      </w:r>
    </w:p>
    <w:p w14:paraId="2F08F4F5"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lastRenderedPageBreak/>
        <w:t xml:space="preserve">Pharmacy Congress (2026) 'Pharmacy Technician led implementation of </w:t>
      </w:r>
      <w:proofErr w:type="spellStart"/>
      <w:r w:rsidRPr="00FC4845">
        <w:rPr>
          <w:rFonts w:ascii="Times New Roman" w:hAnsi="Times New Roman"/>
        </w:rPr>
        <w:t>ePMA</w:t>
      </w:r>
      <w:proofErr w:type="spellEnd"/>
      <w:r w:rsidRPr="00FC4845">
        <w:rPr>
          <w:rFonts w:ascii="Times New Roman" w:hAnsi="Times New Roman"/>
        </w:rPr>
        <w:t xml:space="preserve">', Pharmacy </w:t>
      </w:r>
    </w:p>
    <w:p w14:paraId="4BA63033" w14:textId="1DCF269C"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Congress, 8 May. Available at: https://www.pharmacycongress.co.uk (Accessed: 12 July 2026).</w:t>
      </w:r>
    </w:p>
    <w:p w14:paraId="7D7EB2A8"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Pharmacy Times (2026) 'Technology in the Classroom Helps Shape Tomorrow's Pharmacy </w:t>
      </w:r>
    </w:p>
    <w:p w14:paraId="4193EFDD" w14:textId="1BD96184"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Leaders', Pharmacy Times, 2 July. Available at: https://www.pharmacytimes.com (Accessed: 12 July 2026).</w:t>
      </w:r>
    </w:p>
    <w:p w14:paraId="575932D8" w14:textId="77777777" w:rsidR="00FC4845" w:rsidRDefault="00FC4845" w:rsidP="00FC4845">
      <w:pPr>
        <w:pStyle w:val="NoSpacing"/>
        <w:spacing w:line="360" w:lineRule="auto"/>
        <w:jc w:val="both"/>
        <w:rPr>
          <w:rFonts w:ascii="Times New Roman" w:hAnsi="Times New Roman"/>
        </w:rPr>
      </w:pPr>
      <w:proofErr w:type="spellStart"/>
      <w:r w:rsidRPr="00FC4845">
        <w:rPr>
          <w:rFonts w:ascii="Times New Roman" w:hAnsi="Times New Roman"/>
        </w:rPr>
        <w:t>Salmensuu</w:t>
      </w:r>
      <w:proofErr w:type="spellEnd"/>
      <w:r w:rsidRPr="00FC4845">
        <w:rPr>
          <w:rFonts w:ascii="Times New Roman" w:hAnsi="Times New Roman"/>
        </w:rPr>
        <w:t xml:space="preserve">, O., Isotalo, J., </w:t>
      </w:r>
      <w:proofErr w:type="spellStart"/>
      <w:r w:rsidRPr="00FC4845">
        <w:rPr>
          <w:rFonts w:ascii="Times New Roman" w:hAnsi="Times New Roman"/>
        </w:rPr>
        <w:t>Rijken</w:t>
      </w:r>
      <w:proofErr w:type="spellEnd"/>
      <w:r w:rsidRPr="00FC4845">
        <w:rPr>
          <w:rFonts w:ascii="Times New Roman" w:hAnsi="Times New Roman"/>
        </w:rPr>
        <w:t xml:space="preserve">, M., Hyttinen-Huotari, V., Kaarakainen, M. and </w:t>
      </w:r>
      <w:proofErr w:type="spellStart"/>
      <w:r w:rsidRPr="00FC4845">
        <w:rPr>
          <w:rFonts w:ascii="Times New Roman" w:hAnsi="Times New Roman"/>
        </w:rPr>
        <w:t>Linnosmaa</w:t>
      </w:r>
      <w:proofErr w:type="spellEnd"/>
      <w:r w:rsidRPr="00FC4845">
        <w:rPr>
          <w:rFonts w:ascii="Times New Roman" w:hAnsi="Times New Roman"/>
        </w:rPr>
        <w:t xml:space="preserve">, </w:t>
      </w:r>
    </w:p>
    <w:p w14:paraId="6365DB3B" w14:textId="601D191C"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I. (2026) 'Effects of using medication reminder technologies by home-dwelling older citizens: a systematic review', Age and Ageing, 55(2), afag007. doi:10.1093/ageing/afag007.</w:t>
      </w:r>
    </w:p>
    <w:p w14:paraId="6DE22134"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The performance of digital technologies for measuring tuberculosis medication adherence: a </w:t>
      </w:r>
    </w:p>
    <w:p w14:paraId="5598607E" w14:textId="140062FC"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systematic review (2024) BMJ Global Health, 16 July. doi:10.1136/bmjgh-2024-015678.</w:t>
      </w:r>
    </w:p>
    <w:p w14:paraId="2831AAFA"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Waqas, R., Kaur, K., Sadia, H. et al. (2026) 'AI-Enabled or Digitally Augmented Adherence </w:t>
      </w:r>
    </w:p>
    <w:p w14:paraId="51BA977E" w14:textId="5B3C0250"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 xml:space="preserve">Systems for Chronic Care: Smart Pillboxes and Personalized Medication Reminders', </w:t>
      </w:r>
      <w:proofErr w:type="spellStart"/>
      <w:r w:rsidRPr="00FC4845">
        <w:rPr>
          <w:rFonts w:ascii="Times New Roman" w:hAnsi="Times New Roman"/>
        </w:rPr>
        <w:t>Cureus</w:t>
      </w:r>
      <w:proofErr w:type="spellEnd"/>
      <w:r w:rsidRPr="00FC4845">
        <w:rPr>
          <w:rFonts w:ascii="Times New Roman" w:hAnsi="Times New Roman"/>
        </w:rPr>
        <w:t>, 18(5), e108180. doi:10.7759/cureus.108180.</w:t>
      </w:r>
    </w:p>
    <w:p w14:paraId="599F657E"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Welsh Government (2026) 'Digital dispensers helping older people remain independent in </w:t>
      </w:r>
      <w:proofErr w:type="gramStart"/>
      <w:r w:rsidRPr="00FC4845">
        <w:rPr>
          <w:rFonts w:ascii="Times New Roman" w:hAnsi="Times New Roman"/>
        </w:rPr>
        <w:t>their</w:t>
      </w:r>
      <w:proofErr w:type="gramEnd"/>
      <w:r w:rsidRPr="00FC4845">
        <w:rPr>
          <w:rFonts w:ascii="Times New Roman" w:hAnsi="Times New Roman"/>
        </w:rPr>
        <w:t xml:space="preserve"> </w:t>
      </w:r>
    </w:p>
    <w:p w14:paraId="7E528ED1" w14:textId="75F52BD4" w:rsidR="00FC4845" w:rsidRPr="00FC4845" w:rsidRDefault="00FC4845" w:rsidP="00FC4845">
      <w:pPr>
        <w:pStyle w:val="NoSpacing"/>
        <w:spacing w:line="360" w:lineRule="auto"/>
        <w:ind w:firstLine="720"/>
        <w:jc w:val="both"/>
        <w:rPr>
          <w:rFonts w:ascii="Times New Roman" w:hAnsi="Times New Roman"/>
        </w:rPr>
      </w:pPr>
      <w:r w:rsidRPr="00FC4845">
        <w:rPr>
          <w:rFonts w:ascii="Times New Roman" w:hAnsi="Times New Roman"/>
        </w:rPr>
        <w:t>July 2026).</w:t>
      </w:r>
    </w:p>
    <w:p w14:paraId="7F112F58"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What does the literature say about using electronic pillboxes for older adults? A systematic </w:t>
      </w:r>
    </w:p>
    <w:p w14:paraId="63857A30" w14:textId="6D876A98" w:rsidR="008375B5" w:rsidRPr="00140EFF" w:rsidRDefault="00FC4845" w:rsidP="00FC4845">
      <w:pPr>
        <w:pStyle w:val="NoSpacing"/>
        <w:spacing w:line="360" w:lineRule="auto"/>
        <w:ind w:left="720"/>
        <w:jc w:val="both"/>
        <w:rPr>
          <w:rFonts w:ascii="Times New Roman" w:hAnsi="Times New Roman"/>
        </w:rPr>
      </w:pPr>
      <w:r w:rsidRPr="00FC4845">
        <w:rPr>
          <w:rFonts w:ascii="Times New Roman" w:hAnsi="Times New Roman"/>
        </w:rPr>
        <w:t xml:space="preserve">literature review (2024) </w:t>
      </w:r>
      <w:proofErr w:type="spellStart"/>
      <w:r w:rsidRPr="00FC4845">
        <w:rPr>
          <w:rFonts w:ascii="Times New Roman" w:hAnsi="Times New Roman"/>
        </w:rPr>
        <w:t>Repositorio</w:t>
      </w:r>
      <w:proofErr w:type="spellEnd"/>
      <w:r w:rsidRPr="00FC4845">
        <w:rPr>
          <w:rFonts w:ascii="Times New Roman" w:hAnsi="Times New Roman"/>
        </w:rPr>
        <w:t xml:space="preserve"> </w:t>
      </w:r>
      <w:proofErr w:type="spellStart"/>
      <w:r w:rsidRPr="00FC4845">
        <w:rPr>
          <w:rFonts w:ascii="Times New Roman" w:hAnsi="Times New Roman"/>
        </w:rPr>
        <w:t>Escuelaing</w:t>
      </w:r>
      <w:proofErr w:type="spellEnd"/>
      <w:r w:rsidRPr="00FC4845">
        <w:rPr>
          <w:rFonts w:ascii="Times New Roman" w:hAnsi="Times New Roman"/>
        </w:rPr>
        <w:t>, 2 November. Available at: https://repositorio.escuelaing.edu.co (Accessed: 12 July 2026).</w:t>
      </w:r>
    </w:p>
    <w:sectPr w:rsidR="008375B5" w:rsidRPr="00140EFF" w:rsidSect="008375B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8221BE" w14:textId="77777777" w:rsidR="00283B76" w:rsidRDefault="00283B76" w:rsidP="008375B5">
      <w:pPr>
        <w:spacing w:after="0" w:line="240" w:lineRule="auto"/>
      </w:pPr>
      <w:r>
        <w:separator/>
      </w:r>
    </w:p>
  </w:endnote>
  <w:endnote w:type="continuationSeparator" w:id="0">
    <w:p w14:paraId="243B5C8D" w14:textId="77777777" w:rsidR="00283B76" w:rsidRDefault="00283B76"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A0FF8A" w14:textId="77777777" w:rsidR="00283B76" w:rsidRDefault="00283B76" w:rsidP="008375B5">
      <w:pPr>
        <w:spacing w:after="0" w:line="240" w:lineRule="auto"/>
      </w:pPr>
      <w:r>
        <w:separator/>
      </w:r>
    </w:p>
  </w:footnote>
  <w:footnote w:type="continuationSeparator" w:id="0">
    <w:p w14:paraId="7F99C9B0" w14:textId="77777777" w:rsidR="00283B76" w:rsidRDefault="00283B76"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5AAE"/>
    <w:rsid w:val="00093BB7"/>
    <w:rsid w:val="00140EFF"/>
    <w:rsid w:val="00255D51"/>
    <w:rsid w:val="0026297E"/>
    <w:rsid w:val="00283B76"/>
    <w:rsid w:val="004D51B4"/>
    <w:rsid w:val="005103EA"/>
    <w:rsid w:val="0058254B"/>
    <w:rsid w:val="0064646E"/>
    <w:rsid w:val="00792154"/>
    <w:rsid w:val="007F5726"/>
    <w:rsid w:val="008233FB"/>
    <w:rsid w:val="008265EC"/>
    <w:rsid w:val="008375B5"/>
    <w:rsid w:val="008E31E6"/>
    <w:rsid w:val="009334D8"/>
    <w:rsid w:val="009602C8"/>
    <w:rsid w:val="00987802"/>
    <w:rsid w:val="00A34DC0"/>
    <w:rsid w:val="00A875D4"/>
    <w:rsid w:val="00A9474F"/>
    <w:rsid w:val="00AB764F"/>
    <w:rsid w:val="00AC2DCE"/>
    <w:rsid w:val="00AC3FDE"/>
    <w:rsid w:val="00C67617"/>
    <w:rsid w:val="00C80D0F"/>
    <w:rsid w:val="00D40915"/>
    <w:rsid w:val="00DB12D9"/>
    <w:rsid w:val="00E5516F"/>
    <w:rsid w:val="00EB7D82"/>
    <w:rsid w:val="00F81433"/>
    <w:rsid w:val="00FC48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Spacing"/>
    <w:next w:val="Normal"/>
    <w:link w:val="Heading1Char"/>
    <w:autoRedefine/>
    <w:uiPriority w:val="9"/>
    <w:qFormat/>
    <w:rsid w:val="00140EFF"/>
    <w:pPr>
      <w:jc w:val="center"/>
      <w:outlineLvl w:val="0"/>
    </w:pPr>
    <w:rPr>
      <w:rFonts w:ascii="Times New Roman" w:hAnsi="Times New Roman"/>
      <w:b/>
    </w:rPr>
  </w:style>
  <w:style w:type="paragraph" w:styleId="Heading2">
    <w:name w:val="heading 2"/>
    <w:basedOn w:val="Heading1"/>
    <w:next w:val="Normal"/>
    <w:link w:val="Heading2Char"/>
    <w:autoRedefine/>
    <w:uiPriority w:val="9"/>
    <w:unhideWhenUsed/>
    <w:qFormat/>
    <w:rsid w:val="00140EFF"/>
    <w:pPr>
      <w:jc w:val="both"/>
      <w:outlineLvl w:val="1"/>
    </w:p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40EFF"/>
    <w:rPr>
      <w:rFonts w:ascii="Times New Roman" w:hAnsi="Times New Roman"/>
      <w:b/>
      <w:kern w:val="2"/>
      <w:sz w:val="24"/>
      <w:szCs w:val="24"/>
      <w:lang w:eastAsia="en-US"/>
    </w:rPr>
  </w:style>
  <w:style w:type="character" w:customStyle="1" w:styleId="Heading2Char">
    <w:name w:val="Heading 2 Char"/>
    <w:link w:val="Heading2"/>
    <w:uiPriority w:val="9"/>
    <w:rsid w:val="00140EFF"/>
    <w:rPr>
      <w:rFonts w:ascii="Times New Roman" w:hAnsi="Times New Roman"/>
      <w:b/>
      <w:kern w:val="2"/>
      <w:sz w:val="24"/>
      <w:szCs w:val="24"/>
      <w:lang w:eastAsia="en-US"/>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customStyle="1" w:styleId="ds-markdown-paragraph">
    <w:name w:val="ds-markdown-paragraph"/>
    <w:basedOn w:val="Normal"/>
    <w:rsid w:val="00140EFF"/>
    <w:pPr>
      <w:spacing w:before="100" w:beforeAutospacing="1" w:after="100" w:afterAutospacing="1" w:line="240" w:lineRule="auto"/>
    </w:pPr>
    <w:rPr>
      <w:rFonts w:ascii="Times New Roman" w:eastAsia="Times New Roman" w:hAnsi="Times New Roman"/>
      <w:kern w:val="0"/>
      <w:lang w:eastAsia="en-GB"/>
    </w:rPr>
  </w:style>
  <w:style w:type="character" w:styleId="Emphasis">
    <w:name w:val="Emphasis"/>
    <w:basedOn w:val="DefaultParagraphFont"/>
    <w:uiPriority w:val="20"/>
    <w:qFormat/>
    <w:rsid w:val="00140EFF"/>
    <w:rPr>
      <w:i/>
      <w:iCs/>
    </w:rPr>
  </w:style>
  <w:style w:type="character" w:styleId="Hyperlink">
    <w:name w:val="Hyperlink"/>
    <w:basedOn w:val="DefaultParagraphFont"/>
    <w:uiPriority w:val="99"/>
    <w:unhideWhenUsed/>
    <w:rsid w:val="00140EFF"/>
    <w:rPr>
      <w:color w:val="0000FF"/>
      <w:u w:val="single"/>
    </w:rPr>
  </w:style>
  <w:style w:type="paragraph" w:styleId="NoSpacing">
    <w:name w:val="No Spacing"/>
    <w:uiPriority w:val="1"/>
    <w:qFormat/>
    <w:rsid w:val="00140EFF"/>
    <w:rPr>
      <w:kern w:val="2"/>
      <w:sz w:val="24"/>
      <w:szCs w:val="24"/>
      <w:lang w:eastAsia="en-US"/>
    </w:rPr>
  </w:style>
  <w:style w:type="paragraph" w:styleId="TOCHeading">
    <w:name w:val="TOC Heading"/>
    <w:basedOn w:val="Heading1"/>
    <w:next w:val="Normal"/>
    <w:uiPriority w:val="39"/>
    <w:unhideWhenUsed/>
    <w:qFormat/>
    <w:rsid w:val="00F81433"/>
    <w:pPr>
      <w:keepNext/>
      <w:keepLines/>
      <w:spacing w:before="480" w:line="276" w:lineRule="auto"/>
      <w:jc w:val="left"/>
      <w:outlineLvl w:val="9"/>
    </w:pPr>
    <w:rPr>
      <w:rFonts w:asciiTheme="majorHAnsi" w:eastAsiaTheme="majorEastAsia" w:hAnsiTheme="majorHAnsi" w:cstheme="majorBidi"/>
      <w:bCs/>
      <w:color w:val="0F4761" w:themeColor="accent1" w:themeShade="BF"/>
      <w:kern w:val="0"/>
      <w:sz w:val="28"/>
      <w:szCs w:val="28"/>
      <w:lang w:val="en-US"/>
    </w:rPr>
  </w:style>
  <w:style w:type="paragraph" w:styleId="TOC2">
    <w:name w:val="toc 2"/>
    <w:basedOn w:val="Normal"/>
    <w:next w:val="Normal"/>
    <w:autoRedefine/>
    <w:uiPriority w:val="39"/>
    <w:unhideWhenUsed/>
    <w:rsid w:val="00F81433"/>
    <w:pPr>
      <w:spacing w:after="0"/>
    </w:pPr>
    <w:rPr>
      <w:rFonts w:asciiTheme="minorHAnsi" w:hAnsiTheme="minorHAnsi"/>
      <w:b/>
      <w:bCs/>
      <w:smallCaps/>
      <w:sz w:val="22"/>
      <w:szCs w:val="22"/>
    </w:rPr>
  </w:style>
  <w:style w:type="paragraph" w:styleId="TOC1">
    <w:name w:val="toc 1"/>
    <w:basedOn w:val="Normal"/>
    <w:next w:val="Normal"/>
    <w:autoRedefine/>
    <w:uiPriority w:val="39"/>
    <w:semiHidden/>
    <w:unhideWhenUsed/>
    <w:rsid w:val="00F81433"/>
    <w:pPr>
      <w:spacing w:before="360" w:after="360"/>
    </w:pPr>
    <w:rPr>
      <w:rFonts w:asciiTheme="minorHAnsi" w:hAnsiTheme="minorHAnsi"/>
      <w:b/>
      <w:bCs/>
      <w:caps/>
      <w:sz w:val="22"/>
      <w:szCs w:val="22"/>
      <w:u w:val="single"/>
    </w:rPr>
  </w:style>
  <w:style w:type="paragraph" w:styleId="TOC3">
    <w:name w:val="toc 3"/>
    <w:basedOn w:val="Normal"/>
    <w:next w:val="Normal"/>
    <w:autoRedefine/>
    <w:uiPriority w:val="39"/>
    <w:semiHidden/>
    <w:unhideWhenUsed/>
    <w:rsid w:val="00F81433"/>
    <w:pPr>
      <w:spacing w:after="0"/>
    </w:pPr>
    <w:rPr>
      <w:rFonts w:asciiTheme="minorHAnsi" w:hAnsiTheme="minorHAnsi"/>
      <w:smallCaps/>
      <w:sz w:val="22"/>
      <w:szCs w:val="22"/>
    </w:rPr>
  </w:style>
  <w:style w:type="paragraph" w:styleId="TOC4">
    <w:name w:val="toc 4"/>
    <w:basedOn w:val="Normal"/>
    <w:next w:val="Normal"/>
    <w:autoRedefine/>
    <w:uiPriority w:val="39"/>
    <w:semiHidden/>
    <w:unhideWhenUsed/>
    <w:rsid w:val="00F81433"/>
    <w:pPr>
      <w:spacing w:after="0"/>
    </w:pPr>
    <w:rPr>
      <w:rFonts w:asciiTheme="minorHAnsi" w:hAnsiTheme="minorHAnsi"/>
      <w:sz w:val="22"/>
      <w:szCs w:val="22"/>
    </w:rPr>
  </w:style>
  <w:style w:type="paragraph" w:styleId="TOC5">
    <w:name w:val="toc 5"/>
    <w:basedOn w:val="Normal"/>
    <w:next w:val="Normal"/>
    <w:autoRedefine/>
    <w:uiPriority w:val="39"/>
    <w:semiHidden/>
    <w:unhideWhenUsed/>
    <w:rsid w:val="00F81433"/>
    <w:pPr>
      <w:spacing w:after="0"/>
    </w:pPr>
    <w:rPr>
      <w:rFonts w:asciiTheme="minorHAnsi" w:hAnsiTheme="minorHAnsi"/>
      <w:sz w:val="22"/>
      <w:szCs w:val="22"/>
    </w:rPr>
  </w:style>
  <w:style w:type="paragraph" w:styleId="TOC6">
    <w:name w:val="toc 6"/>
    <w:basedOn w:val="Normal"/>
    <w:next w:val="Normal"/>
    <w:autoRedefine/>
    <w:uiPriority w:val="39"/>
    <w:semiHidden/>
    <w:unhideWhenUsed/>
    <w:rsid w:val="00F81433"/>
    <w:pPr>
      <w:spacing w:after="0"/>
    </w:pPr>
    <w:rPr>
      <w:rFonts w:asciiTheme="minorHAnsi" w:hAnsiTheme="minorHAnsi"/>
      <w:sz w:val="22"/>
      <w:szCs w:val="22"/>
    </w:rPr>
  </w:style>
  <w:style w:type="paragraph" w:styleId="TOC7">
    <w:name w:val="toc 7"/>
    <w:basedOn w:val="Normal"/>
    <w:next w:val="Normal"/>
    <w:autoRedefine/>
    <w:uiPriority w:val="39"/>
    <w:semiHidden/>
    <w:unhideWhenUsed/>
    <w:rsid w:val="00F81433"/>
    <w:pPr>
      <w:spacing w:after="0"/>
    </w:pPr>
    <w:rPr>
      <w:rFonts w:asciiTheme="minorHAnsi" w:hAnsiTheme="minorHAnsi"/>
      <w:sz w:val="22"/>
      <w:szCs w:val="22"/>
    </w:rPr>
  </w:style>
  <w:style w:type="paragraph" w:styleId="TOC8">
    <w:name w:val="toc 8"/>
    <w:basedOn w:val="Normal"/>
    <w:next w:val="Normal"/>
    <w:autoRedefine/>
    <w:uiPriority w:val="39"/>
    <w:semiHidden/>
    <w:unhideWhenUsed/>
    <w:rsid w:val="00F81433"/>
    <w:pPr>
      <w:spacing w:after="0"/>
    </w:pPr>
    <w:rPr>
      <w:rFonts w:asciiTheme="minorHAnsi" w:hAnsiTheme="minorHAnsi"/>
      <w:sz w:val="22"/>
      <w:szCs w:val="22"/>
    </w:rPr>
  </w:style>
  <w:style w:type="paragraph" w:styleId="TOC9">
    <w:name w:val="toc 9"/>
    <w:basedOn w:val="Normal"/>
    <w:next w:val="Normal"/>
    <w:autoRedefine/>
    <w:uiPriority w:val="39"/>
    <w:semiHidden/>
    <w:unhideWhenUsed/>
    <w:rsid w:val="00F81433"/>
    <w:pPr>
      <w:spacing w:after="0"/>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35007-8124-B944-B389-2E9CA0ABD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20197</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samuel oduniyi</cp:lastModifiedBy>
  <cp:revision>3</cp:revision>
  <dcterms:created xsi:type="dcterms:W3CDTF">2026-07-14T10:21:00Z</dcterms:created>
  <dcterms:modified xsi:type="dcterms:W3CDTF">2026-08-06T21:06:00Z</dcterms:modified>
</cp:coreProperties>
</file>