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eastAsia="en-US"/>
          <w14:ligatures w14:val="standardContextual"/>
        </w:rPr>
        <w:id w:val="1650871119"/>
        <w:docPartObj>
          <w:docPartGallery w:val="Cover Pages"/>
          <w:docPartUnique/>
        </w:docPartObj>
      </w:sdtPr>
      <w:sdtEndPr>
        <w:rPr>
          <w:rFonts w:ascii="Arial" w:eastAsia="Times New Roman" w:hAnsi="Arial" w:cs="Arial"/>
          <w:b/>
          <w:bCs/>
          <w:kern w:val="36"/>
          <w:sz w:val="24"/>
          <w:szCs w:val="24"/>
        </w:rPr>
      </w:sdtEndPr>
      <w:sdtContent>
        <w:p w14:paraId="6CFF1817" w14:textId="15FD4B04" w:rsidR="00722211" w:rsidRDefault="00722211">
          <w:pPr>
            <w:pStyle w:val="NoSpacing"/>
          </w:pPr>
          <w:r>
            <w:rPr>
              <w:noProof/>
            </w:rPr>
            <mc:AlternateContent>
              <mc:Choice Requires="wpg">
                <w:drawing>
                  <wp:anchor distT="0" distB="0" distL="114300" distR="114300" simplePos="0" relativeHeight="251659264" behindDoc="1" locked="0" layoutInCell="1" allowOverlap="1" wp14:anchorId="114C1282" wp14:editId="2E6ECB4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1T00:00:00Z">
                                      <w:dateFormat w:val="dd/MM/yyyy"/>
                                      <w:lid w:val="en-GB"/>
                                      <w:storeMappedDataAs w:val="dateTime"/>
                                      <w:calendar w:val="gregorian"/>
                                    </w:date>
                                  </w:sdtPr>
                                  <w:sdtContent>
                                    <w:p w14:paraId="27967D5A" w14:textId="67B42AD1" w:rsidR="00722211" w:rsidRDefault="00722211">
                                      <w:pPr>
                                        <w:pStyle w:val="NoSpacing"/>
                                        <w:jc w:val="right"/>
                                        <w:rPr>
                                          <w:color w:val="FFFFFF" w:themeColor="background1"/>
                                          <w:sz w:val="28"/>
                                          <w:szCs w:val="28"/>
                                        </w:rPr>
                                      </w:pPr>
                                      <w:r>
                                        <w:rPr>
                                          <w:color w:val="FFFFFF" w:themeColor="background1"/>
                                          <w:sz w:val="28"/>
                                          <w:szCs w:val="28"/>
                                        </w:rPr>
                                        <w:t>21/04/2026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14C1282"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1T00:00:00Z">
                                <w:dateFormat w:val="dd/MM/yyyy"/>
                                <w:lid w:val="en-GB"/>
                                <w:storeMappedDataAs w:val="dateTime"/>
                                <w:calendar w:val="gregorian"/>
                              </w:date>
                            </w:sdtPr>
                            <w:sdtContent>
                              <w:p w14:paraId="27967D5A" w14:textId="67B42AD1" w:rsidR="00722211" w:rsidRDefault="00722211">
                                <w:pPr>
                                  <w:pStyle w:val="NoSpacing"/>
                                  <w:jc w:val="right"/>
                                  <w:rPr>
                                    <w:color w:val="FFFFFF" w:themeColor="background1"/>
                                    <w:sz w:val="28"/>
                                    <w:szCs w:val="28"/>
                                  </w:rPr>
                                </w:pPr>
                                <w:r>
                                  <w:rPr>
                                    <w:color w:val="FFFFFF" w:themeColor="background1"/>
                                    <w:sz w:val="28"/>
                                    <w:szCs w:val="28"/>
                                  </w:rPr>
                                  <w:t>21/04/2026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B7982FD" wp14:editId="2FA30B1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539FC4" w14:textId="49CDA542" w:rsidR="00722211" w:rsidRDefault="00722211">
                                <w:pPr>
                                  <w:pStyle w:val="NoSpacing"/>
                                  <w:rPr>
                                    <w:color w:val="156082" w:themeColor="accent1"/>
                                    <w:sz w:val="26"/>
                                    <w:szCs w:val="26"/>
                                  </w:rPr>
                                </w:pPr>
                                <w:r>
                                  <w:rPr>
                                    <w:color w:val="156082" w:themeColor="accent1"/>
                                    <w:sz w:val="26"/>
                                    <w:szCs w:val="26"/>
                                  </w:rPr>
                                  <w:t>Rosemary Jordao</w:t>
                                </w:r>
                              </w:p>
                              <w:p w14:paraId="4A24F346" w14:textId="21271386" w:rsidR="00722211" w:rsidRDefault="00000000">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722211">
                                      <w:rPr>
                                        <w:caps/>
                                        <w:color w:val="595959" w:themeColor="text1" w:themeTint="A6"/>
                                        <w:sz w:val="20"/>
                                        <w:szCs w:val="20"/>
                                      </w:rPr>
                                      <w:t>Student ID: 2335147</w:t>
                                    </w:r>
                                  </w:sdtContent>
                                </w:sdt>
                              </w:p>
                              <w:p w14:paraId="4B4548DD" w14:textId="1012800A" w:rsidR="00722211" w:rsidRDefault="00722211">
                                <w:pPr>
                                  <w:pStyle w:val="NoSpacing"/>
                                  <w:rPr>
                                    <w:caps/>
                                    <w:color w:val="595959" w:themeColor="text1" w:themeTint="A6"/>
                                    <w:sz w:val="20"/>
                                    <w:szCs w:val="20"/>
                                  </w:rPr>
                                </w:pPr>
                                <w:r>
                                  <w:rPr>
                                    <w:caps/>
                                    <w:color w:val="595959" w:themeColor="text1" w:themeTint="A6"/>
                                    <w:sz w:val="20"/>
                                    <w:szCs w:val="20"/>
                                  </w:rPr>
                                  <w:t>LCLM 5005</w:t>
                                </w:r>
                              </w:p>
                              <w:p w14:paraId="3450872C" w14:textId="0755782D" w:rsidR="00722211" w:rsidRDefault="00722211">
                                <w:pPr>
                                  <w:pStyle w:val="NoSpacing"/>
                                  <w:rPr>
                                    <w:caps/>
                                    <w:color w:val="595959" w:themeColor="text1" w:themeTint="A6"/>
                                    <w:sz w:val="20"/>
                                    <w:szCs w:val="20"/>
                                  </w:rPr>
                                </w:pPr>
                                <w:r>
                                  <w:rPr>
                                    <w:caps/>
                                    <w:color w:val="595959" w:themeColor="text1" w:themeTint="A6"/>
                                    <w:sz w:val="20"/>
                                    <w:szCs w:val="20"/>
                                  </w:rPr>
                                  <w:t>Lecturer: Dr Rameses Manalang</w:t>
                                </w:r>
                              </w:p>
                              <w:p w14:paraId="363486A8" w14:textId="25A3B8D5" w:rsidR="00722211" w:rsidRDefault="00722211">
                                <w:pPr>
                                  <w:pStyle w:val="NoSpacing"/>
                                  <w:rPr>
                                    <w:color w:val="595959" w:themeColor="text1" w:themeTint="A6"/>
                                    <w:sz w:val="20"/>
                                    <w:szCs w:val="20"/>
                                  </w:rPr>
                                </w:pPr>
                                <w:r>
                                  <w:rPr>
                                    <w:caps/>
                                    <w:color w:val="595959" w:themeColor="text1" w:themeTint="A6"/>
                                    <w:sz w:val="20"/>
                                    <w:szCs w:val="20"/>
                                  </w:rPr>
                                  <w:t>Individual Report on toyota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B7982FD"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3539FC4" w14:textId="49CDA542" w:rsidR="00722211" w:rsidRDefault="00722211">
                          <w:pPr>
                            <w:pStyle w:val="NoSpacing"/>
                            <w:rPr>
                              <w:color w:val="156082" w:themeColor="accent1"/>
                              <w:sz w:val="26"/>
                              <w:szCs w:val="26"/>
                            </w:rPr>
                          </w:pPr>
                          <w:r>
                            <w:rPr>
                              <w:color w:val="156082" w:themeColor="accent1"/>
                              <w:sz w:val="26"/>
                              <w:szCs w:val="26"/>
                            </w:rPr>
                            <w:t>Rosemary Jordao</w:t>
                          </w:r>
                        </w:p>
                        <w:p w14:paraId="4A24F346" w14:textId="21271386" w:rsidR="00722211" w:rsidRDefault="00000000">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722211">
                                <w:rPr>
                                  <w:caps/>
                                  <w:color w:val="595959" w:themeColor="text1" w:themeTint="A6"/>
                                  <w:sz w:val="20"/>
                                  <w:szCs w:val="20"/>
                                </w:rPr>
                                <w:t>Student ID: 2335147</w:t>
                              </w:r>
                            </w:sdtContent>
                          </w:sdt>
                        </w:p>
                        <w:p w14:paraId="4B4548DD" w14:textId="1012800A" w:rsidR="00722211" w:rsidRDefault="00722211">
                          <w:pPr>
                            <w:pStyle w:val="NoSpacing"/>
                            <w:rPr>
                              <w:caps/>
                              <w:color w:val="595959" w:themeColor="text1" w:themeTint="A6"/>
                              <w:sz w:val="20"/>
                              <w:szCs w:val="20"/>
                            </w:rPr>
                          </w:pPr>
                          <w:r>
                            <w:rPr>
                              <w:caps/>
                              <w:color w:val="595959" w:themeColor="text1" w:themeTint="A6"/>
                              <w:sz w:val="20"/>
                              <w:szCs w:val="20"/>
                            </w:rPr>
                            <w:t>LCLM 5005</w:t>
                          </w:r>
                        </w:p>
                        <w:p w14:paraId="3450872C" w14:textId="0755782D" w:rsidR="00722211" w:rsidRDefault="00722211">
                          <w:pPr>
                            <w:pStyle w:val="NoSpacing"/>
                            <w:rPr>
                              <w:caps/>
                              <w:color w:val="595959" w:themeColor="text1" w:themeTint="A6"/>
                              <w:sz w:val="20"/>
                              <w:szCs w:val="20"/>
                            </w:rPr>
                          </w:pPr>
                          <w:r>
                            <w:rPr>
                              <w:caps/>
                              <w:color w:val="595959" w:themeColor="text1" w:themeTint="A6"/>
                              <w:sz w:val="20"/>
                              <w:szCs w:val="20"/>
                            </w:rPr>
                            <w:t>Lecturer: Dr Rameses Manalang</w:t>
                          </w:r>
                        </w:p>
                        <w:p w14:paraId="363486A8" w14:textId="25A3B8D5" w:rsidR="00722211" w:rsidRDefault="00722211">
                          <w:pPr>
                            <w:pStyle w:val="NoSpacing"/>
                            <w:rPr>
                              <w:color w:val="595959" w:themeColor="text1" w:themeTint="A6"/>
                              <w:sz w:val="20"/>
                              <w:szCs w:val="20"/>
                            </w:rPr>
                          </w:pPr>
                          <w:r>
                            <w:rPr>
                              <w:caps/>
                              <w:color w:val="595959" w:themeColor="text1" w:themeTint="A6"/>
                              <w:sz w:val="20"/>
                              <w:szCs w:val="20"/>
                            </w:rPr>
                            <w:t>Individual Report on toyota</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CED297B" wp14:editId="515D090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5B2CE" w14:textId="3B85215C" w:rsidR="0072221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22211" w:rsidRPr="00180657">
                                      <w:rPr>
                                        <w:rFonts w:asciiTheme="majorHAnsi" w:eastAsiaTheme="majorEastAsia" w:hAnsiTheme="majorHAnsi" w:cstheme="majorBidi"/>
                                        <w:color w:val="262626" w:themeColor="text1" w:themeTint="D9"/>
                                        <w:sz w:val="56"/>
                                        <w:szCs w:val="56"/>
                                      </w:rPr>
                                      <w:t>Organisational Culture</w:t>
                                    </w:r>
                                  </w:sdtContent>
                                </w:sdt>
                              </w:p>
                              <w:p w14:paraId="37F92B4E" w14:textId="36F8FAD2" w:rsidR="0072221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22211">
                                      <w:rPr>
                                        <w:color w:val="404040" w:themeColor="text1" w:themeTint="BF"/>
                                        <w:sz w:val="36"/>
                                        <w:szCs w:val="36"/>
                                      </w:rPr>
                                      <w:t>Individual Report on Toyota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CED297B"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695B2CE" w14:textId="3B85215C" w:rsidR="0072221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22211" w:rsidRPr="00180657">
                                <w:rPr>
                                  <w:rFonts w:asciiTheme="majorHAnsi" w:eastAsiaTheme="majorEastAsia" w:hAnsiTheme="majorHAnsi" w:cstheme="majorBidi"/>
                                  <w:color w:val="262626" w:themeColor="text1" w:themeTint="D9"/>
                                  <w:sz w:val="56"/>
                                  <w:szCs w:val="56"/>
                                </w:rPr>
                                <w:t>Organisational Culture</w:t>
                              </w:r>
                            </w:sdtContent>
                          </w:sdt>
                        </w:p>
                        <w:p w14:paraId="37F92B4E" w14:textId="36F8FAD2" w:rsidR="0072221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22211">
                                <w:rPr>
                                  <w:color w:val="404040" w:themeColor="text1" w:themeTint="BF"/>
                                  <w:sz w:val="36"/>
                                  <w:szCs w:val="36"/>
                                </w:rPr>
                                <w:t>Individual Report on Toyota</w:t>
                              </w:r>
                            </w:sdtContent>
                          </w:sdt>
                        </w:p>
                      </w:txbxContent>
                    </v:textbox>
                    <w10:wrap anchorx="page" anchory="page"/>
                  </v:shape>
                </w:pict>
              </mc:Fallback>
            </mc:AlternateContent>
          </w:r>
        </w:p>
        <w:p w14:paraId="5040A7DC" w14:textId="79305E54" w:rsidR="00722211" w:rsidRDefault="00722211">
          <w:pPr>
            <w:rPr>
              <w:rFonts w:ascii="Arial" w:eastAsia="Times New Roman" w:hAnsi="Arial" w:cs="Arial"/>
              <w:b/>
              <w:bCs/>
              <w:kern w:val="36"/>
              <w:sz w:val="24"/>
              <w:szCs w:val="24"/>
              <w:lang w:eastAsia="en-GB"/>
              <w14:ligatures w14:val="none"/>
            </w:rPr>
          </w:pPr>
          <w:r>
            <w:rPr>
              <w:rFonts w:ascii="Arial" w:eastAsia="Times New Roman" w:hAnsi="Arial" w:cs="Arial"/>
              <w:b/>
              <w:bCs/>
              <w:kern w:val="36"/>
              <w:sz w:val="24"/>
              <w:szCs w:val="24"/>
              <w:lang w:eastAsia="en-GB"/>
              <w14:ligatures w14:val="none"/>
            </w:rPr>
            <w:br w:type="page"/>
          </w:r>
        </w:p>
      </w:sdtContent>
    </w:sdt>
    <w:p w14:paraId="76153B72" w14:textId="77777777" w:rsidR="000555FE" w:rsidRDefault="000555FE" w:rsidP="00DB7BC3">
      <w:pPr>
        <w:pStyle w:val="Heading1"/>
        <w:rPr>
          <w:lang w:eastAsia="en-GB"/>
        </w:rPr>
      </w:pPr>
    </w:p>
    <w:sdt>
      <w:sdtPr>
        <w:rPr>
          <w:rFonts w:asciiTheme="minorHAnsi" w:eastAsiaTheme="minorHAnsi" w:hAnsiTheme="minorHAnsi" w:cstheme="minorBidi"/>
          <w:color w:val="auto"/>
          <w:kern w:val="2"/>
          <w:sz w:val="22"/>
          <w:szCs w:val="22"/>
          <w:lang w:eastAsia="en-US"/>
          <w14:ligatures w14:val="standardContextual"/>
        </w:rPr>
        <w:id w:val="-646281370"/>
        <w:docPartObj>
          <w:docPartGallery w:val="Table of Contents"/>
          <w:docPartUnique/>
        </w:docPartObj>
      </w:sdtPr>
      <w:sdtEndPr>
        <w:rPr>
          <w:b/>
          <w:bCs/>
        </w:rPr>
      </w:sdtEndPr>
      <w:sdtContent>
        <w:p w14:paraId="4BE73067" w14:textId="14C1E011" w:rsidR="00DB7BC3" w:rsidRDefault="00DB7BC3">
          <w:pPr>
            <w:pStyle w:val="TOCHeading"/>
          </w:pPr>
          <w:r>
            <w:t>Contents</w:t>
          </w:r>
        </w:p>
        <w:p w14:paraId="4D5E1ED2" w14:textId="59E0CFE2" w:rsidR="001463C9" w:rsidRDefault="00DB7BC3">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451405" w:history="1">
            <w:r w:rsidR="001463C9" w:rsidRPr="006F33AB">
              <w:rPr>
                <w:rStyle w:val="Hyperlink"/>
                <w:noProof/>
              </w:rPr>
              <w:t>1.</w:t>
            </w:r>
            <w:r w:rsidR="001463C9">
              <w:rPr>
                <w:rFonts w:eastAsiaTheme="minorEastAsia"/>
                <w:noProof/>
                <w:sz w:val="24"/>
                <w:szCs w:val="24"/>
                <w:lang w:eastAsia="en-GB"/>
              </w:rPr>
              <w:tab/>
            </w:r>
            <w:r w:rsidR="001463C9" w:rsidRPr="006F33AB">
              <w:rPr>
                <w:rStyle w:val="Hyperlink"/>
                <w:noProof/>
              </w:rPr>
              <w:t>Introduction</w:t>
            </w:r>
            <w:r w:rsidR="001463C9">
              <w:rPr>
                <w:noProof/>
                <w:webHidden/>
              </w:rPr>
              <w:tab/>
            </w:r>
            <w:r w:rsidR="001463C9">
              <w:rPr>
                <w:noProof/>
                <w:webHidden/>
              </w:rPr>
              <w:fldChar w:fldCharType="begin"/>
            </w:r>
            <w:r w:rsidR="001463C9">
              <w:rPr>
                <w:noProof/>
                <w:webHidden/>
              </w:rPr>
              <w:instrText xml:space="preserve"> PAGEREF _Toc227451405 \h </w:instrText>
            </w:r>
            <w:r w:rsidR="001463C9">
              <w:rPr>
                <w:noProof/>
                <w:webHidden/>
              </w:rPr>
            </w:r>
            <w:r w:rsidR="001463C9">
              <w:rPr>
                <w:noProof/>
                <w:webHidden/>
              </w:rPr>
              <w:fldChar w:fldCharType="separate"/>
            </w:r>
            <w:r w:rsidR="001463C9">
              <w:rPr>
                <w:noProof/>
                <w:webHidden/>
              </w:rPr>
              <w:t>2</w:t>
            </w:r>
            <w:r w:rsidR="001463C9">
              <w:rPr>
                <w:noProof/>
                <w:webHidden/>
              </w:rPr>
              <w:fldChar w:fldCharType="end"/>
            </w:r>
          </w:hyperlink>
        </w:p>
        <w:p w14:paraId="2ED13848" w14:textId="683853BC" w:rsidR="001463C9" w:rsidRDefault="001463C9">
          <w:pPr>
            <w:pStyle w:val="TOC1"/>
            <w:tabs>
              <w:tab w:val="left" w:pos="440"/>
              <w:tab w:val="right" w:leader="dot" w:pos="9016"/>
            </w:tabs>
            <w:rPr>
              <w:rFonts w:eastAsiaTheme="minorEastAsia"/>
              <w:noProof/>
              <w:sz w:val="24"/>
              <w:szCs w:val="24"/>
              <w:lang w:eastAsia="en-GB"/>
            </w:rPr>
          </w:pPr>
          <w:hyperlink w:anchor="_Toc227451406" w:history="1">
            <w:r w:rsidRPr="006F33AB">
              <w:rPr>
                <w:rStyle w:val="Hyperlink"/>
                <w:noProof/>
              </w:rPr>
              <w:t>2.</w:t>
            </w:r>
            <w:r>
              <w:rPr>
                <w:rFonts w:eastAsiaTheme="minorEastAsia"/>
                <w:noProof/>
                <w:sz w:val="24"/>
                <w:szCs w:val="24"/>
                <w:lang w:eastAsia="en-GB"/>
              </w:rPr>
              <w:tab/>
            </w:r>
            <w:r w:rsidRPr="006F33AB">
              <w:rPr>
                <w:rStyle w:val="Hyperlink"/>
                <w:noProof/>
              </w:rPr>
              <w:t>Organisational Culture of Toyota</w:t>
            </w:r>
            <w:r>
              <w:rPr>
                <w:noProof/>
                <w:webHidden/>
              </w:rPr>
              <w:tab/>
            </w:r>
            <w:r>
              <w:rPr>
                <w:noProof/>
                <w:webHidden/>
              </w:rPr>
              <w:fldChar w:fldCharType="begin"/>
            </w:r>
            <w:r>
              <w:rPr>
                <w:noProof/>
                <w:webHidden/>
              </w:rPr>
              <w:instrText xml:space="preserve"> PAGEREF _Toc227451406 \h </w:instrText>
            </w:r>
            <w:r>
              <w:rPr>
                <w:noProof/>
                <w:webHidden/>
              </w:rPr>
            </w:r>
            <w:r>
              <w:rPr>
                <w:noProof/>
                <w:webHidden/>
              </w:rPr>
              <w:fldChar w:fldCharType="separate"/>
            </w:r>
            <w:r>
              <w:rPr>
                <w:noProof/>
                <w:webHidden/>
              </w:rPr>
              <w:t>2</w:t>
            </w:r>
            <w:r>
              <w:rPr>
                <w:noProof/>
                <w:webHidden/>
              </w:rPr>
              <w:fldChar w:fldCharType="end"/>
            </w:r>
          </w:hyperlink>
        </w:p>
        <w:p w14:paraId="2B68DB67" w14:textId="69378889" w:rsidR="001463C9" w:rsidRDefault="001463C9">
          <w:pPr>
            <w:pStyle w:val="TOC1"/>
            <w:tabs>
              <w:tab w:val="left" w:pos="440"/>
              <w:tab w:val="right" w:leader="dot" w:pos="9016"/>
            </w:tabs>
            <w:rPr>
              <w:rFonts w:eastAsiaTheme="minorEastAsia"/>
              <w:noProof/>
              <w:sz w:val="24"/>
              <w:szCs w:val="24"/>
              <w:lang w:eastAsia="en-GB"/>
            </w:rPr>
          </w:pPr>
          <w:hyperlink w:anchor="_Toc227451407" w:history="1">
            <w:r w:rsidRPr="006F33AB">
              <w:rPr>
                <w:rStyle w:val="Hyperlink"/>
                <w:noProof/>
              </w:rPr>
              <w:t>3.</w:t>
            </w:r>
            <w:r>
              <w:rPr>
                <w:rFonts w:eastAsiaTheme="minorEastAsia"/>
                <w:noProof/>
                <w:sz w:val="24"/>
                <w:szCs w:val="24"/>
                <w:lang w:eastAsia="en-GB"/>
              </w:rPr>
              <w:tab/>
            </w:r>
            <w:r w:rsidRPr="006F33AB">
              <w:rPr>
                <w:rStyle w:val="Hyperlink"/>
                <w:noProof/>
              </w:rPr>
              <w:t>How Organisational Culture Shapes Structure and Decision</w:t>
            </w:r>
            <w:r w:rsidRPr="006F33AB">
              <w:rPr>
                <w:rStyle w:val="Hyperlink"/>
                <w:noProof/>
              </w:rPr>
              <w:noBreakHyphen/>
              <w:t>Making</w:t>
            </w:r>
            <w:r>
              <w:rPr>
                <w:noProof/>
                <w:webHidden/>
              </w:rPr>
              <w:tab/>
            </w:r>
            <w:r>
              <w:rPr>
                <w:noProof/>
                <w:webHidden/>
              </w:rPr>
              <w:fldChar w:fldCharType="begin"/>
            </w:r>
            <w:r>
              <w:rPr>
                <w:noProof/>
                <w:webHidden/>
              </w:rPr>
              <w:instrText xml:space="preserve"> PAGEREF _Toc227451407 \h </w:instrText>
            </w:r>
            <w:r>
              <w:rPr>
                <w:noProof/>
                <w:webHidden/>
              </w:rPr>
            </w:r>
            <w:r>
              <w:rPr>
                <w:noProof/>
                <w:webHidden/>
              </w:rPr>
              <w:fldChar w:fldCharType="separate"/>
            </w:r>
            <w:r>
              <w:rPr>
                <w:noProof/>
                <w:webHidden/>
              </w:rPr>
              <w:t>3</w:t>
            </w:r>
            <w:r>
              <w:rPr>
                <w:noProof/>
                <w:webHidden/>
              </w:rPr>
              <w:fldChar w:fldCharType="end"/>
            </w:r>
          </w:hyperlink>
        </w:p>
        <w:p w14:paraId="409A1787" w14:textId="5326B90B" w:rsidR="001463C9" w:rsidRDefault="001463C9">
          <w:pPr>
            <w:pStyle w:val="TOC1"/>
            <w:tabs>
              <w:tab w:val="left" w:pos="440"/>
              <w:tab w:val="right" w:leader="dot" w:pos="9016"/>
            </w:tabs>
            <w:rPr>
              <w:rFonts w:eastAsiaTheme="minorEastAsia"/>
              <w:noProof/>
              <w:sz w:val="24"/>
              <w:szCs w:val="24"/>
              <w:lang w:eastAsia="en-GB"/>
            </w:rPr>
          </w:pPr>
          <w:hyperlink w:anchor="_Toc227451410" w:history="1">
            <w:r w:rsidRPr="006F33AB">
              <w:rPr>
                <w:rStyle w:val="Hyperlink"/>
                <w:rFonts w:cs="Arial"/>
                <w:noProof/>
              </w:rPr>
              <w:t>4.</w:t>
            </w:r>
            <w:r>
              <w:rPr>
                <w:rFonts w:eastAsiaTheme="minorEastAsia"/>
                <w:noProof/>
                <w:sz w:val="24"/>
                <w:szCs w:val="24"/>
                <w:lang w:eastAsia="en-GB"/>
              </w:rPr>
              <w:tab/>
            </w:r>
            <w:r w:rsidRPr="006F33AB">
              <w:rPr>
                <w:rStyle w:val="Hyperlink"/>
                <w:rFonts w:cs="Arial"/>
                <w:noProof/>
              </w:rPr>
              <w:t>Relevant Frameworks and Model</w:t>
            </w:r>
            <w:r>
              <w:rPr>
                <w:noProof/>
                <w:webHidden/>
              </w:rPr>
              <w:tab/>
            </w:r>
            <w:r>
              <w:rPr>
                <w:noProof/>
                <w:webHidden/>
              </w:rPr>
              <w:fldChar w:fldCharType="begin"/>
            </w:r>
            <w:r>
              <w:rPr>
                <w:noProof/>
                <w:webHidden/>
              </w:rPr>
              <w:instrText xml:space="preserve"> PAGEREF _Toc227451410 \h </w:instrText>
            </w:r>
            <w:r>
              <w:rPr>
                <w:noProof/>
                <w:webHidden/>
              </w:rPr>
            </w:r>
            <w:r>
              <w:rPr>
                <w:noProof/>
                <w:webHidden/>
              </w:rPr>
              <w:fldChar w:fldCharType="separate"/>
            </w:r>
            <w:r>
              <w:rPr>
                <w:noProof/>
                <w:webHidden/>
              </w:rPr>
              <w:t>5</w:t>
            </w:r>
            <w:r>
              <w:rPr>
                <w:noProof/>
                <w:webHidden/>
              </w:rPr>
              <w:fldChar w:fldCharType="end"/>
            </w:r>
          </w:hyperlink>
        </w:p>
        <w:p w14:paraId="72856D1B" w14:textId="7C0835C4" w:rsidR="001463C9" w:rsidRDefault="001463C9">
          <w:pPr>
            <w:pStyle w:val="TOC1"/>
            <w:tabs>
              <w:tab w:val="left" w:pos="440"/>
              <w:tab w:val="right" w:leader="dot" w:pos="9016"/>
            </w:tabs>
            <w:rPr>
              <w:rFonts w:eastAsiaTheme="minorEastAsia"/>
              <w:noProof/>
              <w:sz w:val="24"/>
              <w:szCs w:val="24"/>
              <w:lang w:eastAsia="en-GB"/>
            </w:rPr>
          </w:pPr>
          <w:hyperlink w:anchor="_Toc227451411" w:history="1">
            <w:r w:rsidRPr="006F33AB">
              <w:rPr>
                <w:rStyle w:val="Hyperlink"/>
                <w:rFonts w:cs="Arial"/>
                <w:noProof/>
              </w:rPr>
              <w:t>5.</w:t>
            </w:r>
            <w:r>
              <w:rPr>
                <w:rFonts w:eastAsiaTheme="minorEastAsia"/>
                <w:noProof/>
                <w:sz w:val="24"/>
                <w:szCs w:val="24"/>
                <w:lang w:eastAsia="en-GB"/>
              </w:rPr>
              <w:tab/>
            </w:r>
            <w:r w:rsidRPr="006F33AB">
              <w:rPr>
                <w:rStyle w:val="Hyperlink"/>
                <w:rFonts w:cs="Arial"/>
                <w:noProof/>
              </w:rPr>
              <w:t>Organisational Culture and Adaptation to the External Environment</w:t>
            </w:r>
            <w:r>
              <w:rPr>
                <w:noProof/>
                <w:webHidden/>
              </w:rPr>
              <w:tab/>
            </w:r>
            <w:r>
              <w:rPr>
                <w:noProof/>
                <w:webHidden/>
              </w:rPr>
              <w:fldChar w:fldCharType="begin"/>
            </w:r>
            <w:r>
              <w:rPr>
                <w:noProof/>
                <w:webHidden/>
              </w:rPr>
              <w:instrText xml:space="preserve"> PAGEREF _Toc227451411 \h </w:instrText>
            </w:r>
            <w:r>
              <w:rPr>
                <w:noProof/>
                <w:webHidden/>
              </w:rPr>
            </w:r>
            <w:r>
              <w:rPr>
                <w:noProof/>
                <w:webHidden/>
              </w:rPr>
              <w:fldChar w:fldCharType="separate"/>
            </w:r>
            <w:r>
              <w:rPr>
                <w:noProof/>
                <w:webHidden/>
              </w:rPr>
              <w:t>6</w:t>
            </w:r>
            <w:r>
              <w:rPr>
                <w:noProof/>
                <w:webHidden/>
              </w:rPr>
              <w:fldChar w:fldCharType="end"/>
            </w:r>
          </w:hyperlink>
        </w:p>
        <w:p w14:paraId="03B7A790" w14:textId="3FAC2D6C" w:rsidR="001463C9" w:rsidRDefault="001463C9">
          <w:pPr>
            <w:pStyle w:val="TOC1"/>
            <w:tabs>
              <w:tab w:val="left" w:pos="440"/>
              <w:tab w:val="right" w:leader="dot" w:pos="9016"/>
            </w:tabs>
            <w:rPr>
              <w:rFonts w:eastAsiaTheme="minorEastAsia"/>
              <w:noProof/>
              <w:sz w:val="24"/>
              <w:szCs w:val="24"/>
              <w:lang w:eastAsia="en-GB"/>
            </w:rPr>
          </w:pPr>
          <w:hyperlink w:anchor="_Toc227451412" w:history="1">
            <w:r w:rsidRPr="006F33AB">
              <w:rPr>
                <w:rStyle w:val="Hyperlink"/>
                <w:rFonts w:cs="Arial"/>
                <w:noProof/>
              </w:rPr>
              <w:t>6.</w:t>
            </w:r>
            <w:r>
              <w:rPr>
                <w:rFonts w:eastAsiaTheme="minorEastAsia"/>
                <w:noProof/>
                <w:sz w:val="24"/>
                <w:szCs w:val="24"/>
                <w:lang w:eastAsia="en-GB"/>
              </w:rPr>
              <w:tab/>
            </w:r>
            <w:r w:rsidRPr="006F33AB">
              <w:rPr>
                <w:rStyle w:val="Hyperlink"/>
                <w:rFonts w:cs="Arial"/>
                <w:noProof/>
              </w:rPr>
              <w:t>Impact of Organisational Culture on Performance</w:t>
            </w:r>
            <w:r>
              <w:rPr>
                <w:noProof/>
                <w:webHidden/>
              </w:rPr>
              <w:tab/>
            </w:r>
            <w:r>
              <w:rPr>
                <w:noProof/>
                <w:webHidden/>
              </w:rPr>
              <w:fldChar w:fldCharType="begin"/>
            </w:r>
            <w:r>
              <w:rPr>
                <w:noProof/>
                <w:webHidden/>
              </w:rPr>
              <w:instrText xml:space="preserve"> PAGEREF _Toc227451412 \h </w:instrText>
            </w:r>
            <w:r>
              <w:rPr>
                <w:noProof/>
                <w:webHidden/>
              </w:rPr>
            </w:r>
            <w:r>
              <w:rPr>
                <w:noProof/>
                <w:webHidden/>
              </w:rPr>
              <w:fldChar w:fldCharType="separate"/>
            </w:r>
            <w:r>
              <w:rPr>
                <w:noProof/>
                <w:webHidden/>
              </w:rPr>
              <w:t>9</w:t>
            </w:r>
            <w:r>
              <w:rPr>
                <w:noProof/>
                <w:webHidden/>
              </w:rPr>
              <w:fldChar w:fldCharType="end"/>
            </w:r>
          </w:hyperlink>
        </w:p>
        <w:p w14:paraId="37A3F171" w14:textId="736B5849" w:rsidR="001463C9" w:rsidRDefault="001463C9">
          <w:pPr>
            <w:pStyle w:val="TOC1"/>
            <w:tabs>
              <w:tab w:val="left" w:pos="440"/>
              <w:tab w:val="right" w:leader="dot" w:pos="9016"/>
            </w:tabs>
            <w:rPr>
              <w:rFonts w:eastAsiaTheme="minorEastAsia"/>
              <w:noProof/>
              <w:sz w:val="24"/>
              <w:szCs w:val="24"/>
              <w:lang w:eastAsia="en-GB"/>
            </w:rPr>
          </w:pPr>
          <w:hyperlink w:anchor="_Toc227451413" w:history="1">
            <w:r w:rsidRPr="006F33AB">
              <w:rPr>
                <w:rStyle w:val="Hyperlink"/>
                <w:rFonts w:cs="Arial"/>
                <w:noProof/>
              </w:rPr>
              <w:t>7.</w:t>
            </w:r>
            <w:r>
              <w:rPr>
                <w:rFonts w:eastAsiaTheme="minorEastAsia"/>
                <w:noProof/>
                <w:sz w:val="24"/>
                <w:szCs w:val="24"/>
                <w:lang w:eastAsia="en-GB"/>
              </w:rPr>
              <w:tab/>
            </w:r>
            <w:r w:rsidRPr="006F33AB">
              <w:rPr>
                <w:rStyle w:val="Hyperlink"/>
                <w:rFonts w:cs="Arial"/>
                <w:noProof/>
              </w:rPr>
              <w:t>Conclusion</w:t>
            </w:r>
            <w:r>
              <w:rPr>
                <w:noProof/>
                <w:webHidden/>
              </w:rPr>
              <w:tab/>
            </w:r>
            <w:r>
              <w:rPr>
                <w:noProof/>
                <w:webHidden/>
              </w:rPr>
              <w:fldChar w:fldCharType="begin"/>
            </w:r>
            <w:r>
              <w:rPr>
                <w:noProof/>
                <w:webHidden/>
              </w:rPr>
              <w:instrText xml:space="preserve"> PAGEREF _Toc227451413 \h </w:instrText>
            </w:r>
            <w:r>
              <w:rPr>
                <w:noProof/>
                <w:webHidden/>
              </w:rPr>
            </w:r>
            <w:r>
              <w:rPr>
                <w:noProof/>
                <w:webHidden/>
              </w:rPr>
              <w:fldChar w:fldCharType="separate"/>
            </w:r>
            <w:r>
              <w:rPr>
                <w:noProof/>
                <w:webHidden/>
              </w:rPr>
              <w:t>11</w:t>
            </w:r>
            <w:r>
              <w:rPr>
                <w:noProof/>
                <w:webHidden/>
              </w:rPr>
              <w:fldChar w:fldCharType="end"/>
            </w:r>
          </w:hyperlink>
        </w:p>
        <w:p w14:paraId="27724362" w14:textId="067BC13D" w:rsidR="001463C9" w:rsidRDefault="001463C9">
          <w:pPr>
            <w:pStyle w:val="TOC1"/>
            <w:tabs>
              <w:tab w:val="right" w:leader="dot" w:pos="9016"/>
            </w:tabs>
            <w:rPr>
              <w:rFonts w:eastAsiaTheme="minorEastAsia"/>
              <w:noProof/>
              <w:sz w:val="24"/>
              <w:szCs w:val="24"/>
              <w:lang w:eastAsia="en-GB"/>
            </w:rPr>
          </w:pPr>
          <w:hyperlink w:anchor="_Toc227451414" w:history="1">
            <w:r w:rsidRPr="006F33AB">
              <w:rPr>
                <w:rStyle w:val="Hyperlink"/>
                <w:noProof/>
              </w:rPr>
              <w:t>References</w:t>
            </w:r>
            <w:r>
              <w:rPr>
                <w:noProof/>
                <w:webHidden/>
              </w:rPr>
              <w:tab/>
            </w:r>
            <w:r>
              <w:rPr>
                <w:noProof/>
                <w:webHidden/>
              </w:rPr>
              <w:fldChar w:fldCharType="begin"/>
            </w:r>
            <w:r>
              <w:rPr>
                <w:noProof/>
                <w:webHidden/>
              </w:rPr>
              <w:instrText xml:space="preserve"> PAGEREF _Toc227451414 \h </w:instrText>
            </w:r>
            <w:r>
              <w:rPr>
                <w:noProof/>
                <w:webHidden/>
              </w:rPr>
            </w:r>
            <w:r>
              <w:rPr>
                <w:noProof/>
                <w:webHidden/>
              </w:rPr>
              <w:fldChar w:fldCharType="separate"/>
            </w:r>
            <w:r>
              <w:rPr>
                <w:noProof/>
                <w:webHidden/>
              </w:rPr>
              <w:t>12</w:t>
            </w:r>
            <w:r>
              <w:rPr>
                <w:noProof/>
                <w:webHidden/>
              </w:rPr>
              <w:fldChar w:fldCharType="end"/>
            </w:r>
          </w:hyperlink>
        </w:p>
        <w:p w14:paraId="7F38CDC9" w14:textId="658FDD71" w:rsidR="00DB7BC3" w:rsidRDefault="00DB7BC3">
          <w:r>
            <w:rPr>
              <w:b/>
              <w:bCs/>
            </w:rPr>
            <w:fldChar w:fldCharType="end"/>
          </w:r>
        </w:p>
      </w:sdtContent>
    </w:sdt>
    <w:p w14:paraId="2064452F" w14:textId="77777777" w:rsidR="000555FE" w:rsidRDefault="000555FE">
      <w:pPr>
        <w:rPr>
          <w:rFonts w:ascii="Arial" w:eastAsia="Times New Roman" w:hAnsi="Arial" w:cs="Arial"/>
          <w:b/>
          <w:bCs/>
          <w:kern w:val="36"/>
          <w:sz w:val="24"/>
          <w:szCs w:val="24"/>
          <w:lang w:eastAsia="en-GB"/>
          <w14:ligatures w14:val="none"/>
        </w:rPr>
      </w:pPr>
      <w:r>
        <w:rPr>
          <w:rFonts w:ascii="Arial" w:eastAsia="Times New Roman" w:hAnsi="Arial" w:cs="Arial"/>
          <w:b/>
          <w:bCs/>
          <w:kern w:val="36"/>
          <w:sz w:val="24"/>
          <w:szCs w:val="24"/>
          <w:lang w:eastAsia="en-GB"/>
          <w14:ligatures w14:val="none"/>
        </w:rPr>
        <w:br w:type="page"/>
      </w:r>
    </w:p>
    <w:p w14:paraId="2B833A54" w14:textId="5B7486CD" w:rsidR="00700B4F" w:rsidRPr="00E92CD3" w:rsidRDefault="00700B4F" w:rsidP="00E92CD3">
      <w:pPr>
        <w:pStyle w:val="Heading1"/>
        <w:numPr>
          <w:ilvl w:val="0"/>
          <w:numId w:val="13"/>
        </w:numPr>
      </w:pPr>
      <w:bookmarkStart w:id="0" w:name="_Toc227451405"/>
      <w:r w:rsidRPr="00E92CD3">
        <w:t>Introduction</w:t>
      </w:r>
      <w:bookmarkEnd w:id="0"/>
      <w:r w:rsidRPr="00E92CD3">
        <w:t xml:space="preserve"> </w:t>
      </w:r>
    </w:p>
    <w:p w14:paraId="35EFDBFC" w14:textId="0E5F503F" w:rsidR="006B70D7" w:rsidRPr="00E92CD3" w:rsidRDefault="006B70D7" w:rsidP="00E92CD3">
      <w:pPr>
        <w:pStyle w:val="NoSpacing"/>
        <w:spacing w:line="360" w:lineRule="auto"/>
        <w:jc w:val="both"/>
        <w:rPr>
          <w:rFonts w:ascii="Arial" w:hAnsi="Arial" w:cs="Arial"/>
          <w:sz w:val="24"/>
          <w:szCs w:val="24"/>
        </w:rPr>
      </w:pPr>
      <w:r w:rsidRPr="00E92CD3">
        <w:rPr>
          <w:rFonts w:ascii="Arial" w:hAnsi="Arial" w:cs="Arial"/>
          <w:sz w:val="24"/>
          <w:szCs w:val="24"/>
        </w:rPr>
        <w:t>Organisational culture plays a central role in shaping how businesses function, influencing daily decision making, employee motivation, and long term strategic direction. In multinational firms, this cultural foundation becomes even more significant as it supports consistent behaviour across diverse global contexts. Toyota offers a clear example of how a deeply embedded culture shapes structural arrangements and managerial practices, particularly through its commitment to continuous improvement and collective responsibility. Drawing on insights from Mullins and Christy (2016), who emphasise the importance of cultural layers in organisational behaviour, this report applies Schein’s Model of Organisational Culture to examine the visible practices, underlying values, and core assumptions that define Toyota’s approach. The analysis explores how these cultural elements enable Toyota to respond to external pressures, maintain operational excellence, and adapt to global challenges, while also considering potential constraints. The report concludes by offering evidence based recommendations to strengthen Toyota’s cultural effectiveness in an increasingly competitive global environment.</w:t>
      </w:r>
    </w:p>
    <w:p w14:paraId="06D38849" w14:textId="1E482E25" w:rsidR="00700B4F" w:rsidRPr="00E92CD3" w:rsidRDefault="00700B4F" w:rsidP="00E92CD3">
      <w:pPr>
        <w:pStyle w:val="Heading1"/>
        <w:numPr>
          <w:ilvl w:val="0"/>
          <w:numId w:val="13"/>
        </w:numPr>
      </w:pPr>
      <w:bookmarkStart w:id="1" w:name="_Toc227451406"/>
      <w:r w:rsidRPr="00E92CD3">
        <w:t>Organisational Culture of Toyota</w:t>
      </w:r>
      <w:bookmarkEnd w:id="1"/>
      <w:r w:rsidRPr="00E92CD3">
        <w:t xml:space="preserve"> </w:t>
      </w:r>
    </w:p>
    <w:p w14:paraId="1009E4F3" w14:textId="77777777" w:rsidR="000A3720" w:rsidRPr="00E92CD3" w:rsidRDefault="000A3720" w:rsidP="00E92CD3">
      <w:pPr>
        <w:pStyle w:val="NormalWeb"/>
        <w:spacing w:line="360" w:lineRule="auto"/>
        <w:jc w:val="both"/>
        <w:rPr>
          <w:rFonts w:ascii="Arial" w:hAnsi="Arial" w:cs="Arial"/>
        </w:rPr>
      </w:pPr>
      <w:r w:rsidRPr="00E92CD3">
        <w:rPr>
          <w:rFonts w:ascii="Arial" w:hAnsi="Arial" w:cs="Arial"/>
        </w:rPr>
        <w:t>Toyota’s organisational culture is widely regarded as one of the strongest in the global automotive industry. It is based on the Toyota Production System, which combines technical processes with shared values to create a consistent way of working. According to Liker (2021), two core principles sit at the centre of this culture: kaizen, meaning continuous improvement, and respect for people. These principles are not abstract ideas but are embedded in everyday practices, shaping how employees think, behave and contribute to organisational goals.</w:t>
      </w:r>
    </w:p>
    <w:p w14:paraId="2D861941" w14:textId="710F05A1" w:rsidR="000A3720" w:rsidRPr="00E92CD3" w:rsidRDefault="000A3720" w:rsidP="00E92CD3">
      <w:pPr>
        <w:pStyle w:val="NormalWeb"/>
        <w:spacing w:line="360" w:lineRule="auto"/>
        <w:jc w:val="both"/>
        <w:rPr>
          <w:rFonts w:ascii="Arial" w:hAnsi="Arial" w:cs="Arial"/>
        </w:rPr>
      </w:pPr>
      <w:r w:rsidRPr="00E92CD3">
        <w:rPr>
          <w:rFonts w:ascii="Arial" w:hAnsi="Arial" w:cs="Arial"/>
        </w:rPr>
        <w:t xml:space="preserve">Kaizen encourages employees at all levels to identify problems, suggest improvements and take responsibility for refining processes. This creates an active and engaged workforce rather than a passive one. Employees are expected to look for small improvements in their daily work, which over time leads to significant gains in efficiency and quality. Ohno (2019) explains that this focus on continuous improvement is a key reason for Toyota’s long term success, helping the company maintain high standards across its global operations. </w:t>
      </w:r>
    </w:p>
    <w:p w14:paraId="2F4874AC" w14:textId="6EA9CD44" w:rsidR="000A3720" w:rsidRPr="00E92CD3" w:rsidRDefault="00A4384C" w:rsidP="00E92CD3">
      <w:pPr>
        <w:pStyle w:val="NormalWeb"/>
        <w:spacing w:line="360" w:lineRule="auto"/>
        <w:jc w:val="both"/>
        <w:rPr>
          <w:rFonts w:ascii="Arial" w:hAnsi="Arial" w:cs="Arial"/>
        </w:rPr>
      </w:pPr>
      <w:r w:rsidRPr="00E92CD3">
        <w:rPr>
          <w:rFonts w:ascii="Arial" w:hAnsi="Arial" w:cs="Arial"/>
        </w:rPr>
        <w:t>The principle of respect for people is based on trust, teamwork and employee involvement. Toyota believes that employees closest to the work understand it best, so they are encouraged to identify problems and suggest solutions. A clear example is the authority given to frontline workers to stop production when defects are found. Liker and Convis (2020) explain that this shows quality is prioritised over speed and that employees are trusted with important decisions. This approach improves motivation, strengthens accountability and enhances collaboration across teams.</w:t>
      </w:r>
    </w:p>
    <w:p w14:paraId="63BF3008" w14:textId="77777777" w:rsidR="00A4384C" w:rsidRPr="00E92CD3" w:rsidRDefault="00A4384C" w:rsidP="00E92CD3">
      <w:pPr>
        <w:pStyle w:val="NormalWeb"/>
        <w:spacing w:line="360" w:lineRule="auto"/>
        <w:jc w:val="both"/>
        <w:rPr>
          <w:rFonts w:ascii="Arial" w:hAnsi="Arial" w:cs="Arial"/>
        </w:rPr>
      </w:pPr>
      <w:r w:rsidRPr="00E92CD3">
        <w:rPr>
          <w:rFonts w:ascii="Arial" w:hAnsi="Arial" w:cs="Arial"/>
        </w:rPr>
        <w:t>Toyota’s culture is influenced by broader Japanese values such as collectivism, harmony and long term thinking. These values promote cooperation and shared goals rather than individual achievement. Hofstede (2011) explains that Japan’s high uncertainty avoidance leads organisations to rely on structure, clear rules and standardised processes, which is reflected in Toyota’s careful and systematic decision making. While this improves stability and reduces risk, it can also slow responses in fast changing environments. Meyer (2014) adds that indirect communication in Japanese organisations supports harmony but may limit open discussion and delay urgent decisions.</w:t>
      </w:r>
    </w:p>
    <w:p w14:paraId="19A7013D" w14:textId="579E01FD" w:rsidR="000A3720" w:rsidRPr="00E92CD3" w:rsidRDefault="000A3720" w:rsidP="00E92CD3">
      <w:pPr>
        <w:pStyle w:val="NormalWeb"/>
        <w:spacing w:line="360" w:lineRule="auto"/>
        <w:jc w:val="both"/>
        <w:rPr>
          <w:rFonts w:ascii="Arial" w:hAnsi="Arial" w:cs="Arial"/>
        </w:rPr>
      </w:pPr>
      <w:r w:rsidRPr="00E92CD3">
        <w:rPr>
          <w:rFonts w:ascii="Arial" w:hAnsi="Arial" w:cs="Arial"/>
        </w:rPr>
        <w:t>A key strength of Toyota’s culture is how it is maintained and transferred across the organisation. The company invests heavily in training and induction programmes to ensure employees understand the Toyota Way. This helps create consistency across different countries and operations. Leaders also play an important role in reinforcing culture by acting as role models and demonstrating expected behaviours.</w:t>
      </w:r>
    </w:p>
    <w:p w14:paraId="7F84F972" w14:textId="77777777" w:rsidR="000A3720" w:rsidRPr="00E92CD3" w:rsidRDefault="000A3720" w:rsidP="00E92CD3">
      <w:pPr>
        <w:pStyle w:val="NormalWeb"/>
        <w:spacing w:line="360" w:lineRule="auto"/>
        <w:jc w:val="both"/>
        <w:rPr>
          <w:rFonts w:ascii="Arial" w:hAnsi="Arial" w:cs="Arial"/>
        </w:rPr>
      </w:pPr>
      <w:r w:rsidRPr="00E92CD3">
        <w:rPr>
          <w:rFonts w:ascii="Arial" w:hAnsi="Arial" w:cs="Arial"/>
        </w:rPr>
        <w:t>One important leadership practice is genchi genbutsu, meaning “go and see”. This requires managers to observe problems directly rather than relying on reports. Toyota’s culture is deeply embedded and strongly influences how the organisation operates. It supports efficiency, quality and continuous improvement, while also creating some limitations in speed and flexibility in certain situations.</w:t>
      </w:r>
    </w:p>
    <w:p w14:paraId="6EE0751D" w14:textId="6D3AB029" w:rsidR="0042290B" w:rsidRPr="00E92CD3" w:rsidRDefault="00700B4F" w:rsidP="00E92CD3">
      <w:pPr>
        <w:pStyle w:val="Heading1"/>
        <w:numPr>
          <w:ilvl w:val="0"/>
          <w:numId w:val="13"/>
        </w:numPr>
      </w:pPr>
      <w:bookmarkStart w:id="2" w:name="_Toc227451407"/>
      <w:r w:rsidRPr="00E92CD3">
        <w:t>How Organisational Culture Shapes Structure and Decision</w:t>
      </w:r>
      <w:r w:rsidRPr="00E92CD3">
        <w:noBreakHyphen/>
        <w:t>Making</w:t>
      </w:r>
      <w:bookmarkEnd w:id="2"/>
      <w:r w:rsidRPr="00E92CD3">
        <w:t xml:space="preserve"> </w:t>
      </w:r>
    </w:p>
    <w:p w14:paraId="764DC165" w14:textId="77777777" w:rsid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Toyota’s organisational culture has a strong impact on how the company is structured and how decisions are made. The company uses a hybrid structure that combines clear hierarchy with a level of decentralisation. This reflects its cultural focus on discipline, accountability and employee involvement. Decision making is often placed close to the operational level, where employees can directly see problems and suggest improvements. This supports Toyota’s focus on quality, efficiency and continuous improvement.</w:t>
      </w:r>
    </w:p>
    <w:p w14:paraId="6AFA2624" w14:textId="77777777" w:rsidR="00E92CD3" w:rsidRDefault="00E92CD3" w:rsidP="00E92CD3">
      <w:pPr>
        <w:pStyle w:val="NoSpacing"/>
        <w:spacing w:line="360" w:lineRule="auto"/>
        <w:jc w:val="both"/>
        <w:rPr>
          <w:rFonts w:ascii="Arial" w:hAnsi="Arial" w:cs="Arial"/>
          <w:sz w:val="24"/>
          <w:szCs w:val="24"/>
        </w:rPr>
      </w:pPr>
    </w:p>
    <w:p w14:paraId="292C246F" w14:textId="77777777" w:rsid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At the operational level, Toyota uses a team based approach where small groups work together to manage production. This fits with the company’s emphasis on teamwork and shared responsibility. Employees are expected to take part in problem solving, share ideas and contribute to improving processes. Nguyen and Watanabe (2022) argue that this type of structure improves performance because it encourages coordination and builds a sense of ownership among employees. As a result, workers feel more responsible for outcomes and are more engaged in their roles.</w:t>
      </w:r>
    </w:p>
    <w:p w14:paraId="1A25BBAD" w14:textId="77777777" w:rsidR="00E92CD3" w:rsidRDefault="00E92CD3" w:rsidP="00E92CD3">
      <w:pPr>
        <w:pStyle w:val="NoSpacing"/>
        <w:spacing w:line="360" w:lineRule="auto"/>
        <w:jc w:val="both"/>
        <w:rPr>
          <w:rFonts w:ascii="Arial" w:hAnsi="Arial" w:cs="Arial"/>
          <w:sz w:val="24"/>
          <w:szCs w:val="24"/>
        </w:rPr>
      </w:pPr>
    </w:p>
    <w:p w14:paraId="3748FEEC" w14:textId="77777777" w:rsid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Decision making at Toyota is also shaped by its culture, especially through a process known as nemawashi. This involves informal discussions and consultation before any formal decision is made. It ensures that different views are considered and that there is agreement before action is taken. Liker and Convis (2020) explain that this reduces resistance because employees understand and support decisions from the beginning. It also reflects Toyota’s belief that strong decisions come from shared input rather than individual authority.</w:t>
      </w:r>
    </w:p>
    <w:p w14:paraId="70E5AABD" w14:textId="77777777" w:rsidR="00E92CD3" w:rsidRDefault="00E92CD3" w:rsidP="00E92CD3">
      <w:pPr>
        <w:pStyle w:val="NoSpacing"/>
        <w:spacing w:line="360" w:lineRule="auto"/>
        <w:jc w:val="both"/>
        <w:rPr>
          <w:rFonts w:ascii="Arial" w:hAnsi="Arial" w:cs="Arial"/>
          <w:sz w:val="24"/>
          <w:szCs w:val="24"/>
        </w:rPr>
      </w:pPr>
    </w:p>
    <w:p w14:paraId="6DF65ABA" w14:textId="77777777" w:rsid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However, this approach can also create challenges. Reaching agreement takes time, which can slow down decision making in fast moving situations. This became clear during the recall crisis between 2009 and 2010, when Toyota was criticised for responding slowly to safety issues. Kingston (2018) suggests that this delay was partly linked to the company’s focus on careful consultation and maintaining harmony, rather than acting quickly.</w:t>
      </w:r>
    </w:p>
    <w:p w14:paraId="639811BB" w14:textId="77777777" w:rsidR="00E92CD3" w:rsidRDefault="00E92CD3" w:rsidP="00E92CD3">
      <w:pPr>
        <w:pStyle w:val="NoSpacing"/>
        <w:spacing w:line="360" w:lineRule="auto"/>
        <w:jc w:val="both"/>
        <w:rPr>
          <w:rFonts w:ascii="Arial" w:hAnsi="Arial" w:cs="Arial"/>
          <w:sz w:val="24"/>
          <w:szCs w:val="24"/>
        </w:rPr>
      </w:pPr>
    </w:p>
    <w:p w14:paraId="520E6B82" w14:textId="1F037B26" w:rsidR="00CB09C3" w:rsidRP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Toyota’s structure also shows its focus on consistency and reducing risk. The company uses standardised processes, clear procedures and visual management systems to keep operations stable. Hofstede (2011) highlights that Japan has a high level of uncertainty avoidance, which helps explain Toyota’s focus on control and predictability. These systems help maintain quality across global operations but can also limit flexibility when quick changes are needed.</w:t>
      </w:r>
    </w:p>
    <w:p w14:paraId="1468B2B9" w14:textId="77777777" w:rsidR="00CB09C3" w:rsidRPr="00E92CD3" w:rsidRDefault="00CB09C3" w:rsidP="00E92CD3">
      <w:pPr>
        <w:pStyle w:val="Heading1"/>
        <w:spacing w:line="360" w:lineRule="auto"/>
        <w:jc w:val="both"/>
        <w:rPr>
          <w:rFonts w:cs="Arial"/>
          <w:szCs w:val="24"/>
        </w:rPr>
      </w:pPr>
      <w:bookmarkStart w:id="3" w:name="_Toc227451408"/>
      <w:r w:rsidRPr="00E92CD3">
        <w:rPr>
          <w:rFonts w:cs="Arial"/>
          <w:szCs w:val="24"/>
        </w:rPr>
        <w:t>Even with a clear hierarchy, Toyota gives employees a high level of responsibility at the operational level. Workers have the authority to stop production if they find a problem, which shows trust and reinforces accountability. This supports the idea that quality is everyone’s responsibility and not just management’s role.</w:t>
      </w:r>
      <w:bookmarkEnd w:id="3"/>
    </w:p>
    <w:p w14:paraId="7F5F2267" w14:textId="1919F8C1" w:rsidR="00CB09C3" w:rsidRPr="00E92CD3" w:rsidRDefault="00CB09C3" w:rsidP="00E92CD3">
      <w:pPr>
        <w:pStyle w:val="Heading1"/>
        <w:spacing w:line="360" w:lineRule="auto"/>
        <w:jc w:val="both"/>
        <w:rPr>
          <w:rFonts w:cs="Arial"/>
          <w:szCs w:val="24"/>
        </w:rPr>
      </w:pPr>
      <w:bookmarkStart w:id="4" w:name="_Toc227451409"/>
      <w:r w:rsidRPr="00E92CD3">
        <w:rPr>
          <w:rFonts w:cs="Arial"/>
          <w:szCs w:val="24"/>
        </w:rPr>
        <w:t>Toyota’s culture strongly shapes its structure and decision making. It promotes teamwork, shared responsibility and careful planning, which supports high quality performance. At the same time, these strengths can become limitations when the company needs to respond quickly or adopt more radical changes.</w:t>
      </w:r>
      <w:bookmarkEnd w:id="4"/>
    </w:p>
    <w:p w14:paraId="15CC9F12" w14:textId="6EF67122" w:rsidR="00700B4F" w:rsidRPr="00E92CD3" w:rsidRDefault="00700B4F" w:rsidP="00E92CD3">
      <w:pPr>
        <w:pStyle w:val="Heading1"/>
        <w:numPr>
          <w:ilvl w:val="0"/>
          <w:numId w:val="13"/>
        </w:numPr>
        <w:spacing w:line="360" w:lineRule="auto"/>
        <w:jc w:val="both"/>
        <w:rPr>
          <w:rFonts w:cs="Arial"/>
          <w:szCs w:val="24"/>
        </w:rPr>
      </w:pPr>
      <w:bookmarkStart w:id="5" w:name="_Toc227451410"/>
      <w:r w:rsidRPr="00E92CD3">
        <w:rPr>
          <w:rFonts w:cs="Arial"/>
          <w:szCs w:val="24"/>
        </w:rPr>
        <w:t>Relevant Frameworks</w:t>
      </w:r>
      <w:r w:rsidR="00D37354" w:rsidRPr="00E92CD3">
        <w:rPr>
          <w:rFonts w:cs="Arial"/>
          <w:szCs w:val="24"/>
        </w:rPr>
        <w:t xml:space="preserve"> and Model</w:t>
      </w:r>
      <w:bookmarkEnd w:id="5"/>
    </w:p>
    <w:p w14:paraId="428FF9EA" w14:textId="77777777" w:rsidR="00CB09C3" w:rsidRP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Schein’s organisational culture model helps explain how Toyota’s culture influences both its structure and decision making. By looking at artefacts, espoused values and underlying assumptions, it is clear that Toyota’s way of working is closely connected to its cultural foundations rather than being purely a management choice.</w:t>
      </w:r>
    </w:p>
    <w:p w14:paraId="28735B81" w14:textId="77777777" w:rsidR="00CB09C3" w:rsidRPr="00E92CD3" w:rsidRDefault="00CB09C3" w:rsidP="00E92CD3">
      <w:pPr>
        <w:pStyle w:val="NoSpacing"/>
        <w:spacing w:line="360" w:lineRule="auto"/>
        <w:jc w:val="both"/>
        <w:rPr>
          <w:rFonts w:ascii="Arial" w:hAnsi="Arial" w:cs="Arial"/>
          <w:sz w:val="24"/>
          <w:szCs w:val="24"/>
        </w:rPr>
      </w:pPr>
    </w:p>
    <w:p w14:paraId="6C8A2101" w14:textId="77777777" w:rsidR="00CB09C3" w:rsidRP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At the level of artefacts, Toyota’s structure can be seen through its standardised processes, team based work and visual management systems. Tools such as Andon boards, structured problem solving methods and clear production routines are all visible parts of daily operations. These elements show discipline and consistency, but Schein (2017) explains that artefacts on their own do not fully explain behaviour. They are only surface level signs of deeper cultural ideas. This is supported by Bortolotti et al. (2021), who argue that systems like standard work charts and Andon are not just operational tools but reflect deeper values embedded in Toyota’s culture.</w:t>
      </w:r>
    </w:p>
    <w:p w14:paraId="0A210599" w14:textId="77777777" w:rsidR="00CB09C3" w:rsidRPr="00E92CD3" w:rsidRDefault="00CB09C3" w:rsidP="00E92CD3">
      <w:pPr>
        <w:pStyle w:val="NoSpacing"/>
        <w:spacing w:line="360" w:lineRule="auto"/>
        <w:jc w:val="both"/>
        <w:rPr>
          <w:rFonts w:ascii="Arial" w:hAnsi="Arial" w:cs="Arial"/>
          <w:sz w:val="24"/>
          <w:szCs w:val="24"/>
        </w:rPr>
      </w:pPr>
    </w:p>
    <w:p w14:paraId="2FE07727" w14:textId="77777777" w:rsidR="00CB09C3" w:rsidRP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At the level of espoused values, Toyota strongly promotes continuous improvement and respect for people. These values shape how the organisation is structured, encouraging teamwork, employee involvement and shared responsibility. The structure allows decentralised problem solving within a wider hierarchical system. Hines et al. (2020) note that when values and structure are aligned, employees have clearer guidance, which improves performance and coordination. However, Schein also highlights that stated values do not always match actual behaviour. This can be seen during Toyota’s recall crisis, where the company’s focus on quality and openness appeared inconsistent with slow decision making and risk avoidance in practice.</w:t>
      </w:r>
    </w:p>
    <w:p w14:paraId="5147F253" w14:textId="77777777" w:rsidR="00CB09C3" w:rsidRPr="00E92CD3" w:rsidRDefault="00CB09C3" w:rsidP="00E92CD3">
      <w:pPr>
        <w:pStyle w:val="NoSpacing"/>
        <w:spacing w:line="360" w:lineRule="auto"/>
        <w:jc w:val="both"/>
        <w:rPr>
          <w:rFonts w:ascii="Arial" w:hAnsi="Arial" w:cs="Arial"/>
          <w:sz w:val="24"/>
          <w:szCs w:val="24"/>
        </w:rPr>
      </w:pPr>
    </w:p>
    <w:p w14:paraId="50284E37" w14:textId="77777777" w:rsidR="00CB09C3" w:rsidRP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The deepest level, underlying assumptions, has the strongest influence on Toyota’s culture. One key assumption is that employees are capable of identifying and solving problems. Another is that quality is a shared responsibility across all levels of the organisation. These beliefs support decentralised authority, where frontline workers can stop production if issues arise. Netland and Powell (2022) suggest that these assumptions are central to Toyota’s ability to learn and remain resilient across global operations. However, they can also create limitations. A strong belief in consensus and careful analysis can slow down decision making, especially in fast changing environments where speed is important.</w:t>
      </w:r>
    </w:p>
    <w:p w14:paraId="354D7BAF" w14:textId="77777777" w:rsidR="00CB09C3" w:rsidRPr="00E92CD3" w:rsidRDefault="00CB09C3" w:rsidP="00E92CD3">
      <w:pPr>
        <w:pStyle w:val="NoSpacing"/>
        <w:spacing w:line="360" w:lineRule="auto"/>
        <w:jc w:val="both"/>
        <w:rPr>
          <w:rFonts w:ascii="Arial" w:hAnsi="Arial" w:cs="Arial"/>
          <w:sz w:val="24"/>
          <w:szCs w:val="24"/>
        </w:rPr>
      </w:pPr>
    </w:p>
    <w:p w14:paraId="788EAB08" w14:textId="77777777" w:rsidR="00CB09C3" w:rsidRP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Schein’s model shows that Toyota’s strength comes from the alignment between what is visible, what is stated and what is deeply believed. The structure of the organisation reflects its culture rather than existing separately from it. However, this same alignment can also create challenges. Deeply embedded assumptions support stability and high quality, but they can reduce flexibility and slow responses when rapid change is needed.</w:t>
      </w:r>
    </w:p>
    <w:p w14:paraId="14445688" w14:textId="77777777" w:rsidR="00CB09C3" w:rsidRPr="00E92CD3" w:rsidRDefault="00CB09C3" w:rsidP="00E92CD3">
      <w:pPr>
        <w:pStyle w:val="NoSpacing"/>
        <w:spacing w:line="360" w:lineRule="auto"/>
        <w:jc w:val="both"/>
        <w:rPr>
          <w:rFonts w:ascii="Arial" w:hAnsi="Arial" w:cs="Arial"/>
          <w:sz w:val="24"/>
          <w:szCs w:val="24"/>
        </w:rPr>
      </w:pPr>
    </w:p>
    <w:p w14:paraId="039E5127" w14:textId="1CB8665E" w:rsidR="00877CD7" w:rsidRPr="00E92CD3" w:rsidRDefault="00CB09C3" w:rsidP="00E92CD3">
      <w:pPr>
        <w:pStyle w:val="NoSpacing"/>
        <w:spacing w:line="360" w:lineRule="auto"/>
        <w:jc w:val="both"/>
        <w:rPr>
          <w:rFonts w:ascii="Arial" w:hAnsi="Arial" w:cs="Arial"/>
          <w:sz w:val="24"/>
          <w:szCs w:val="24"/>
        </w:rPr>
      </w:pPr>
      <w:r w:rsidRPr="00E92CD3">
        <w:rPr>
          <w:rFonts w:ascii="Arial" w:hAnsi="Arial" w:cs="Arial"/>
          <w:sz w:val="24"/>
          <w:szCs w:val="24"/>
        </w:rPr>
        <w:t>In this way, Schein’s framework helps explain both why Toyota performs so strongly and why it may struggle in situations that require faster or more radical decision making.</w:t>
      </w:r>
    </w:p>
    <w:p w14:paraId="75CFC682" w14:textId="56648899" w:rsidR="00700B4F" w:rsidRPr="00E92CD3" w:rsidRDefault="00700B4F" w:rsidP="00E92CD3">
      <w:pPr>
        <w:pStyle w:val="Heading1"/>
        <w:numPr>
          <w:ilvl w:val="0"/>
          <w:numId w:val="13"/>
        </w:numPr>
        <w:spacing w:line="360" w:lineRule="auto"/>
        <w:jc w:val="both"/>
        <w:rPr>
          <w:rFonts w:cs="Arial"/>
          <w:szCs w:val="24"/>
        </w:rPr>
      </w:pPr>
      <w:bookmarkStart w:id="6" w:name="_Toc227451411"/>
      <w:r w:rsidRPr="00E92CD3">
        <w:rPr>
          <w:rFonts w:cs="Arial"/>
          <w:szCs w:val="24"/>
        </w:rPr>
        <w:t>Organisational Culture and Adaptation to the External Environment</w:t>
      </w:r>
      <w:bookmarkEnd w:id="6"/>
      <w:r w:rsidRPr="00E92CD3">
        <w:rPr>
          <w:rFonts w:cs="Arial"/>
          <w:szCs w:val="24"/>
        </w:rPr>
        <w:t xml:space="preserve"> </w:t>
      </w:r>
    </w:p>
    <w:p w14:paraId="704AFECE" w14:textId="77777777" w:rsidR="00E70C09" w:rsidRPr="00E92CD3" w:rsidRDefault="00E70C09" w:rsidP="00E92CD3">
      <w:pPr>
        <w:pStyle w:val="NoSpacing"/>
        <w:spacing w:line="360" w:lineRule="auto"/>
        <w:jc w:val="both"/>
        <w:rPr>
          <w:rFonts w:ascii="Arial" w:hAnsi="Arial" w:cs="Arial"/>
          <w:sz w:val="24"/>
          <w:szCs w:val="24"/>
        </w:rPr>
      </w:pPr>
      <w:r w:rsidRPr="00E92CD3">
        <w:rPr>
          <w:rFonts w:ascii="Arial" w:hAnsi="Arial" w:cs="Arial"/>
          <w:sz w:val="24"/>
          <w:szCs w:val="24"/>
        </w:rPr>
        <w:t>Toyota operates in a fast changing global environment that is influenced by rapid technological development, stricter regulations and changing customer expectations. In this context, organisational culture is important because it helps the company adapt to external pressures while still maintaining long term stability. Key values such as continuous improvement, teamwork and long term thinking give Toyota a stable foundation, but they also shape how the company responds to change.</w:t>
      </w:r>
    </w:p>
    <w:p w14:paraId="081E250B" w14:textId="77777777" w:rsidR="00E70C09" w:rsidRPr="00E92CD3" w:rsidRDefault="00E70C09" w:rsidP="00E92CD3">
      <w:pPr>
        <w:pStyle w:val="NoSpacing"/>
        <w:spacing w:line="360" w:lineRule="auto"/>
        <w:jc w:val="both"/>
        <w:rPr>
          <w:rFonts w:ascii="Arial" w:hAnsi="Arial" w:cs="Arial"/>
          <w:sz w:val="24"/>
          <w:szCs w:val="24"/>
        </w:rPr>
      </w:pPr>
    </w:p>
    <w:p w14:paraId="077FC262" w14:textId="77777777" w:rsidR="00E70C09" w:rsidRPr="00E92CD3" w:rsidRDefault="00E70C09" w:rsidP="00E92CD3">
      <w:pPr>
        <w:pStyle w:val="NoSpacing"/>
        <w:spacing w:line="360" w:lineRule="auto"/>
        <w:jc w:val="both"/>
        <w:rPr>
          <w:rFonts w:ascii="Arial" w:hAnsi="Arial" w:cs="Arial"/>
          <w:sz w:val="24"/>
          <w:szCs w:val="24"/>
        </w:rPr>
      </w:pPr>
      <w:r w:rsidRPr="00E92CD3">
        <w:rPr>
          <w:rFonts w:ascii="Arial" w:hAnsi="Arial" w:cs="Arial"/>
          <w:sz w:val="24"/>
          <w:szCs w:val="24"/>
        </w:rPr>
        <w:t>One of the main ways Toyota deals with external challenges is through continuous improvement, known as kaizen. This encourages employees to constantly look for problems, suggest improvements and refine processes. It creates a structured way of improving operations step by step rather than through sudden changes. Cusumano (2020) explains that this approach to gradual innovation has helped Toyota stay competitive because it allows the company to adjust to market changes while maintaining quality and reliability.</w:t>
      </w:r>
    </w:p>
    <w:p w14:paraId="4B50E398" w14:textId="77777777" w:rsidR="00E70C09" w:rsidRPr="00E92CD3" w:rsidRDefault="00E70C09" w:rsidP="00E92CD3">
      <w:pPr>
        <w:pStyle w:val="NoSpacing"/>
        <w:spacing w:line="360" w:lineRule="auto"/>
        <w:jc w:val="both"/>
        <w:rPr>
          <w:rFonts w:ascii="Arial" w:hAnsi="Arial" w:cs="Arial"/>
          <w:sz w:val="24"/>
          <w:szCs w:val="24"/>
        </w:rPr>
      </w:pPr>
    </w:p>
    <w:p w14:paraId="79382EAF" w14:textId="77777777" w:rsidR="00E70C09" w:rsidRPr="00E92CD3" w:rsidRDefault="00E70C09" w:rsidP="00E92CD3">
      <w:pPr>
        <w:pStyle w:val="NoSpacing"/>
        <w:spacing w:line="360" w:lineRule="auto"/>
        <w:jc w:val="both"/>
        <w:rPr>
          <w:rFonts w:ascii="Arial" w:hAnsi="Arial" w:cs="Arial"/>
          <w:sz w:val="24"/>
          <w:szCs w:val="24"/>
        </w:rPr>
      </w:pPr>
      <w:r w:rsidRPr="00E92CD3">
        <w:rPr>
          <w:rFonts w:ascii="Arial" w:hAnsi="Arial" w:cs="Arial"/>
          <w:sz w:val="24"/>
          <w:szCs w:val="24"/>
        </w:rPr>
        <w:t>Toyota’s culture also helps the company remain stable during crises. The organisation has managed to continue operating effectively during supply chain disruptions caused by natural disasters and political issues. This is supported by strong teamwork, preparation and a focus on improving processes over time. Zhang et al. (2024) argue that organisations with strong learning cultures and cooperation are better able to deal with uncertainty and recover from disruptions more effectively.</w:t>
      </w:r>
    </w:p>
    <w:p w14:paraId="7B63E210" w14:textId="77777777" w:rsidR="00E70C09" w:rsidRPr="00E92CD3" w:rsidRDefault="00E70C09" w:rsidP="00E92CD3">
      <w:pPr>
        <w:pStyle w:val="NoSpacing"/>
        <w:spacing w:line="360" w:lineRule="auto"/>
        <w:jc w:val="both"/>
        <w:rPr>
          <w:rFonts w:ascii="Arial" w:hAnsi="Arial" w:cs="Arial"/>
          <w:sz w:val="24"/>
          <w:szCs w:val="24"/>
        </w:rPr>
      </w:pPr>
    </w:p>
    <w:p w14:paraId="41E46EA2" w14:textId="3E247339" w:rsidR="00E70C09" w:rsidRPr="00E92CD3" w:rsidRDefault="00E70C09" w:rsidP="00E92CD3">
      <w:pPr>
        <w:pStyle w:val="NoSpacing"/>
        <w:spacing w:line="360" w:lineRule="auto"/>
        <w:jc w:val="both"/>
        <w:rPr>
          <w:rFonts w:ascii="Arial" w:hAnsi="Arial" w:cs="Arial"/>
          <w:sz w:val="24"/>
          <w:szCs w:val="24"/>
        </w:rPr>
      </w:pPr>
      <w:r w:rsidRPr="00E92CD3">
        <w:rPr>
          <w:rFonts w:ascii="Arial" w:hAnsi="Arial" w:cs="Arial"/>
          <w:sz w:val="24"/>
          <w:szCs w:val="24"/>
        </w:rPr>
        <w:t xml:space="preserve">However, the global automotive industry is changing quickly, especially with the rise of electric vehicles, digital technology and </w:t>
      </w:r>
      <w:r w:rsidR="00E92CD3" w:rsidRPr="00E92CD3">
        <w:rPr>
          <w:rFonts w:ascii="Arial" w:hAnsi="Arial" w:cs="Arial"/>
          <w:sz w:val="24"/>
          <w:szCs w:val="24"/>
        </w:rPr>
        <w:t>self-driving</w:t>
      </w:r>
      <w:r w:rsidRPr="00E92CD3">
        <w:rPr>
          <w:rFonts w:ascii="Arial" w:hAnsi="Arial" w:cs="Arial"/>
          <w:sz w:val="24"/>
          <w:szCs w:val="24"/>
        </w:rPr>
        <w:t xml:space="preserve"> systems. The International Energy Agency (IEA, 2023) highlights that the industry is going through major transformation driven by electrification and digital innovation. Toyota has been criticised for taking a more cautious approach to electric vehicles. This reflects its culture of long term planning and risk reduction. While this helps avoid mistakes, it may also slow down the company compared to competitors that are moving more quickly into new technologies. This shows how cultural strengths can also become limitations when fast and radical change is needed.</w:t>
      </w:r>
    </w:p>
    <w:p w14:paraId="73750933" w14:textId="77777777" w:rsidR="00E70C09" w:rsidRPr="00E92CD3" w:rsidRDefault="00E70C09" w:rsidP="00E92CD3">
      <w:pPr>
        <w:pStyle w:val="NoSpacing"/>
        <w:spacing w:line="360" w:lineRule="auto"/>
        <w:jc w:val="both"/>
        <w:rPr>
          <w:rFonts w:ascii="Arial" w:hAnsi="Arial" w:cs="Arial"/>
          <w:sz w:val="24"/>
          <w:szCs w:val="24"/>
        </w:rPr>
      </w:pPr>
    </w:p>
    <w:p w14:paraId="6BEEED40" w14:textId="77777777" w:rsidR="00E70C09" w:rsidRPr="00E92CD3" w:rsidRDefault="00E70C09" w:rsidP="00E92CD3">
      <w:pPr>
        <w:pStyle w:val="NoSpacing"/>
        <w:spacing w:line="360" w:lineRule="auto"/>
        <w:jc w:val="both"/>
        <w:rPr>
          <w:rFonts w:ascii="Arial" w:hAnsi="Arial" w:cs="Arial"/>
          <w:sz w:val="24"/>
          <w:szCs w:val="24"/>
        </w:rPr>
      </w:pPr>
      <w:r w:rsidRPr="00E92CD3">
        <w:rPr>
          <w:rFonts w:ascii="Arial" w:hAnsi="Arial" w:cs="Arial"/>
          <w:sz w:val="24"/>
          <w:szCs w:val="24"/>
        </w:rPr>
        <w:t>Toyota also uses a global strategy that balances consistency with local adaptation. The company follows a glocalisation approach, where core values remain the same but practices are adjusted to fit different markets. Smith and Brown (2023) explain that this type of strategy is important for global companies because it allows them to stay consistent while also responding to local needs and expectations.</w:t>
      </w:r>
    </w:p>
    <w:p w14:paraId="481096AD" w14:textId="77777777" w:rsidR="00E70C09" w:rsidRPr="00E92CD3" w:rsidRDefault="00E70C09" w:rsidP="00E92CD3">
      <w:pPr>
        <w:pStyle w:val="NoSpacing"/>
        <w:spacing w:line="360" w:lineRule="auto"/>
        <w:jc w:val="both"/>
        <w:rPr>
          <w:rFonts w:ascii="Arial" w:hAnsi="Arial" w:cs="Arial"/>
          <w:sz w:val="24"/>
          <w:szCs w:val="24"/>
        </w:rPr>
      </w:pPr>
    </w:p>
    <w:p w14:paraId="4CD9C909" w14:textId="69170922" w:rsidR="001F1666" w:rsidRPr="00E92CD3" w:rsidRDefault="00E70C09" w:rsidP="00E92CD3">
      <w:pPr>
        <w:pStyle w:val="NoSpacing"/>
        <w:spacing w:line="360" w:lineRule="auto"/>
        <w:jc w:val="both"/>
        <w:rPr>
          <w:rFonts w:ascii="Arial" w:hAnsi="Arial" w:cs="Arial"/>
          <w:sz w:val="24"/>
          <w:szCs w:val="24"/>
        </w:rPr>
      </w:pPr>
      <w:r w:rsidRPr="00E92CD3">
        <w:rPr>
          <w:rFonts w:ascii="Arial" w:hAnsi="Arial" w:cs="Arial"/>
          <w:sz w:val="24"/>
          <w:szCs w:val="24"/>
        </w:rPr>
        <w:t>Toyota’s organisational culture supports adaptation through continuous improvement, cooperation and long term thinking. These strengths help the company stay stable and competitive in many situations. However, the same cultural values can also make it harder for Toyota to respond quickly to major disruptions or fast industry change. As a result, the company needs to balance its strong cultural identity with the need for greater flexibility in a rapidly evolving global environment.</w:t>
      </w:r>
    </w:p>
    <w:p w14:paraId="4EF16971" w14:textId="77777777" w:rsidR="00E92CD3" w:rsidRPr="00E92CD3" w:rsidRDefault="00E92CD3" w:rsidP="00E92CD3">
      <w:pPr>
        <w:pStyle w:val="NormalWeb"/>
        <w:spacing w:line="360" w:lineRule="auto"/>
        <w:jc w:val="both"/>
        <w:rPr>
          <w:rFonts w:ascii="Arial" w:hAnsi="Arial" w:cs="Arial"/>
        </w:rPr>
      </w:pPr>
      <w:r w:rsidRPr="00E92CD3">
        <w:rPr>
          <w:rFonts w:ascii="Arial" w:hAnsi="Arial" w:cs="Arial"/>
        </w:rPr>
        <w:t>Toyota’s organisational culture can be understood as both a strength and a limitation depending on the context. Cameron and Quinn (2019) explain that strong cultures often enhance performance but may reduce flexibility when rapid change is required. At Toyota, this dual nature is evident in how culture supports efficiency and stability while also shaping how the company responds to external pressures.</w:t>
      </w:r>
    </w:p>
    <w:p w14:paraId="1E66F935" w14:textId="77777777" w:rsidR="00E92CD3" w:rsidRPr="00E92CD3" w:rsidRDefault="00E92CD3" w:rsidP="00E92CD3">
      <w:pPr>
        <w:pStyle w:val="NormalWeb"/>
        <w:spacing w:line="360" w:lineRule="auto"/>
        <w:jc w:val="both"/>
        <w:rPr>
          <w:rFonts w:ascii="Arial" w:hAnsi="Arial" w:cs="Arial"/>
        </w:rPr>
      </w:pPr>
      <w:r w:rsidRPr="00E92CD3">
        <w:rPr>
          <w:rFonts w:ascii="Arial" w:hAnsi="Arial" w:cs="Arial"/>
        </w:rPr>
        <w:t>On the positive side, Toyota’s culture promotes high levels of employee involvement, efficiency and quality. A key feature is continuous improvement, or kaizen, which encourages employees to identify problems and refine processes regularly. This creates a disciplined and proactive workforce focused on long term performance gains. Nguyen and Watanabe (2022) argue that such cultural characteristics are strongly linked to improved operational outcomes in manufacturing organisations, reinforcing Toyota’s global competitiveness.</w:t>
      </w:r>
    </w:p>
    <w:p w14:paraId="6F7321F8" w14:textId="77777777" w:rsidR="00E92CD3" w:rsidRPr="00E92CD3" w:rsidRDefault="00E92CD3" w:rsidP="00E92CD3">
      <w:pPr>
        <w:pStyle w:val="NormalWeb"/>
        <w:spacing w:line="360" w:lineRule="auto"/>
        <w:jc w:val="both"/>
        <w:rPr>
          <w:rFonts w:ascii="Arial" w:hAnsi="Arial" w:cs="Arial"/>
        </w:rPr>
      </w:pPr>
      <w:r w:rsidRPr="00E92CD3">
        <w:rPr>
          <w:rFonts w:ascii="Arial" w:hAnsi="Arial" w:cs="Arial"/>
        </w:rPr>
        <w:t>Employee engagement is another major strength. The principle of respect for people ensures employees feel valued and included in decision making. At Toyota, workers are encouraged to contribute ideas and take responsibility for quality outcomes. Denison et al. (2021) highlight that strong organisational cultures improve performance by building shared values that support cooperation and commitment. This increases motivation and strengthens ownership of work, supporting continuous learning.</w:t>
      </w:r>
    </w:p>
    <w:p w14:paraId="2EEB1E62" w14:textId="77777777" w:rsidR="00E92CD3" w:rsidRPr="00E92CD3" w:rsidRDefault="00E92CD3" w:rsidP="00E92CD3">
      <w:pPr>
        <w:pStyle w:val="NormalWeb"/>
        <w:spacing w:line="360" w:lineRule="auto"/>
        <w:jc w:val="both"/>
        <w:rPr>
          <w:rFonts w:ascii="Arial" w:hAnsi="Arial" w:cs="Arial"/>
        </w:rPr>
      </w:pPr>
      <w:r w:rsidRPr="00E92CD3">
        <w:rPr>
          <w:rFonts w:ascii="Arial" w:hAnsi="Arial" w:cs="Arial"/>
        </w:rPr>
        <w:t>Communication and coordination are also enhanced through structured systems. Toyota uses standardised procedures, visual management tools and team based structures to ensure clarity and consistency. Hofstede (2011) links this to Japan’s high uncertainty avoidance, where organisations rely on rules and structure to reduce risk. This improves reliability and ensures consistent performance across global operations.</w:t>
      </w:r>
    </w:p>
    <w:p w14:paraId="0CF94FAD" w14:textId="77777777" w:rsidR="00E92CD3" w:rsidRPr="00E92CD3" w:rsidRDefault="00E92CD3" w:rsidP="00E92CD3">
      <w:pPr>
        <w:pStyle w:val="NormalWeb"/>
        <w:spacing w:line="360" w:lineRule="auto"/>
        <w:jc w:val="both"/>
        <w:rPr>
          <w:rFonts w:ascii="Arial" w:hAnsi="Arial" w:cs="Arial"/>
        </w:rPr>
      </w:pPr>
      <w:r w:rsidRPr="00E92CD3">
        <w:rPr>
          <w:rFonts w:ascii="Arial" w:hAnsi="Arial" w:cs="Arial"/>
        </w:rPr>
        <w:t>However, there are also limitations. One key issue is consensus based decision making. While this promotes agreement and reduces conflict, it can slow responses in fast moving environments. Kingston (2018) highlights this in relation to Toyota’s recall crisis in the late 2000s, where delays in decision making reduced responsiveness to urgent issues. This illustrates how strong cultural systems can limit flexibility.</w:t>
      </w:r>
    </w:p>
    <w:p w14:paraId="53724A8E" w14:textId="77777777" w:rsidR="00E92CD3" w:rsidRPr="00E92CD3" w:rsidRDefault="00E92CD3" w:rsidP="00E92CD3">
      <w:pPr>
        <w:pStyle w:val="NormalWeb"/>
        <w:spacing w:line="360" w:lineRule="auto"/>
        <w:jc w:val="both"/>
        <w:rPr>
          <w:rFonts w:ascii="Arial" w:hAnsi="Arial" w:cs="Arial"/>
        </w:rPr>
      </w:pPr>
      <w:r w:rsidRPr="00E92CD3">
        <w:rPr>
          <w:rFonts w:ascii="Arial" w:hAnsi="Arial" w:cs="Arial"/>
        </w:rPr>
        <w:t>A similar tension appears in Toyota’s approach to electric vehicles. The International Energy Agency (IEA, 2023) notes that the automotive industry is rapidly changing due to electrification and digital technologies. Toyota’s more cautious strategy reflects its culture of long term planning and risk reduction. While this avoids rushed decisions, it has also led to criticism that the company may be moving too slowly compared to competitors in a fast growing market.</w:t>
      </w:r>
    </w:p>
    <w:p w14:paraId="62A317F4" w14:textId="687899FF" w:rsidR="00E92CD3" w:rsidRPr="00E92CD3" w:rsidRDefault="00E92CD3" w:rsidP="00E92CD3">
      <w:pPr>
        <w:pStyle w:val="NormalWeb"/>
        <w:spacing w:line="360" w:lineRule="auto"/>
        <w:jc w:val="both"/>
        <w:rPr>
          <w:rFonts w:ascii="Arial" w:hAnsi="Arial" w:cs="Arial"/>
        </w:rPr>
      </w:pPr>
      <w:r>
        <w:rPr>
          <w:rFonts w:ascii="Arial" w:hAnsi="Arial" w:cs="Arial"/>
        </w:rPr>
        <w:t>T</w:t>
      </w:r>
      <w:r w:rsidRPr="00E92CD3">
        <w:rPr>
          <w:rFonts w:ascii="Arial" w:hAnsi="Arial" w:cs="Arial"/>
        </w:rPr>
        <w:t>oyota’s culture is a key driver of effective organisational functioning. It supports high performance through continuous improvement, employee involvement and structured coordination. However, it can also create challenges when speed and adaptability are required. As a result, Toyota’s success depends on balancing strong cultural foundations with greater flexibility in decision making and innovation to remain competitive in a rapidly changing global environment.</w:t>
      </w:r>
    </w:p>
    <w:p w14:paraId="0DBD9D46" w14:textId="2354DF7C" w:rsidR="00700B4F" w:rsidRPr="00E92CD3" w:rsidRDefault="00700B4F" w:rsidP="00E92CD3">
      <w:pPr>
        <w:pStyle w:val="Heading1"/>
        <w:numPr>
          <w:ilvl w:val="0"/>
          <w:numId w:val="13"/>
        </w:numPr>
        <w:spacing w:line="360" w:lineRule="auto"/>
        <w:jc w:val="both"/>
        <w:rPr>
          <w:rFonts w:cs="Arial"/>
          <w:szCs w:val="24"/>
        </w:rPr>
      </w:pPr>
      <w:bookmarkStart w:id="7" w:name="_Toc227451412"/>
      <w:r w:rsidRPr="00E92CD3">
        <w:rPr>
          <w:rFonts w:cs="Arial"/>
          <w:szCs w:val="24"/>
        </w:rPr>
        <w:t>Impact of Organisational Culture on Performance</w:t>
      </w:r>
      <w:bookmarkEnd w:id="7"/>
    </w:p>
    <w:p w14:paraId="431A5ED1" w14:textId="06C35A90" w:rsidR="00E92CD3" w:rsidRPr="00E92CD3" w:rsidRDefault="00E92CD3" w:rsidP="00E92CD3">
      <w:pPr>
        <w:spacing w:line="360" w:lineRule="auto"/>
        <w:jc w:val="both"/>
        <w:rPr>
          <w:rFonts w:ascii="Arial" w:hAnsi="Arial" w:cs="Arial"/>
          <w:sz w:val="24"/>
          <w:szCs w:val="24"/>
        </w:rPr>
      </w:pPr>
      <w:r w:rsidRPr="00E92CD3">
        <w:rPr>
          <w:rFonts w:ascii="Arial" w:hAnsi="Arial" w:cs="Arial"/>
          <w:sz w:val="24"/>
          <w:szCs w:val="24"/>
        </w:rPr>
        <w:t>Toyota’s organisational culture can be understood as both a strength and a limitation depending on the context in which it operates. Cameron and Quinn (2019) explain that strong organisational cultures often improve performance, but they can also reduce flexibility when rapid change is required. At Toyota, this balance between stability and adaptability is central to how the organisation functions and responds to global pressures.</w:t>
      </w:r>
    </w:p>
    <w:p w14:paraId="65B45F40" w14:textId="77777777" w:rsidR="00E92CD3" w:rsidRPr="00E92CD3" w:rsidRDefault="00E92CD3" w:rsidP="00E92CD3">
      <w:pPr>
        <w:spacing w:line="360" w:lineRule="auto"/>
        <w:jc w:val="both"/>
        <w:rPr>
          <w:rFonts w:ascii="Arial" w:hAnsi="Arial" w:cs="Arial"/>
          <w:sz w:val="24"/>
          <w:szCs w:val="24"/>
        </w:rPr>
      </w:pPr>
      <w:r w:rsidRPr="00E92CD3">
        <w:rPr>
          <w:rFonts w:ascii="Arial" w:hAnsi="Arial" w:cs="Arial"/>
          <w:sz w:val="24"/>
          <w:szCs w:val="24"/>
        </w:rPr>
        <w:t>A key strength of Toyota’s culture is its focus on continuous improvement, known as kaizen. This principle encourages employees at all levels to identify inefficiencies and suggest improvements in daily operations. As a result, the organisation develops a disciplined and proactive workforce that constantly works to refine processes. Nguyen and Watanabe (2022) argue that such cultural features are strongly linked to improved operational performance in manufacturing firms, which helps explain Toyota’s sustained global competitiveness.</w:t>
      </w:r>
    </w:p>
    <w:p w14:paraId="53B70698" w14:textId="77777777" w:rsidR="00E92CD3" w:rsidRPr="00E92CD3" w:rsidRDefault="00E92CD3" w:rsidP="00E92CD3">
      <w:pPr>
        <w:spacing w:line="360" w:lineRule="auto"/>
        <w:jc w:val="both"/>
        <w:rPr>
          <w:rFonts w:ascii="Arial" w:hAnsi="Arial" w:cs="Arial"/>
          <w:sz w:val="24"/>
          <w:szCs w:val="24"/>
        </w:rPr>
      </w:pPr>
    </w:p>
    <w:p w14:paraId="18C858EE" w14:textId="44D05115" w:rsidR="00E92CD3" w:rsidRPr="00E92CD3" w:rsidRDefault="00E92CD3" w:rsidP="00E92CD3">
      <w:pPr>
        <w:spacing w:line="360" w:lineRule="auto"/>
        <w:jc w:val="both"/>
        <w:rPr>
          <w:rFonts w:ascii="Arial" w:hAnsi="Arial" w:cs="Arial"/>
          <w:sz w:val="24"/>
          <w:szCs w:val="24"/>
        </w:rPr>
      </w:pPr>
      <w:r w:rsidRPr="00E92CD3">
        <w:rPr>
          <w:rFonts w:ascii="Arial" w:hAnsi="Arial" w:cs="Arial"/>
          <w:sz w:val="24"/>
          <w:szCs w:val="24"/>
        </w:rPr>
        <w:t>Employee engagement is another important element of Toyota’s cultural strength. The principle of respect for people ensures that employees feel valued and involved in the organisation. Workers are encouraged to share ideas, solve problems and take responsibility for the quality of their work. Denison et al. (2021) highlight that strong organisational cultures improve performance by promoting shared values that encourage cooperation and commitment. This increases motivation and creates a strong sense of ownership, which supports long term learning and development.</w:t>
      </w:r>
    </w:p>
    <w:p w14:paraId="3076A29E" w14:textId="42334AFB" w:rsidR="00E92CD3" w:rsidRPr="00E92CD3" w:rsidRDefault="00E92CD3" w:rsidP="00E92CD3">
      <w:pPr>
        <w:spacing w:line="360" w:lineRule="auto"/>
        <w:jc w:val="both"/>
        <w:rPr>
          <w:rFonts w:ascii="Arial" w:hAnsi="Arial" w:cs="Arial"/>
          <w:sz w:val="24"/>
          <w:szCs w:val="24"/>
        </w:rPr>
      </w:pPr>
      <w:r w:rsidRPr="00E92CD3">
        <w:rPr>
          <w:rFonts w:ascii="Arial" w:hAnsi="Arial" w:cs="Arial"/>
          <w:sz w:val="24"/>
          <w:szCs w:val="24"/>
        </w:rPr>
        <w:t>Toyota’s culture also improves coordination and communication through structured systems. The company relies on standardised processes, visual management tools and team based working structures to ensure consistency and clarity. Hofstede (2011) links this to Japan’s high uncertainty avoidance, where organisations prefer structured systems and clear rules to reduce risk. This approach enhances reliability and helps maintain consistent performance across global operations.</w:t>
      </w:r>
    </w:p>
    <w:p w14:paraId="63FBF4A4" w14:textId="2D982E41" w:rsidR="00E92CD3" w:rsidRPr="00E92CD3" w:rsidRDefault="00E92CD3" w:rsidP="00E92CD3">
      <w:pPr>
        <w:spacing w:line="360" w:lineRule="auto"/>
        <w:jc w:val="both"/>
        <w:rPr>
          <w:rFonts w:ascii="Arial" w:hAnsi="Arial" w:cs="Arial"/>
          <w:sz w:val="24"/>
          <w:szCs w:val="24"/>
        </w:rPr>
      </w:pPr>
      <w:r w:rsidRPr="00E92CD3">
        <w:rPr>
          <w:rFonts w:ascii="Arial" w:hAnsi="Arial" w:cs="Arial"/>
          <w:sz w:val="24"/>
          <w:szCs w:val="24"/>
        </w:rPr>
        <w:t>However, there are also limitations to this cultural approach. One key challenge is the reliance on consensus based decision making. While this helps ensure agreement and reduces internal conflict, it can also slow down responses in fast changing environments. Kingston (2018) highlights this issue in relation to Toyota’s recall crisis in the late 2000s, where delays in decision making reduced the organisation’s ability to respond quickly to urgent problems. This demonstrates how strong cultural systems can sometimes limit flexibility.</w:t>
      </w:r>
    </w:p>
    <w:p w14:paraId="53E5244C" w14:textId="77777777" w:rsidR="00E92CD3" w:rsidRPr="00E92CD3" w:rsidRDefault="00E92CD3" w:rsidP="00E92CD3">
      <w:pPr>
        <w:spacing w:line="360" w:lineRule="auto"/>
        <w:jc w:val="both"/>
        <w:rPr>
          <w:rFonts w:ascii="Arial" w:hAnsi="Arial" w:cs="Arial"/>
          <w:sz w:val="24"/>
          <w:szCs w:val="24"/>
        </w:rPr>
      </w:pPr>
      <w:r w:rsidRPr="00E92CD3">
        <w:rPr>
          <w:rFonts w:ascii="Arial" w:hAnsi="Arial" w:cs="Arial"/>
          <w:sz w:val="24"/>
          <w:szCs w:val="24"/>
        </w:rPr>
        <w:t>A similar issue can be seen in Toyota’s approach to electric vehicles. The International Energy Agency (IEA, 2023) notes that the automotive industry is undergoing rapid transformation due to electrification and digital technologies. Toyota’s more cautious strategy reflects its culture of long term planning and risk reduction. While this helps avoid rushed decisions and potential mistakes, it has also led to criticism that the company may be moving too slowly compared to competitors that are investing more aggressively in new technologies.</w:t>
      </w:r>
    </w:p>
    <w:p w14:paraId="18AE66F5" w14:textId="77777777" w:rsidR="00E92CD3" w:rsidRPr="00E92CD3" w:rsidRDefault="00E92CD3" w:rsidP="00E92CD3">
      <w:pPr>
        <w:spacing w:line="360" w:lineRule="auto"/>
        <w:jc w:val="both"/>
        <w:rPr>
          <w:rFonts w:ascii="Arial" w:hAnsi="Arial" w:cs="Arial"/>
          <w:sz w:val="24"/>
          <w:szCs w:val="24"/>
        </w:rPr>
      </w:pPr>
    </w:p>
    <w:p w14:paraId="43101F17" w14:textId="0752B0A9" w:rsidR="00E92CD3" w:rsidRPr="00E92CD3" w:rsidRDefault="001463C9" w:rsidP="00E92CD3">
      <w:pPr>
        <w:spacing w:line="360" w:lineRule="auto"/>
        <w:jc w:val="both"/>
        <w:rPr>
          <w:rFonts w:ascii="Arial" w:hAnsi="Arial" w:cs="Arial"/>
          <w:sz w:val="24"/>
          <w:szCs w:val="24"/>
        </w:rPr>
      </w:pPr>
      <w:r>
        <w:rPr>
          <w:rFonts w:ascii="Arial" w:hAnsi="Arial" w:cs="Arial"/>
          <w:sz w:val="24"/>
          <w:szCs w:val="24"/>
        </w:rPr>
        <w:t>I</w:t>
      </w:r>
      <w:r w:rsidR="00E92CD3" w:rsidRPr="00E92CD3">
        <w:rPr>
          <w:rFonts w:ascii="Arial" w:hAnsi="Arial" w:cs="Arial"/>
          <w:sz w:val="24"/>
          <w:szCs w:val="24"/>
        </w:rPr>
        <w:t>n shaping organisational effectiveness</w:t>
      </w:r>
      <w:r>
        <w:rPr>
          <w:rFonts w:ascii="Arial" w:hAnsi="Arial" w:cs="Arial"/>
          <w:sz w:val="24"/>
          <w:szCs w:val="24"/>
        </w:rPr>
        <w:t>, Toyota’s culture plays a major role</w:t>
      </w:r>
      <w:r w:rsidR="00E92CD3" w:rsidRPr="00E92CD3">
        <w:rPr>
          <w:rFonts w:ascii="Arial" w:hAnsi="Arial" w:cs="Arial"/>
          <w:sz w:val="24"/>
          <w:szCs w:val="24"/>
        </w:rPr>
        <w:t>. It supports high performance through continuous improvement, employee involvement and structured coordination systems. However, it can also create challenges when rapid decision making or radical innovation is required. This means Toyota’s long term success depends on how well it balances its strong cultural foundations with the need for greater agility and responsiveness in a fast changing global environment.</w:t>
      </w:r>
    </w:p>
    <w:p w14:paraId="0C0F52AE" w14:textId="3F28478D" w:rsidR="00700B4F" w:rsidRPr="00E92CD3" w:rsidRDefault="00700B4F" w:rsidP="001463C9">
      <w:pPr>
        <w:pStyle w:val="Heading1"/>
        <w:numPr>
          <w:ilvl w:val="0"/>
          <w:numId w:val="13"/>
        </w:numPr>
        <w:spacing w:line="360" w:lineRule="auto"/>
        <w:jc w:val="both"/>
        <w:rPr>
          <w:rFonts w:cs="Arial"/>
          <w:szCs w:val="24"/>
        </w:rPr>
      </w:pPr>
      <w:bookmarkStart w:id="8" w:name="_Toc227451413"/>
      <w:r w:rsidRPr="00E92CD3">
        <w:rPr>
          <w:rFonts w:cs="Arial"/>
          <w:szCs w:val="24"/>
        </w:rPr>
        <w:t>Conclusion</w:t>
      </w:r>
      <w:bookmarkEnd w:id="8"/>
      <w:r w:rsidRPr="00E92CD3">
        <w:rPr>
          <w:rFonts w:cs="Arial"/>
          <w:szCs w:val="24"/>
        </w:rPr>
        <w:t xml:space="preserve"> </w:t>
      </w:r>
    </w:p>
    <w:p w14:paraId="224D0031" w14:textId="77777777" w:rsidR="0042290B" w:rsidRPr="00E92CD3" w:rsidRDefault="0042290B" w:rsidP="00E92CD3">
      <w:pPr>
        <w:spacing w:line="360" w:lineRule="auto"/>
        <w:jc w:val="both"/>
        <w:rPr>
          <w:rFonts w:ascii="Arial" w:hAnsi="Arial" w:cs="Arial"/>
          <w:sz w:val="24"/>
          <w:szCs w:val="24"/>
        </w:rPr>
      </w:pPr>
      <w:r w:rsidRPr="00E92CD3">
        <w:rPr>
          <w:rFonts w:ascii="Arial" w:hAnsi="Arial" w:cs="Arial"/>
          <w:sz w:val="24"/>
          <w:szCs w:val="24"/>
        </w:rPr>
        <w:t>Toyota’s organisational culture is a key driver of performance, shaping how the company responds to change and maintains long term direction. Its core values of continuous improvement, respect for people and customer focus support efficiency, learning and consistent quality. These strengths help Toyota remain stable and competitive in a complex global environment.</w:t>
      </w:r>
    </w:p>
    <w:p w14:paraId="37787AC9" w14:textId="77777777" w:rsidR="0042290B" w:rsidRPr="00E92CD3" w:rsidRDefault="0042290B" w:rsidP="00E92CD3">
      <w:pPr>
        <w:spacing w:line="360" w:lineRule="auto"/>
        <w:jc w:val="both"/>
        <w:rPr>
          <w:rFonts w:ascii="Arial" w:hAnsi="Arial" w:cs="Arial"/>
          <w:sz w:val="24"/>
          <w:szCs w:val="24"/>
        </w:rPr>
      </w:pPr>
      <w:r w:rsidRPr="00E92CD3">
        <w:rPr>
          <w:rFonts w:ascii="Arial" w:hAnsi="Arial" w:cs="Arial"/>
          <w:sz w:val="24"/>
          <w:szCs w:val="24"/>
        </w:rPr>
        <w:t>However, the analysis also shows some limitations. Continuous improvement supports steady development but may not fully address rapid technological disruption such as electrification and digital transformation. In addition, consensus based decision making improves alignment but can slow responses in urgent situations, highlighting a balance issue between stability and agility.</w:t>
      </w:r>
    </w:p>
    <w:p w14:paraId="60B6A66B" w14:textId="56ADD171" w:rsidR="0042290B" w:rsidRPr="00E92CD3" w:rsidRDefault="0042290B" w:rsidP="00E92CD3">
      <w:pPr>
        <w:spacing w:line="360" w:lineRule="auto"/>
        <w:jc w:val="both"/>
        <w:rPr>
          <w:rFonts w:ascii="Arial" w:hAnsi="Arial" w:cs="Arial"/>
          <w:sz w:val="24"/>
          <w:szCs w:val="24"/>
        </w:rPr>
      </w:pPr>
      <w:r w:rsidRPr="00E92CD3">
        <w:rPr>
          <w:rFonts w:ascii="Arial" w:hAnsi="Arial" w:cs="Arial"/>
          <w:sz w:val="24"/>
          <w:szCs w:val="24"/>
        </w:rPr>
        <w:t xml:space="preserve">To address this, two main recommendations are made. First, Toyota should strengthen cultural integration across global operations to maintain consistency while allowing local flexibility. Second, Toyota should improve change management practices to increase responsiveness during periods of transformation. </w:t>
      </w:r>
    </w:p>
    <w:p w14:paraId="1F8A29F2" w14:textId="64221A01" w:rsidR="00D82B0A" w:rsidRPr="00C66BCF" w:rsidRDefault="0042290B" w:rsidP="00E92CD3">
      <w:pPr>
        <w:spacing w:line="360" w:lineRule="auto"/>
        <w:jc w:val="both"/>
        <w:rPr>
          <w:rFonts w:ascii="Arial" w:eastAsiaTheme="majorEastAsia" w:hAnsi="Arial" w:cs="Arial"/>
          <w:color w:val="000000" w:themeColor="text1"/>
          <w:sz w:val="24"/>
          <w:szCs w:val="24"/>
        </w:rPr>
      </w:pPr>
      <w:r w:rsidRPr="00E92CD3">
        <w:rPr>
          <w:rFonts w:ascii="Arial" w:hAnsi="Arial" w:cs="Arial"/>
          <w:sz w:val="24"/>
          <w:szCs w:val="24"/>
        </w:rPr>
        <w:t>Overall, Toyota’s culture remains a major strength that supports high performance and organisational stability. However, improving global integration and change management would enhance agility, innovation and long term competitiveness in a rapidly evolving environment.</w:t>
      </w:r>
      <w:r w:rsidR="00D82B0A" w:rsidRPr="00C66BCF">
        <w:rPr>
          <w:rFonts w:ascii="Arial" w:hAnsi="Arial" w:cs="Arial"/>
          <w:sz w:val="24"/>
          <w:szCs w:val="24"/>
        </w:rPr>
        <w:br w:type="page"/>
      </w:r>
    </w:p>
    <w:p w14:paraId="4D0C04EE" w14:textId="59F22B1D" w:rsidR="00CE01C9" w:rsidRPr="00526C98" w:rsidRDefault="00790FEC" w:rsidP="00526C98">
      <w:pPr>
        <w:pStyle w:val="Heading1"/>
        <w:spacing w:line="360" w:lineRule="auto"/>
        <w:jc w:val="both"/>
        <w:rPr>
          <w:rFonts w:cs="Arial"/>
        </w:rPr>
      </w:pPr>
      <w:bookmarkStart w:id="9" w:name="_Toc227451414"/>
      <w:r w:rsidRPr="00526C98">
        <w:rPr>
          <w:rFonts w:cs="Arial"/>
        </w:rPr>
        <w:t>References</w:t>
      </w:r>
      <w:bookmarkEnd w:id="9"/>
    </w:p>
    <w:p w14:paraId="772B556A"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Bortolotti, T., Boscari, S. and Danese, P. (2021) ‘Successful lean implementation: organisational culture and soft lean practices’, </w:t>
      </w:r>
      <w:r w:rsidRPr="00526C98">
        <w:rPr>
          <w:rStyle w:val="Emphasis"/>
          <w:rFonts w:ascii="Arial" w:eastAsiaTheme="majorEastAsia" w:hAnsi="Arial" w:cs="Arial"/>
        </w:rPr>
        <w:t>International Journal of Production Economics</w:t>
      </w:r>
      <w:r w:rsidRPr="00526C98">
        <w:rPr>
          <w:rFonts w:ascii="Arial" w:hAnsi="Arial" w:cs="Arial"/>
        </w:rPr>
        <w:t>, 233, pp. 1–12.</w:t>
      </w:r>
    </w:p>
    <w:p w14:paraId="5478AB6F"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Cameron, K.S. and Quinn, R.E. (2019) </w:t>
      </w:r>
      <w:r w:rsidRPr="00526C98">
        <w:rPr>
          <w:rStyle w:val="Emphasis"/>
          <w:rFonts w:ascii="Arial" w:eastAsiaTheme="majorEastAsia" w:hAnsi="Arial" w:cs="Arial"/>
        </w:rPr>
        <w:t>Diagnosing and Changing Organizational Culture: Based on the Competing Values Framework</w:t>
      </w:r>
      <w:r w:rsidRPr="00526C98">
        <w:rPr>
          <w:rFonts w:ascii="Arial" w:hAnsi="Arial" w:cs="Arial"/>
        </w:rPr>
        <w:t>. 4th edn. Hoboken: Wiley.</w:t>
      </w:r>
    </w:p>
    <w:p w14:paraId="345598C4"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Cusumano, M.A. (2020) </w:t>
      </w:r>
      <w:r w:rsidRPr="00526C98">
        <w:rPr>
          <w:rStyle w:val="Emphasis"/>
          <w:rFonts w:ascii="Arial" w:eastAsiaTheme="majorEastAsia" w:hAnsi="Arial" w:cs="Arial"/>
        </w:rPr>
        <w:t>The Business of Platforms: Strategy in the Age of Digital Competition</w:t>
      </w:r>
      <w:r w:rsidRPr="00526C98">
        <w:rPr>
          <w:rFonts w:ascii="Arial" w:hAnsi="Arial" w:cs="Arial"/>
        </w:rPr>
        <w:t>. New York: Harper Business.</w:t>
      </w:r>
    </w:p>
    <w:p w14:paraId="52D27011"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Denison, D.R., Nieminen, L. and Kotrba, L. (2021) ‘Diagnosing organizational cultures: a conceptual and empirical review of culture effectiveness surveys’, </w:t>
      </w:r>
      <w:r w:rsidRPr="00526C98">
        <w:rPr>
          <w:rStyle w:val="Emphasis"/>
          <w:rFonts w:ascii="Arial" w:eastAsiaTheme="majorEastAsia" w:hAnsi="Arial" w:cs="Arial"/>
        </w:rPr>
        <w:t>European Journal of Work and Organizational Psychology</w:t>
      </w:r>
      <w:r w:rsidRPr="00526C98">
        <w:rPr>
          <w:rFonts w:ascii="Arial" w:hAnsi="Arial" w:cs="Arial"/>
        </w:rPr>
        <w:t>, 30(4), pp. 1–15.</w:t>
      </w:r>
    </w:p>
    <w:p w14:paraId="6E222659"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Hines, P., Holweg, M. and Rich, N. (2020) ‘Learning to evolve: a review of contemporary lean thinking’, </w:t>
      </w:r>
      <w:r w:rsidRPr="00526C98">
        <w:rPr>
          <w:rStyle w:val="Emphasis"/>
          <w:rFonts w:ascii="Arial" w:eastAsiaTheme="majorEastAsia" w:hAnsi="Arial" w:cs="Arial"/>
        </w:rPr>
        <w:t>International Journal of Operations &amp; Production Management</w:t>
      </w:r>
      <w:r w:rsidRPr="00526C98">
        <w:rPr>
          <w:rFonts w:ascii="Arial" w:hAnsi="Arial" w:cs="Arial"/>
        </w:rPr>
        <w:t>, 40(2), pp. 1–25.</w:t>
      </w:r>
    </w:p>
    <w:p w14:paraId="2F260CEF"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Hofstede, G. (2011) </w:t>
      </w:r>
      <w:r w:rsidRPr="00526C98">
        <w:rPr>
          <w:rStyle w:val="Emphasis"/>
          <w:rFonts w:ascii="Arial" w:eastAsiaTheme="majorEastAsia" w:hAnsi="Arial" w:cs="Arial"/>
        </w:rPr>
        <w:t>Cultures and Organizations: Software of the Mind</w:t>
      </w:r>
      <w:r w:rsidRPr="00526C98">
        <w:rPr>
          <w:rFonts w:ascii="Arial" w:hAnsi="Arial" w:cs="Arial"/>
        </w:rPr>
        <w:t>. 3rd edn. New York: McGraw-Hill.</w:t>
      </w:r>
    </w:p>
    <w:p w14:paraId="61CAF62D"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International Energy Agency (IEA) (2023) </w:t>
      </w:r>
      <w:r w:rsidRPr="00526C98">
        <w:rPr>
          <w:rStyle w:val="Emphasis"/>
          <w:rFonts w:ascii="Arial" w:eastAsiaTheme="majorEastAsia" w:hAnsi="Arial" w:cs="Arial"/>
        </w:rPr>
        <w:t>Global EV Outlook 2023</w:t>
      </w:r>
      <w:r w:rsidRPr="00526C98">
        <w:rPr>
          <w:rFonts w:ascii="Arial" w:hAnsi="Arial" w:cs="Arial"/>
        </w:rPr>
        <w:t>. Paris: International Energy Agency.</w:t>
      </w:r>
    </w:p>
    <w:p w14:paraId="425315E2"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Kingston, J. (2018) </w:t>
      </w:r>
      <w:r w:rsidRPr="00526C98">
        <w:rPr>
          <w:rStyle w:val="Emphasis"/>
          <w:rFonts w:ascii="Arial" w:eastAsiaTheme="majorEastAsia" w:hAnsi="Arial" w:cs="Arial"/>
        </w:rPr>
        <w:t>Contemporary Japan: History, Politics, and Social Change since the 1980s</w:t>
      </w:r>
      <w:r w:rsidRPr="00526C98">
        <w:rPr>
          <w:rFonts w:ascii="Arial" w:hAnsi="Arial" w:cs="Arial"/>
        </w:rPr>
        <w:t>. 2nd edn. Oxford: Wiley-Blackwell.</w:t>
      </w:r>
    </w:p>
    <w:p w14:paraId="087B4A69"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Liker, J.K. (2021) </w:t>
      </w:r>
      <w:r w:rsidRPr="00526C98">
        <w:rPr>
          <w:rStyle w:val="Emphasis"/>
          <w:rFonts w:ascii="Arial" w:eastAsiaTheme="majorEastAsia" w:hAnsi="Arial" w:cs="Arial"/>
        </w:rPr>
        <w:t>The Toyota Way: 14 Management Principles from the World’s Greatest Manufacturer</w:t>
      </w:r>
      <w:r w:rsidRPr="00526C98">
        <w:rPr>
          <w:rFonts w:ascii="Arial" w:hAnsi="Arial" w:cs="Arial"/>
        </w:rPr>
        <w:t>. Updated edn. New York: McGraw-Hill.</w:t>
      </w:r>
    </w:p>
    <w:p w14:paraId="7CE2404F"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Liker, J.K. and Convis, G.L. (2020) </w:t>
      </w:r>
      <w:r w:rsidRPr="00526C98">
        <w:rPr>
          <w:rStyle w:val="Emphasis"/>
          <w:rFonts w:ascii="Arial" w:eastAsiaTheme="majorEastAsia" w:hAnsi="Arial" w:cs="Arial"/>
        </w:rPr>
        <w:t>The Toyota Way to Lean Leadership</w:t>
      </w:r>
      <w:r w:rsidRPr="00526C98">
        <w:rPr>
          <w:rFonts w:ascii="Arial" w:hAnsi="Arial" w:cs="Arial"/>
        </w:rPr>
        <w:t>. New York: McGraw-Hill.</w:t>
      </w:r>
    </w:p>
    <w:p w14:paraId="0ECA1050"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Meyer, E. (2014) </w:t>
      </w:r>
      <w:r w:rsidRPr="00526C98">
        <w:rPr>
          <w:rStyle w:val="Emphasis"/>
          <w:rFonts w:ascii="Arial" w:eastAsiaTheme="majorEastAsia" w:hAnsi="Arial" w:cs="Arial"/>
        </w:rPr>
        <w:t>The Culture Map: Breaking Through the Invisible Boundaries of Global Business</w:t>
      </w:r>
      <w:r w:rsidRPr="00526C98">
        <w:rPr>
          <w:rFonts w:ascii="Arial" w:hAnsi="Arial" w:cs="Arial"/>
        </w:rPr>
        <w:t>. New York: PublicAffairs.</w:t>
      </w:r>
    </w:p>
    <w:p w14:paraId="78E0790B"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Netland, T.H. and Powell, D.J. (2022) </w:t>
      </w:r>
      <w:r w:rsidRPr="00526C98">
        <w:rPr>
          <w:rStyle w:val="Emphasis"/>
          <w:rFonts w:ascii="Arial" w:eastAsiaTheme="majorEastAsia" w:hAnsi="Arial" w:cs="Arial"/>
        </w:rPr>
        <w:t>The Routledge Companion to Lean Management</w:t>
      </w:r>
      <w:r w:rsidRPr="00526C98">
        <w:rPr>
          <w:rFonts w:ascii="Arial" w:hAnsi="Arial" w:cs="Arial"/>
        </w:rPr>
        <w:t>. London: Routledge.</w:t>
      </w:r>
    </w:p>
    <w:p w14:paraId="56908CBC"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Nguyen, T. and Watanabe, T. (2022) ‘The impact of organizational culture on operational performance in manufacturing firms’, </w:t>
      </w:r>
      <w:r w:rsidRPr="00526C98">
        <w:rPr>
          <w:rStyle w:val="Emphasis"/>
          <w:rFonts w:ascii="Arial" w:eastAsiaTheme="majorEastAsia" w:hAnsi="Arial" w:cs="Arial"/>
        </w:rPr>
        <w:t>Journal of Manufacturing Technology Management</w:t>
      </w:r>
      <w:r w:rsidRPr="00526C98">
        <w:rPr>
          <w:rFonts w:ascii="Arial" w:hAnsi="Arial" w:cs="Arial"/>
        </w:rPr>
        <w:t>, 33(5), pp. 1–18.</w:t>
      </w:r>
    </w:p>
    <w:p w14:paraId="0273FE50"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Ohno, T. (2019) </w:t>
      </w:r>
      <w:r w:rsidRPr="00526C98">
        <w:rPr>
          <w:rStyle w:val="Emphasis"/>
          <w:rFonts w:ascii="Arial" w:eastAsiaTheme="majorEastAsia" w:hAnsi="Arial" w:cs="Arial"/>
        </w:rPr>
        <w:t>Toyota Production System: Beyond Large-Scale Production</w:t>
      </w:r>
      <w:r w:rsidRPr="00526C98">
        <w:rPr>
          <w:rFonts w:ascii="Arial" w:hAnsi="Arial" w:cs="Arial"/>
        </w:rPr>
        <w:t>. Portland: Productivity Press.</w:t>
      </w:r>
    </w:p>
    <w:p w14:paraId="36EFF9C3"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Schein, E.H. (2017) </w:t>
      </w:r>
      <w:r w:rsidRPr="00526C98">
        <w:rPr>
          <w:rStyle w:val="Emphasis"/>
          <w:rFonts w:ascii="Arial" w:eastAsiaTheme="majorEastAsia" w:hAnsi="Arial" w:cs="Arial"/>
        </w:rPr>
        <w:t>Organizational Culture and Leadership</w:t>
      </w:r>
      <w:r w:rsidRPr="00526C98">
        <w:rPr>
          <w:rFonts w:ascii="Arial" w:hAnsi="Arial" w:cs="Arial"/>
        </w:rPr>
        <w:t>. 5th edn. Hoboken: Wiley.</w:t>
      </w:r>
    </w:p>
    <w:p w14:paraId="2F4D783F"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Schein, E.H. and Schein, P. (2021) </w:t>
      </w:r>
      <w:r w:rsidRPr="00526C98">
        <w:rPr>
          <w:rStyle w:val="Emphasis"/>
          <w:rFonts w:ascii="Arial" w:eastAsiaTheme="majorEastAsia" w:hAnsi="Arial" w:cs="Arial"/>
        </w:rPr>
        <w:t>Organizational Culture and Leadership</w:t>
      </w:r>
      <w:r w:rsidRPr="00526C98">
        <w:rPr>
          <w:rFonts w:ascii="Arial" w:hAnsi="Arial" w:cs="Arial"/>
        </w:rPr>
        <w:t>. 5th edn. Hoboken: Wiley.</w:t>
      </w:r>
    </w:p>
    <w:p w14:paraId="4A0AE187"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Smith, J. and Brown, A. (2023) ‘Glocalization strategies in multinational corporations’, </w:t>
      </w:r>
      <w:r w:rsidRPr="00526C98">
        <w:rPr>
          <w:rStyle w:val="Emphasis"/>
          <w:rFonts w:ascii="Arial" w:eastAsiaTheme="majorEastAsia" w:hAnsi="Arial" w:cs="Arial"/>
        </w:rPr>
        <w:t>Journal of International Business Studies</w:t>
      </w:r>
      <w:r w:rsidRPr="00526C98">
        <w:rPr>
          <w:rFonts w:ascii="Arial" w:hAnsi="Arial" w:cs="Arial"/>
        </w:rPr>
        <w:t>, 54(2), pp. 1–15.</w:t>
      </w:r>
    </w:p>
    <w:p w14:paraId="1E7ACD50" w14:textId="77777777" w:rsidR="00526C98" w:rsidRPr="00526C98" w:rsidRDefault="00526C98" w:rsidP="00526C98">
      <w:pPr>
        <w:pStyle w:val="NormalWeb"/>
        <w:spacing w:line="360" w:lineRule="auto"/>
        <w:jc w:val="both"/>
        <w:rPr>
          <w:rFonts w:ascii="Arial" w:hAnsi="Arial" w:cs="Arial"/>
        </w:rPr>
      </w:pPr>
      <w:r w:rsidRPr="00526C98">
        <w:rPr>
          <w:rFonts w:ascii="Arial" w:hAnsi="Arial" w:cs="Arial"/>
        </w:rPr>
        <w:t xml:space="preserve">Zhang, L., Chen, H. and Park, Y. (2024) ‘Organizational resilience and culture in global supply chains’, </w:t>
      </w:r>
      <w:r w:rsidRPr="00526C98">
        <w:rPr>
          <w:rStyle w:val="Emphasis"/>
          <w:rFonts w:ascii="Arial" w:eastAsiaTheme="majorEastAsia" w:hAnsi="Arial" w:cs="Arial"/>
        </w:rPr>
        <w:t>Supply Chain Management Review</w:t>
      </w:r>
      <w:r w:rsidRPr="00526C98">
        <w:rPr>
          <w:rFonts w:ascii="Arial" w:hAnsi="Arial" w:cs="Arial"/>
        </w:rPr>
        <w:t>, 29(1), pp. 1–12.</w:t>
      </w:r>
    </w:p>
    <w:p w14:paraId="7AF2E94F" w14:textId="77777777" w:rsidR="003965CF" w:rsidRPr="00790FEC" w:rsidRDefault="003965CF" w:rsidP="00526C98">
      <w:pPr>
        <w:spacing w:before="100" w:beforeAutospacing="1" w:after="100" w:afterAutospacing="1" w:line="360" w:lineRule="auto"/>
        <w:jc w:val="both"/>
        <w:rPr>
          <w:rFonts w:ascii="Arial" w:hAnsi="Arial" w:cs="Arial"/>
          <w:sz w:val="24"/>
          <w:szCs w:val="24"/>
        </w:rPr>
      </w:pPr>
    </w:p>
    <w:sectPr w:rsidR="003965CF" w:rsidRPr="00790FEC" w:rsidSect="00722211">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8CB8C" w14:textId="77777777" w:rsidR="00ED4BBF" w:rsidRDefault="00ED4BBF" w:rsidP="005E4107">
      <w:pPr>
        <w:spacing w:after="0" w:line="240" w:lineRule="auto"/>
      </w:pPr>
      <w:r>
        <w:separator/>
      </w:r>
    </w:p>
  </w:endnote>
  <w:endnote w:type="continuationSeparator" w:id="0">
    <w:p w14:paraId="7266D4C0" w14:textId="77777777" w:rsidR="00ED4BBF" w:rsidRDefault="00ED4BBF" w:rsidP="005E4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399729"/>
      <w:docPartObj>
        <w:docPartGallery w:val="Page Numbers (Bottom of Page)"/>
        <w:docPartUnique/>
      </w:docPartObj>
    </w:sdtPr>
    <w:sdtContent>
      <w:p w14:paraId="11C73F42" w14:textId="493946C0" w:rsidR="005E4107" w:rsidRDefault="005E4107">
        <w:pPr>
          <w:pStyle w:val="Footer"/>
          <w:jc w:val="right"/>
        </w:pPr>
        <w:r>
          <w:fldChar w:fldCharType="begin"/>
        </w:r>
        <w:r>
          <w:instrText>PAGE   \* MERGEFORMAT</w:instrText>
        </w:r>
        <w:r>
          <w:fldChar w:fldCharType="separate"/>
        </w:r>
        <w:r>
          <w:t>2</w:t>
        </w:r>
        <w:r>
          <w:fldChar w:fldCharType="end"/>
        </w:r>
      </w:p>
    </w:sdtContent>
  </w:sdt>
  <w:p w14:paraId="0B539B6A" w14:textId="77777777" w:rsidR="005E4107" w:rsidRDefault="005E4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1CD46" w14:textId="77777777" w:rsidR="00ED4BBF" w:rsidRDefault="00ED4BBF" w:rsidP="005E4107">
      <w:pPr>
        <w:spacing w:after="0" w:line="240" w:lineRule="auto"/>
      </w:pPr>
      <w:r>
        <w:separator/>
      </w:r>
    </w:p>
  </w:footnote>
  <w:footnote w:type="continuationSeparator" w:id="0">
    <w:p w14:paraId="4C7E278E" w14:textId="77777777" w:rsidR="00ED4BBF" w:rsidRDefault="00ED4BBF" w:rsidP="005E4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660CF"/>
    <w:multiLevelType w:val="hybridMultilevel"/>
    <w:tmpl w:val="D2D0F7E6"/>
    <w:lvl w:ilvl="0" w:tplc="5EF69C3A">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C3AB2"/>
    <w:multiLevelType w:val="hybridMultilevel"/>
    <w:tmpl w:val="B0E27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F50FD5"/>
    <w:multiLevelType w:val="hybridMultilevel"/>
    <w:tmpl w:val="0EFAE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453F92"/>
    <w:multiLevelType w:val="hybridMultilevel"/>
    <w:tmpl w:val="06A40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C556DE"/>
    <w:multiLevelType w:val="multilevel"/>
    <w:tmpl w:val="F07C64E4"/>
    <w:lvl w:ilvl="0">
      <w:start w:val="1"/>
      <w:numFmt w:val="decimal"/>
      <w:lvlText w:val="%1."/>
      <w:lvlJc w:val="left"/>
      <w:pPr>
        <w:ind w:left="720" w:hanging="360"/>
      </w:pPr>
    </w:lvl>
    <w:lvl w:ilvl="1">
      <w:start w:val="1"/>
      <w:numFmt w:val="decimal"/>
      <w:isLgl/>
      <w:lvlText w:val="%1.%2"/>
      <w:lvlJc w:val="left"/>
      <w:pPr>
        <w:ind w:left="1080" w:hanging="360"/>
      </w:pPr>
      <w:rPr>
        <w:rFonts w:ascii="Arial" w:hAnsi="Arial" w:cs="Arial" w:hint="default"/>
        <w:b/>
      </w:rPr>
    </w:lvl>
    <w:lvl w:ilvl="2">
      <w:start w:val="1"/>
      <w:numFmt w:val="decimal"/>
      <w:isLgl/>
      <w:lvlText w:val="%1.%2.%3"/>
      <w:lvlJc w:val="left"/>
      <w:pPr>
        <w:ind w:left="1800" w:hanging="720"/>
      </w:pPr>
      <w:rPr>
        <w:rFonts w:ascii="Arial" w:hAnsi="Arial" w:cs="Arial" w:hint="default"/>
        <w:b/>
      </w:rPr>
    </w:lvl>
    <w:lvl w:ilvl="3">
      <w:start w:val="1"/>
      <w:numFmt w:val="decimal"/>
      <w:isLgl/>
      <w:lvlText w:val="%1.%2.%3.%4"/>
      <w:lvlJc w:val="left"/>
      <w:pPr>
        <w:ind w:left="2160" w:hanging="720"/>
      </w:pPr>
      <w:rPr>
        <w:rFonts w:ascii="Arial" w:hAnsi="Arial" w:cs="Arial" w:hint="default"/>
        <w:b/>
      </w:rPr>
    </w:lvl>
    <w:lvl w:ilvl="4">
      <w:start w:val="1"/>
      <w:numFmt w:val="decimal"/>
      <w:isLgl/>
      <w:lvlText w:val="%1.%2.%3.%4.%5"/>
      <w:lvlJc w:val="left"/>
      <w:pPr>
        <w:ind w:left="2880" w:hanging="1080"/>
      </w:pPr>
      <w:rPr>
        <w:rFonts w:ascii="Arial" w:hAnsi="Arial" w:cs="Arial" w:hint="default"/>
        <w:b/>
      </w:rPr>
    </w:lvl>
    <w:lvl w:ilvl="5">
      <w:start w:val="1"/>
      <w:numFmt w:val="decimal"/>
      <w:isLgl/>
      <w:lvlText w:val="%1.%2.%3.%4.%5.%6"/>
      <w:lvlJc w:val="left"/>
      <w:pPr>
        <w:ind w:left="3240" w:hanging="1080"/>
      </w:pPr>
      <w:rPr>
        <w:rFonts w:ascii="Arial" w:hAnsi="Arial" w:cs="Arial" w:hint="default"/>
        <w:b/>
      </w:rPr>
    </w:lvl>
    <w:lvl w:ilvl="6">
      <w:start w:val="1"/>
      <w:numFmt w:val="decimal"/>
      <w:isLgl/>
      <w:lvlText w:val="%1.%2.%3.%4.%5.%6.%7"/>
      <w:lvlJc w:val="left"/>
      <w:pPr>
        <w:ind w:left="3960" w:hanging="1440"/>
      </w:pPr>
      <w:rPr>
        <w:rFonts w:ascii="Arial" w:hAnsi="Arial" w:cs="Arial" w:hint="default"/>
        <w:b/>
      </w:rPr>
    </w:lvl>
    <w:lvl w:ilvl="7">
      <w:start w:val="1"/>
      <w:numFmt w:val="decimal"/>
      <w:isLgl/>
      <w:lvlText w:val="%1.%2.%3.%4.%5.%6.%7.%8"/>
      <w:lvlJc w:val="left"/>
      <w:pPr>
        <w:ind w:left="4320" w:hanging="1440"/>
      </w:pPr>
      <w:rPr>
        <w:rFonts w:ascii="Arial" w:hAnsi="Arial" w:cs="Arial" w:hint="default"/>
        <w:b/>
      </w:rPr>
    </w:lvl>
    <w:lvl w:ilvl="8">
      <w:start w:val="1"/>
      <w:numFmt w:val="decimal"/>
      <w:isLgl/>
      <w:lvlText w:val="%1.%2.%3.%4.%5.%6.%7.%8.%9"/>
      <w:lvlJc w:val="left"/>
      <w:pPr>
        <w:ind w:left="5040" w:hanging="1800"/>
      </w:pPr>
      <w:rPr>
        <w:rFonts w:ascii="Arial" w:hAnsi="Arial" w:cs="Arial" w:hint="default"/>
        <w:b/>
      </w:rPr>
    </w:lvl>
  </w:abstractNum>
  <w:abstractNum w:abstractNumId="5" w15:restartNumberingAfterBreak="0">
    <w:nsid w:val="332A1D8A"/>
    <w:multiLevelType w:val="hybridMultilevel"/>
    <w:tmpl w:val="CDF4914C"/>
    <w:lvl w:ilvl="0" w:tplc="5EF69C3A">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697BD5"/>
    <w:multiLevelType w:val="hybridMultilevel"/>
    <w:tmpl w:val="481813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FB29DD"/>
    <w:multiLevelType w:val="hybridMultilevel"/>
    <w:tmpl w:val="2848C0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CA145D"/>
    <w:multiLevelType w:val="hybridMultilevel"/>
    <w:tmpl w:val="27241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0D4026"/>
    <w:multiLevelType w:val="hybridMultilevel"/>
    <w:tmpl w:val="552E2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FE4F06"/>
    <w:multiLevelType w:val="hybridMultilevel"/>
    <w:tmpl w:val="9524F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DB21DA"/>
    <w:multiLevelType w:val="hybridMultilevel"/>
    <w:tmpl w:val="CCE62E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681EBD"/>
    <w:multiLevelType w:val="hybridMultilevel"/>
    <w:tmpl w:val="05A4B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9731810">
    <w:abstractNumId w:val="4"/>
  </w:num>
  <w:num w:numId="2" w16cid:durableId="941766763">
    <w:abstractNumId w:val="5"/>
  </w:num>
  <w:num w:numId="3" w16cid:durableId="508832070">
    <w:abstractNumId w:val="0"/>
  </w:num>
  <w:num w:numId="4" w16cid:durableId="1963228092">
    <w:abstractNumId w:val="2"/>
  </w:num>
  <w:num w:numId="5" w16cid:durableId="635180698">
    <w:abstractNumId w:val="9"/>
  </w:num>
  <w:num w:numId="6" w16cid:durableId="1141076919">
    <w:abstractNumId w:val="11"/>
  </w:num>
  <w:num w:numId="7" w16cid:durableId="456415379">
    <w:abstractNumId w:val="7"/>
  </w:num>
  <w:num w:numId="8" w16cid:durableId="1112289391">
    <w:abstractNumId w:val="10"/>
  </w:num>
  <w:num w:numId="9" w16cid:durableId="1576547272">
    <w:abstractNumId w:val="6"/>
  </w:num>
  <w:num w:numId="10" w16cid:durableId="473722404">
    <w:abstractNumId w:val="3"/>
  </w:num>
  <w:num w:numId="11" w16cid:durableId="307366809">
    <w:abstractNumId w:val="1"/>
  </w:num>
  <w:num w:numId="12" w16cid:durableId="1254315376">
    <w:abstractNumId w:val="12"/>
  </w:num>
  <w:num w:numId="13" w16cid:durableId="14284544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B4F"/>
    <w:rsid w:val="00002B26"/>
    <w:rsid w:val="00033293"/>
    <w:rsid w:val="000555FE"/>
    <w:rsid w:val="000A3720"/>
    <w:rsid w:val="000A551B"/>
    <w:rsid w:val="000D546C"/>
    <w:rsid w:val="000E4556"/>
    <w:rsid w:val="0013494C"/>
    <w:rsid w:val="00141A49"/>
    <w:rsid w:val="001463C9"/>
    <w:rsid w:val="00180657"/>
    <w:rsid w:val="001E1100"/>
    <w:rsid w:val="001F0CA3"/>
    <w:rsid w:val="001F1666"/>
    <w:rsid w:val="00207FE3"/>
    <w:rsid w:val="00216B31"/>
    <w:rsid w:val="00227ED1"/>
    <w:rsid w:val="00285750"/>
    <w:rsid w:val="00296F85"/>
    <w:rsid w:val="002B23B6"/>
    <w:rsid w:val="002F43EC"/>
    <w:rsid w:val="0032629E"/>
    <w:rsid w:val="003965CF"/>
    <w:rsid w:val="003E0FEC"/>
    <w:rsid w:val="00421341"/>
    <w:rsid w:val="0042290B"/>
    <w:rsid w:val="00476AA6"/>
    <w:rsid w:val="004F40ED"/>
    <w:rsid w:val="00526C98"/>
    <w:rsid w:val="005E4107"/>
    <w:rsid w:val="00612541"/>
    <w:rsid w:val="006B70D7"/>
    <w:rsid w:val="00700B4F"/>
    <w:rsid w:val="00707D88"/>
    <w:rsid w:val="00722211"/>
    <w:rsid w:val="00790FEC"/>
    <w:rsid w:val="007931F2"/>
    <w:rsid w:val="007E6BE1"/>
    <w:rsid w:val="00877CD7"/>
    <w:rsid w:val="00887F3D"/>
    <w:rsid w:val="008A24E1"/>
    <w:rsid w:val="008B6CD3"/>
    <w:rsid w:val="008F70A3"/>
    <w:rsid w:val="00995958"/>
    <w:rsid w:val="00A0754B"/>
    <w:rsid w:val="00A431A6"/>
    <w:rsid w:val="00A4384C"/>
    <w:rsid w:val="00AB0A37"/>
    <w:rsid w:val="00B836BC"/>
    <w:rsid w:val="00B904BD"/>
    <w:rsid w:val="00BA0881"/>
    <w:rsid w:val="00C66BCF"/>
    <w:rsid w:val="00CB09C3"/>
    <w:rsid w:val="00CE01C9"/>
    <w:rsid w:val="00D37354"/>
    <w:rsid w:val="00D810C1"/>
    <w:rsid w:val="00D82B0A"/>
    <w:rsid w:val="00D93BFC"/>
    <w:rsid w:val="00DB7BC3"/>
    <w:rsid w:val="00E10F80"/>
    <w:rsid w:val="00E2751C"/>
    <w:rsid w:val="00E70C09"/>
    <w:rsid w:val="00E74F79"/>
    <w:rsid w:val="00E92CD3"/>
    <w:rsid w:val="00EB25EC"/>
    <w:rsid w:val="00ED4BBF"/>
    <w:rsid w:val="00F4036E"/>
    <w:rsid w:val="00F82B65"/>
    <w:rsid w:val="00FC2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839E1"/>
  <w15:chartTrackingRefBased/>
  <w15:docId w15:val="{610BFBB6-0FCA-44F8-8ECE-6182579C3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293"/>
    <w:pPr>
      <w:keepNext/>
      <w:keepLines/>
      <w:spacing w:before="360" w:after="80"/>
      <w:outlineLvl w:val="0"/>
    </w:pPr>
    <w:rPr>
      <w:rFonts w:ascii="Arial" w:eastAsiaTheme="majorEastAsia" w:hAnsi="Arial" w:cstheme="majorBidi"/>
      <w:color w:val="000000" w:themeColor="text1"/>
      <w:sz w:val="24"/>
      <w:szCs w:val="40"/>
    </w:rPr>
  </w:style>
  <w:style w:type="paragraph" w:styleId="Heading2">
    <w:name w:val="heading 2"/>
    <w:basedOn w:val="Normal"/>
    <w:next w:val="Normal"/>
    <w:link w:val="Heading2Char"/>
    <w:uiPriority w:val="9"/>
    <w:unhideWhenUsed/>
    <w:qFormat/>
    <w:rsid w:val="00E74F79"/>
    <w:pPr>
      <w:keepNext/>
      <w:keepLines/>
      <w:spacing w:before="160" w:after="80"/>
      <w:outlineLvl w:val="1"/>
    </w:pPr>
    <w:rPr>
      <w:rFonts w:asciiTheme="majorHAnsi" w:eastAsiaTheme="majorEastAsia" w:hAnsiTheme="majorHAnsi" w:cstheme="majorBidi"/>
      <w:color w:val="000000" w:themeColor="text1"/>
      <w:sz w:val="24"/>
      <w:szCs w:val="32"/>
    </w:rPr>
  </w:style>
  <w:style w:type="paragraph" w:styleId="Heading3">
    <w:name w:val="heading 3"/>
    <w:basedOn w:val="Normal"/>
    <w:next w:val="Normal"/>
    <w:link w:val="Heading3Char"/>
    <w:uiPriority w:val="9"/>
    <w:semiHidden/>
    <w:unhideWhenUsed/>
    <w:qFormat/>
    <w:rsid w:val="00700B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B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B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B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B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B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B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293"/>
    <w:rPr>
      <w:rFonts w:ascii="Arial" w:eastAsiaTheme="majorEastAsia" w:hAnsi="Arial" w:cstheme="majorBidi"/>
      <w:color w:val="000000" w:themeColor="text1"/>
      <w:sz w:val="24"/>
      <w:szCs w:val="40"/>
    </w:rPr>
  </w:style>
  <w:style w:type="character" w:customStyle="1" w:styleId="Heading2Char">
    <w:name w:val="Heading 2 Char"/>
    <w:basedOn w:val="DefaultParagraphFont"/>
    <w:link w:val="Heading2"/>
    <w:uiPriority w:val="9"/>
    <w:rsid w:val="00E74F79"/>
    <w:rPr>
      <w:rFonts w:asciiTheme="majorHAnsi" w:eastAsiaTheme="majorEastAsia" w:hAnsiTheme="majorHAnsi" w:cstheme="majorBidi"/>
      <w:color w:val="000000" w:themeColor="text1"/>
      <w:sz w:val="24"/>
      <w:szCs w:val="32"/>
    </w:rPr>
  </w:style>
  <w:style w:type="character" w:customStyle="1" w:styleId="Heading3Char">
    <w:name w:val="Heading 3 Char"/>
    <w:basedOn w:val="DefaultParagraphFont"/>
    <w:link w:val="Heading3"/>
    <w:uiPriority w:val="9"/>
    <w:semiHidden/>
    <w:rsid w:val="00700B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B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B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B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B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B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B4F"/>
    <w:rPr>
      <w:rFonts w:eastAsiaTheme="majorEastAsia" w:cstheme="majorBidi"/>
      <w:color w:val="272727" w:themeColor="text1" w:themeTint="D8"/>
    </w:rPr>
  </w:style>
  <w:style w:type="paragraph" w:styleId="Title">
    <w:name w:val="Title"/>
    <w:basedOn w:val="Normal"/>
    <w:next w:val="Normal"/>
    <w:link w:val="TitleChar"/>
    <w:uiPriority w:val="10"/>
    <w:qFormat/>
    <w:rsid w:val="00700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B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B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B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B4F"/>
    <w:pPr>
      <w:spacing w:before="160"/>
      <w:jc w:val="center"/>
    </w:pPr>
    <w:rPr>
      <w:i/>
      <w:iCs/>
      <w:color w:val="404040" w:themeColor="text1" w:themeTint="BF"/>
    </w:rPr>
  </w:style>
  <w:style w:type="character" w:customStyle="1" w:styleId="QuoteChar">
    <w:name w:val="Quote Char"/>
    <w:basedOn w:val="DefaultParagraphFont"/>
    <w:link w:val="Quote"/>
    <w:uiPriority w:val="29"/>
    <w:rsid w:val="00700B4F"/>
    <w:rPr>
      <w:i/>
      <w:iCs/>
      <w:color w:val="404040" w:themeColor="text1" w:themeTint="BF"/>
    </w:rPr>
  </w:style>
  <w:style w:type="paragraph" w:styleId="ListParagraph">
    <w:name w:val="List Paragraph"/>
    <w:basedOn w:val="Normal"/>
    <w:uiPriority w:val="34"/>
    <w:qFormat/>
    <w:rsid w:val="00700B4F"/>
    <w:pPr>
      <w:ind w:left="720"/>
      <w:contextualSpacing/>
    </w:pPr>
  </w:style>
  <w:style w:type="character" w:styleId="IntenseEmphasis">
    <w:name w:val="Intense Emphasis"/>
    <w:basedOn w:val="DefaultParagraphFont"/>
    <w:uiPriority w:val="21"/>
    <w:qFormat/>
    <w:rsid w:val="00700B4F"/>
    <w:rPr>
      <w:i/>
      <w:iCs/>
      <w:color w:val="0F4761" w:themeColor="accent1" w:themeShade="BF"/>
    </w:rPr>
  </w:style>
  <w:style w:type="paragraph" w:styleId="IntenseQuote">
    <w:name w:val="Intense Quote"/>
    <w:basedOn w:val="Normal"/>
    <w:next w:val="Normal"/>
    <w:link w:val="IntenseQuoteChar"/>
    <w:uiPriority w:val="30"/>
    <w:qFormat/>
    <w:rsid w:val="00700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B4F"/>
    <w:rPr>
      <w:i/>
      <w:iCs/>
      <w:color w:val="0F4761" w:themeColor="accent1" w:themeShade="BF"/>
    </w:rPr>
  </w:style>
  <w:style w:type="character" w:styleId="IntenseReference">
    <w:name w:val="Intense Reference"/>
    <w:basedOn w:val="DefaultParagraphFont"/>
    <w:uiPriority w:val="32"/>
    <w:qFormat/>
    <w:rsid w:val="00700B4F"/>
    <w:rPr>
      <w:b/>
      <w:bCs/>
      <w:smallCaps/>
      <w:color w:val="0F4761" w:themeColor="accent1" w:themeShade="BF"/>
      <w:spacing w:val="5"/>
    </w:rPr>
  </w:style>
  <w:style w:type="paragraph" w:styleId="NormalWeb">
    <w:name w:val="Normal (Web)"/>
    <w:basedOn w:val="Normal"/>
    <w:uiPriority w:val="99"/>
    <w:unhideWhenUsed/>
    <w:rsid w:val="00700B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21341"/>
    <w:rPr>
      <w:i/>
      <w:iCs/>
    </w:rPr>
  </w:style>
  <w:style w:type="character" w:styleId="Strong">
    <w:name w:val="Strong"/>
    <w:basedOn w:val="DefaultParagraphFont"/>
    <w:uiPriority w:val="22"/>
    <w:qFormat/>
    <w:rsid w:val="00421341"/>
    <w:rPr>
      <w:b/>
      <w:bCs/>
    </w:rPr>
  </w:style>
  <w:style w:type="paragraph" w:styleId="NoSpacing">
    <w:name w:val="No Spacing"/>
    <w:link w:val="NoSpacingChar"/>
    <w:uiPriority w:val="1"/>
    <w:qFormat/>
    <w:rsid w:val="000555F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555FE"/>
    <w:rPr>
      <w:rFonts w:eastAsiaTheme="minorEastAsia"/>
      <w:kern w:val="0"/>
      <w:lang w:eastAsia="en-GB"/>
      <w14:ligatures w14:val="none"/>
    </w:rPr>
  </w:style>
  <w:style w:type="paragraph" w:styleId="TOCHeading">
    <w:name w:val="TOC Heading"/>
    <w:basedOn w:val="Heading1"/>
    <w:next w:val="Normal"/>
    <w:uiPriority w:val="39"/>
    <w:unhideWhenUsed/>
    <w:qFormat/>
    <w:rsid w:val="00722211"/>
    <w:pPr>
      <w:spacing w:before="240" w:after="0"/>
      <w:outlineLvl w:val="9"/>
    </w:pPr>
    <w:rPr>
      <w:rFonts w:asciiTheme="majorHAnsi" w:hAnsiTheme="majorHAnsi"/>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722211"/>
    <w:pPr>
      <w:spacing w:after="100"/>
    </w:pPr>
  </w:style>
  <w:style w:type="paragraph" w:styleId="TOC2">
    <w:name w:val="toc 2"/>
    <w:basedOn w:val="Normal"/>
    <w:next w:val="Normal"/>
    <w:autoRedefine/>
    <w:uiPriority w:val="39"/>
    <w:unhideWhenUsed/>
    <w:rsid w:val="00722211"/>
    <w:pPr>
      <w:spacing w:after="100"/>
      <w:ind w:left="220"/>
    </w:pPr>
  </w:style>
  <w:style w:type="character" w:styleId="Hyperlink">
    <w:name w:val="Hyperlink"/>
    <w:basedOn w:val="DefaultParagraphFont"/>
    <w:uiPriority w:val="99"/>
    <w:unhideWhenUsed/>
    <w:rsid w:val="00722211"/>
    <w:rPr>
      <w:color w:val="467886" w:themeColor="hyperlink"/>
      <w:u w:val="single"/>
    </w:rPr>
  </w:style>
  <w:style w:type="paragraph" w:styleId="TOC3">
    <w:name w:val="toc 3"/>
    <w:basedOn w:val="Normal"/>
    <w:next w:val="Normal"/>
    <w:autoRedefine/>
    <w:uiPriority w:val="39"/>
    <w:unhideWhenUsed/>
    <w:rsid w:val="005E4107"/>
    <w:pPr>
      <w:spacing w:after="100"/>
      <w:ind w:left="440"/>
    </w:pPr>
    <w:rPr>
      <w:rFonts w:eastAsiaTheme="minorEastAsia" w:cs="Times New Roman"/>
      <w:kern w:val="0"/>
      <w:lang w:eastAsia="en-GB"/>
      <w14:ligatures w14:val="none"/>
    </w:rPr>
  </w:style>
  <w:style w:type="paragraph" w:styleId="Header">
    <w:name w:val="header"/>
    <w:basedOn w:val="Normal"/>
    <w:link w:val="HeaderChar"/>
    <w:uiPriority w:val="99"/>
    <w:unhideWhenUsed/>
    <w:rsid w:val="005E41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107"/>
  </w:style>
  <w:style w:type="paragraph" w:styleId="Footer">
    <w:name w:val="footer"/>
    <w:basedOn w:val="Normal"/>
    <w:link w:val="FooterChar"/>
    <w:uiPriority w:val="99"/>
    <w:unhideWhenUsed/>
    <w:rsid w:val="005E41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107"/>
  </w:style>
  <w:style w:type="character" w:customStyle="1" w:styleId="whitespace-normal">
    <w:name w:val="whitespace-normal"/>
    <w:basedOn w:val="DefaultParagraphFont"/>
    <w:rsid w:val="00E27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55153">
      <w:bodyDiv w:val="1"/>
      <w:marLeft w:val="0"/>
      <w:marRight w:val="0"/>
      <w:marTop w:val="0"/>
      <w:marBottom w:val="0"/>
      <w:divBdr>
        <w:top w:val="none" w:sz="0" w:space="0" w:color="auto"/>
        <w:left w:val="none" w:sz="0" w:space="0" w:color="auto"/>
        <w:bottom w:val="none" w:sz="0" w:space="0" w:color="auto"/>
        <w:right w:val="none" w:sz="0" w:space="0" w:color="auto"/>
      </w:divBdr>
    </w:div>
    <w:div w:id="224150101">
      <w:bodyDiv w:val="1"/>
      <w:marLeft w:val="0"/>
      <w:marRight w:val="0"/>
      <w:marTop w:val="0"/>
      <w:marBottom w:val="0"/>
      <w:divBdr>
        <w:top w:val="none" w:sz="0" w:space="0" w:color="auto"/>
        <w:left w:val="none" w:sz="0" w:space="0" w:color="auto"/>
        <w:bottom w:val="none" w:sz="0" w:space="0" w:color="auto"/>
        <w:right w:val="none" w:sz="0" w:space="0" w:color="auto"/>
      </w:divBdr>
    </w:div>
    <w:div w:id="229772796">
      <w:bodyDiv w:val="1"/>
      <w:marLeft w:val="0"/>
      <w:marRight w:val="0"/>
      <w:marTop w:val="0"/>
      <w:marBottom w:val="0"/>
      <w:divBdr>
        <w:top w:val="none" w:sz="0" w:space="0" w:color="auto"/>
        <w:left w:val="none" w:sz="0" w:space="0" w:color="auto"/>
        <w:bottom w:val="none" w:sz="0" w:space="0" w:color="auto"/>
        <w:right w:val="none" w:sz="0" w:space="0" w:color="auto"/>
      </w:divBdr>
    </w:div>
    <w:div w:id="247614107">
      <w:bodyDiv w:val="1"/>
      <w:marLeft w:val="0"/>
      <w:marRight w:val="0"/>
      <w:marTop w:val="0"/>
      <w:marBottom w:val="0"/>
      <w:divBdr>
        <w:top w:val="none" w:sz="0" w:space="0" w:color="auto"/>
        <w:left w:val="none" w:sz="0" w:space="0" w:color="auto"/>
        <w:bottom w:val="none" w:sz="0" w:space="0" w:color="auto"/>
        <w:right w:val="none" w:sz="0" w:space="0" w:color="auto"/>
      </w:divBdr>
    </w:div>
    <w:div w:id="266426701">
      <w:bodyDiv w:val="1"/>
      <w:marLeft w:val="0"/>
      <w:marRight w:val="0"/>
      <w:marTop w:val="0"/>
      <w:marBottom w:val="0"/>
      <w:divBdr>
        <w:top w:val="none" w:sz="0" w:space="0" w:color="auto"/>
        <w:left w:val="none" w:sz="0" w:space="0" w:color="auto"/>
        <w:bottom w:val="none" w:sz="0" w:space="0" w:color="auto"/>
        <w:right w:val="none" w:sz="0" w:space="0" w:color="auto"/>
      </w:divBdr>
    </w:div>
    <w:div w:id="564149859">
      <w:bodyDiv w:val="1"/>
      <w:marLeft w:val="0"/>
      <w:marRight w:val="0"/>
      <w:marTop w:val="0"/>
      <w:marBottom w:val="0"/>
      <w:divBdr>
        <w:top w:val="none" w:sz="0" w:space="0" w:color="auto"/>
        <w:left w:val="none" w:sz="0" w:space="0" w:color="auto"/>
        <w:bottom w:val="none" w:sz="0" w:space="0" w:color="auto"/>
        <w:right w:val="none" w:sz="0" w:space="0" w:color="auto"/>
      </w:divBdr>
    </w:div>
    <w:div w:id="720714291">
      <w:bodyDiv w:val="1"/>
      <w:marLeft w:val="0"/>
      <w:marRight w:val="0"/>
      <w:marTop w:val="0"/>
      <w:marBottom w:val="0"/>
      <w:divBdr>
        <w:top w:val="none" w:sz="0" w:space="0" w:color="auto"/>
        <w:left w:val="none" w:sz="0" w:space="0" w:color="auto"/>
        <w:bottom w:val="none" w:sz="0" w:space="0" w:color="auto"/>
        <w:right w:val="none" w:sz="0" w:space="0" w:color="auto"/>
      </w:divBdr>
    </w:div>
    <w:div w:id="761529160">
      <w:bodyDiv w:val="1"/>
      <w:marLeft w:val="0"/>
      <w:marRight w:val="0"/>
      <w:marTop w:val="0"/>
      <w:marBottom w:val="0"/>
      <w:divBdr>
        <w:top w:val="none" w:sz="0" w:space="0" w:color="auto"/>
        <w:left w:val="none" w:sz="0" w:space="0" w:color="auto"/>
        <w:bottom w:val="none" w:sz="0" w:space="0" w:color="auto"/>
        <w:right w:val="none" w:sz="0" w:space="0" w:color="auto"/>
      </w:divBdr>
    </w:div>
    <w:div w:id="939290551">
      <w:bodyDiv w:val="1"/>
      <w:marLeft w:val="0"/>
      <w:marRight w:val="0"/>
      <w:marTop w:val="0"/>
      <w:marBottom w:val="0"/>
      <w:divBdr>
        <w:top w:val="none" w:sz="0" w:space="0" w:color="auto"/>
        <w:left w:val="none" w:sz="0" w:space="0" w:color="auto"/>
        <w:bottom w:val="none" w:sz="0" w:space="0" w:color="auto"/>
        <w:right w:val="none" w:sz="0" w:space="0" w:color="auto"/>
      </w:divBdr>
    </w:div>
    <w:div w:id="1029375242">
      <w:bodyDiv w:val="1"/>
      <w:marLeft w:val="0"/>
      <w:marRight w:val="0"/>
      <w:marTop w:val="0"/>
      <w:marBottom w:val="0"/>
      <w:divBdr>
        <w:top w:val="none" w:sz="0" w:space="0" w:color="auto"/>
        <w:left w:val="none" w:sz="0" w:space="0" w:color="auto"/>
        <w:bottom w:val="none" w:sz="0" w:space="0" w:color="auto"/>
        <w:right w:val="none" w:sz="0" w:space="0" w:color="auto"/>
      </w:divBdr>
    </w:div>
    <w:div w:id="1088504273">
      <w:bodyDiv w:val="1"/>
      <w:marLeft w:val="0"/>
      <w:marRight w:val="0"/>
      <w:marTop w:val="0"/>
      <w:marBottom w:val="0"/>
      <w:divBdr>
        <w:top w:val="none" w:sz="0" w:space="0" w:color="auto"/>
        <w:left w:val="none" w:sz="0" w:space="0" w:color="auto"/>
        <w:bottom w:val="none" w:sz="0" w:space="0" w:color="auto"/>
        <w:right w:val="none" w:sz="0" w:space="0" w:color="auto"/>
      </w:divBdr>
    </w:div>
    <w:div w:id="1224213985">
      <w:bodyDiv w:val="1"/>
      <w:marLeft w:val="0"/>
      <w:marRight w:val="0"/>
      <w:marTop w:val="0"/>
      <w:marBottom w:val="0"/>
      <w:divBdr>
        <w:top w:val="none" w:sz="0" w:space="0" w:color="auto"/>
        <w:left w:val="none" w:sz="0" w:space="0" w:color="auto"/>
        <w:bottom w:val="none" w:sz="0" w:space="0" w:color="auto"/>
        <w:right w:val="none" w:sz="0" w:space="0" w:color="auto"/>
      </w:divBdr>
    </w:div>
    <w:div w:id="1283345503">
      <w:bodyDiv w:val="1"/>
      <w:marLeft w:val="0"/>
      <w:marRight w:val="0"/>
      <w:marTop w:val="0"/>
      <w:marBottom w:val="0"/>
      <w:divBdr>
        <w:top w:val="none" w:sz="0" w:space="0" w:color="auto"/>
        <w:left w:val="none" w:sz="0" w:space="0" w:color="auto"/>
        <w:bottom w:val="none" w:sz="0" w:space="0" w:color="auto"/>
        <w:right w:val="none" w:sz="0" w:space="0" w:color="auto"/>
      </w:divBdr>
    </w:div>
    <w:div w:id="1321235346">
      <w:bodyDiv w:val="1"/>
      <w:marLeft w:val="0"/>
      <w:marRight w:val="0"/>
      <w:marTop w:val="0"/>
      <w:marBottom w:val="0"/>
      <w:divBdr>
        <w:top w:val="none" w:sz="0" w:space="0" w:color="auto"/>
        <w:left w:val="none" w:sz="0" w:space="0" w:color="auto"/>
        <w:bottom w:val="none" w:sz="0" w:space="0" w:color="auto"/>
        <w:right w:val="none" w:sz="0" w:space="0" w:color="auto"/>
      </w:divBdr>
    </w:div>
    <w:div w:id="1377969177">
      <w:bodyDiv w:val="1"/>
      <w:marLeft w:val="0"/>
      <w:marRight w:val="0"/>
      <w:marTop w:val="0"/>
      <w:marBottom w:val="0"/>
      <w:divBdr>
        <w:top w:val="none" w:sz="0" w:space="0" w:color="auto"/>
        <w:left w:val="none" w:sz="0" w:space="0" w:color="auto"/>
        <w:bottom w:val="none" w:sz="0" w:space="0" w:color="auto"/>
        <w:right w:val="none" w:sz="0" w:space="0" w:color="auto"/>
      </w:divBdr>
    </w:div>
    <w:div w:id="1388719337">
      <w:bodyDiv w:val="1"/>
      <w:marLeft w:val="0"/>
      <w:marRight w:val="0"/>
      <w:marTop w:val="0"/>
      <w:marBottom w:val="0"/>
      <w:divBdr>
        <w:top w:val="none" w:sz="0" w:space="0" w:color="auto"/>
        <w:left w:val="none" w:sz="0" w:space="0" w:color="auto"/>
        <w:bottom w:val="none" w:sz="0" w:space="0" w:color="auto"/>
        <w:right w:val="none" w:sz="0" w:space="0" w:color="auto"/>
      </w:divBdr>
    </w:div>
    <w:div w:id="1491407836">
      <w:bodyDiv w:val="1"/>
      <w:marLeft w:val="0"/>
      <w:marRight w:val="0"/>
      <w:marTop w:val="0"/>
      <w:marBottom w:val="0"/>
      <w:divBdr>
        <w:top w:val="none" w:sz="0" w:space="0" w:color="auto"/>
        <w:left w:val="none" w:sz="0" w:space="0" w:color="auto"/>
        <w:bottom w:val="none" w:sz="0" w:space="0" w:color="auto"/>
        <w:right w:val="none" w:sz="0" w:space="0" w:color="auto"/>
      </w:divBdr>
    </w:div>
    <w:div w:id="1684742531">
      <w:bodyDiv w:val="1"/>
      <w:marLeft w:val="0"/>
      <w:marRight w:val="0"/>
      <w:marTop w:val="0"/>
      <w:marBottom w:val="0"/>
      <w:divBdr>
        <w:top w:val="none" w:sz="0" w:space="0" w:color="auto"/>
        <w:left w:val="none" w:sz="0" w:space="0" w:color="auto"/>
        <w:bottom w:val="none" w:sz="0" w:space="0" w:color="auto"/>
        <w:right w:val="none" w:sz="0" w:space="0" w:color="auto"/>
      </w:divBdr>
    </w:div>
    <w:div w:id="1739816271">
      <w:bodyDiv w:val="1"/>
      <w:marLeft w:val="0"/>
      <w:marRight w:val="0"/>
      <w:marTop w:val="0"/>
      <w:marBottom w:val="0"/>
      <w:divBdr>
        <w:top w:val="none" w:sz="0" w:space="0" w:color="auto"/>
        <w:left w:val="none" w:sz="0" w:space="0" w:color="auto"/>
        <w:bottom w:val="none" w:sz="0" w:space="0" w:color="auto"/>
        <w:right w:val="none" w:sz="0" w:space="0" w:color="auto"/>
      </w:divBdr>
    </w:div>
    <w:div w:id="1844590377">
      <w:bodyDiv w:val="1"/>
      <w:marLeft w:val="0"/>
      <w:marRight w:val="0"/>
      <w:marTop w:val="0"/>
      <w:marBottom w:val="0"/>
      <w:divBdr>
        <w:top w:val="none" w:sz="0" w:space="0" w:color="auto"/>
        <w:left w:val="none" w:sz="0" w:space="0" w:color="auto"/>
        <w:bottom w:val="none" w:sz="0" w:space="0" w:color="auto"/>
        <w:right w:val="none" w:sz="0" w:space="0" w:color="auto"/>
      </w:divBdr>
      <w:divsChild>
        <w:div w:id="265576099">
          <w:marLeft w:val="0"/>
          <w:marRight w:val="0"/>
          <w:marTop w:val="0"/>
          <w:marBottom w:val="0"/>
          <w:divBdr>
            <w:top w:val="none" w:sz="0" w:space="0" w:color="auto"/>
            <w:left w:val="none" w:sz="0" w:space="0" w:color="auto"/>
            <w:bottom w:val="none" w:sz="0" w:space="0" w:color="auto"/>
            <w:right w:val="none" w:sz="0" w:space="0" w:color="auto"/>
          </w:divBdr>
          <w:divsChild>
            <w:div w:id="1155340670">
              <w:marLeft w:val="0"/>
              <w:marRight w:val="0"/>
              <w:marTop w:val="0"/>
              <w:marBottom w:val="0"/>
              <w:divBdr>
                <w:top w:val="none" w:sz="0" w:space="0" w:color="auto"/>
                <w:left w:val="none" w:sz="0" w:space="0" w:color="auto"/>
                <w:bottom w:val="none" w:sz="0" w:space="0" w:color="auto"/>
                <w:right w:val="none" w:sz="0" w:space="0" w:color="auto"/>
              </w:divBdr>
              <w:divsChild>
                <w:div w:id="447356768">
                  <w:marLeft w:val="0"/>
                  <w:marRight w:val="0"/>
                  <w:marTop w:val="0"/>
                  <w:marBottom w:val="0"/>
                  <w:divBdr>
                    <w:top w:val="none" w:sz="0" w:space="0" w:color="auto"/>
                    <w:left w:val="none" w:sz="0" w:space="0" w:color="auto"/>
                    <w:bottom w:val="none" w:sz="0" w:space="0" w:color="auto"/>
                    <w:right w:val="none" w:sz="0" w:space="0" w:color="auto"/>
                  </w:divBdr>
                  <w:divsChild>
                    <w:div w:id="416902686">
                      <w:marLeft w:val="0"/>
                      <w:marRight w:val="0"/>
                      <w:marTop w:val="0"/>
                      <w:marBottom w:val="0"/>
                      <w:divBdr>
                        <w:top w:val="none" w:sz="0" w:space="0" w:color="auto"/>
                        <w:left w:val="none" w:sz="0" w:space="0" w:color="auto"/>
                        <w:bottom w:val="none" w:sz="0" w:space="0" w:color="auto"/>
                        <w:right w:val="none" w:sz="0" w:space="0" w:color="auto"/>
                      </w:divBdr>
                      <w:divsChild>
                        <w:div w:id="1594705422">
                          <w:marLeft w:val="0"/>
                          <w:marRight w:val="0"/>
                          <w:marTop w:val="0"/>
                          <w:marBottom w:val="0"/>
                          <w:divBdr>
                            <w:top w:val="none" w:sz="0" w:space="0" w:color="auto"/>
                            <w:left w:val="none" w:sz="0" w:space="0" w:color="auto"/>
                            <w:bottom w:val="none" w:sz="0" w:space="0" w:color="auto"/>
                            <w:right w:val="none" w:sz="0" w:space="0" w:color="auto"/>
                          </w:divBdr>
                          <w:divsChild>
                            <w:div w:id="701587752">
                              <w:marLeft w:val="0"/>
                              <w:marRight w:val="0"/>
                              <w:marTop w:val="0"/>
                              <w:marBottom w:val="0"/>
                              <w:divBdr>
                                <w:top w:val="none" w:sz="0" w:space="0" w:color="auto"/>
                                <w:left w:val="none" w:sz="0" w:space="0" w:color="auto"/>
                                <w:bottom w:val="none" w:sz="0" w:space="0" w:color="auto"/>
                                <w:right w:val="none" w:sz="0" w:space="0" w:color="auto"/>
                              </w:divBdr>
                              <w:divsChild>
                                <w:div w:id="90368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0201602">
          <w:marLeft w:val="0"/>
          <w:marRight w:val="0"/>
          <w:marTop w:val="0"/>
          <w:marBottom w:val="0"/>
          <w:divBdr>
            <w:top w:val="none" w:sz="0" w:space="0" w:color="auto"/>
            <w:left w:val="none" w:sz="0" w:space="0" w:color="auto"/>
            <w:bottom w:val="none" w:sz="0" w:space="0" w:color="auto"/>
            <w:right w:val="none" w:sz="0" w:space="0" w:color="auto"/>
          </w:divBdr>
          <w:divsChild>
            <w:div w:id="1705904781">
              <w:marLeft w:val="0"/>
              <w:marRight w:val="0"/>
              <w:marTop w:val="0"/>
              <w:marBottom w:val="0"/>
              <w:divBdr>
                <w:top w:val="none" w:sz="0" w:space="0" w:color="auto"/>
                <w:left w:val="none" w:sz="0" w:space="0" w:color="auto"/>
                <w:bottom w:val="none" w:sz="0" w:space="0" w:color="auto"/>
                <w:right w:val="none" w:sz="0" w:space="0" w:color="auto"/>
              </w:divBdr>
              <w:divsChild>
                <w:div w:id="176161164">
                  <w:marLeft w:val="0"/>
                  <w:marRight w:val="0"/>
                  <w:marTop w:val="0"/>
                  <w:marBottom w:val="0"/>
                  <w:divBdr>
                    <w:top w:val="none" w:sz="0" w:space="0" w:color="auto"/>
                    <w:left w:val="none" w:sz="0" w:space="0" w:color="auto"/>
                    <w:bottom w:val="none" w:sz="0" w:space="0" w:color="auto"/>
                    <w:right w:val="none" w:sz="0" w:space="0" w:color="auto"/>
                  </w:divBdr>
                  <w:divsChild>
                    <w:div w:id="517080255">
                      <w:marLeft w:val="0"/>
                      <w:marRight w:val="0"/>
                      <w:marTop w:val="0"/>
                      <w:marBottom w:val="0"/>
                      <w:divBdr>
                        <w:top w:val="none" w:sz="0" w:space="0" w:color="auto"/>
                        <w:left w:val="none" w:sz="0" w:space="0" w:color="auto"/>
                        <w:bottom w:val="none" w:sz="0" w:space="0" w:color="auto"/>
                        <w:right w:val="none" w:sz="0" w:space="0" w:color="auto"/>
                      </w:divBdr>
                      <w:divsChild>
                        <w:div w:id="1018891312">
                          <w:marLeft w:val="0"/>
                          <w:marRight w:val="0"/>
                          <w:marTop w:val="0"/>
                          <w:marBottom w:val="0"/>
                          <w:divBdr>
                            <w:top w:val="none" w:sz="0" w:space="0" w:color="auto"/>
                            <w:left w:val="none" w:sz="0" w:space="0" w:color="auto"/>
                            <w:bottom w:val="none" w:sz="0" w:space="0" w:color="auto"/>
                            <w:right w:val="none" w:sz="0" w:space="0" w:color="auto"/>
                          </w:divBdr>
                          <w:divsChild>
                            <w:div w:id="74457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2026-04-21T00:00:00</PublishDate>
  <Abstract/>
  <CompanyAddress>Dr Rameses Manalang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128319-9D91-403F-A655-E281805B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3782</Words>
  <Characters>21562</Characters>
  <Application>Microsoft Office Word</Application>
  <DocSecurity>0</DocSecurity>
  <Lines>179</Lines>
  <Paragraphs>50</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Organisational Culture</vt:lpstr>
      <vt:lpstr/>
      <vt:lpstr>Introduction </vt:lpstr>
      <vt:lpstr>Organisational Culture of Toyota </vt:lpstr>
      <vt:lpstr>How Organisational Culture Shapes Structure and Decision-Making </vt:lpstr>
      <vt:lpstr>Even with a clear hierarchy, Toyota gives employees a high level of responsibili</vt:lpstr>
      <vt:lpstr>Toyota’s culture strongly shapes its structure and decision making. It promotes </vt:lpstr>
      <vt:lpstr>Relevant Frameworks and Model</vt:lpstr>
      <vt:lpstr>Organisational Culture and Adaptation to the External Environment </vt:lpstr>
      <vt:lpstr>Impact of Organisational Culture on Performance</vt:lpstr>
      <vt:lpstr>Conclusion </vt:lpstr>
      <vt:lpstr>References</vt:lpstr>
    </vt:vector>
  </TitlesOfParts>
  <Company>Student ID: 2335147</Company>
  <LinksUpToDate>false</LinksUpToDate>
  <CharactersWithSpaces>25294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dc:title>
  <dc:subject>Individual Report on Toyota</dc:subject>
  <dc:creator>Jordao, Rosemary</dc:creator>
  <cp:keywords/>
  <dc:description/>
  <cp:lastModifiedBy>Jordao, Rosemary</cp:lastModifiedBy>
  <cp:revision>2</cp:revision>
  <dcterms:created xsi:type="dcterms:W3CDTF">2026-04-18T23:42:00Z</dcterms:created>
  <dcterms:modified xsi:type="dcterms:W3CDTF">2026-04-18T23:42:00Z</dcterms:modified>
</cp:coreProperties>
</file>