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C8E" w:rsidRPr="00A35C8E" w:rsidRDefault="00A35C8E" w:rsidP="00A35C8E">
      <w:pPr>
        <w:jc w:val="center"/>
        <w:rPr>
          <w:sz w:val="32"/>
        </w:rPr>
      </w:pPr>
      <w:r w:rsidRPr="00A35C8E">
        <w:rPr>
          <w:sz w:val="32"/>
        </w:rPr>
        <w:t>Module: Legal Process</w:t>
      </w:r>
    </w:p>
    <w:p w:rsidR="007A2DAD" w:rsidRDefault="00A35C8E" w:rsidP="00A35C8E">
      <w:pPr>
        <w:jc w:val="center"/>
        <w:rPr>
          <w:sz w:val="32"/>
        </w:rPr>
      </w:pPr>
      <w:r w:rsidRPr="00A35C8E">
        <w:rPr>
          <w:sz w:val="32"/>
        </w:rPr>
        <w:t>Module code: BMLW4006, BMPL4011</w:t>
      </w:r>
    </w:p>
    <w:p w:rsidR="00D26D38" w:rsidRDefault="00D26D38" w:rsidP="00A35C8E">
      <w:pPr>
        <w:jc w:val="center"/>
        <w:rPr>
          <w:sz w:val="32"/>
        </w:rPr>
      </w:pPr>
    </w:p>
    <w:p w:rsidR="00D26D38" w:rsidRDefault="00D26D38" w:rsidP="00A35C8E">
      <w:pPr>
        <w:jc w:val="center"/>
        <w:rPr>
          <w:sz w:val="32"/>
        </w:rPr>
      </w:pPr>
      <w:r w:rsidRPr="00D26D38">
        <w:rPr>
          <w:sz w:val="32"/>
        </w:rPr>
        <w:t>Assignment Title: The Civil Justice system</w:t>
      </w:r>
    </w:p>
    <w:p w:rsidR="00C81C1F" w:rsidRDefault="00C81C1F">
      <w:pPr>
        <w:spacing w:line="259" w:lineRule="auto"/>
        <w:jc w:val="left"/>
        <w:rPr>
          <w:sz w:val="32"/>
        </w:rPr>
      </w:pPr>
      <w:r>
        <w:rPr>
          <w:sz w:val="32"/>
        </w:rPr>
        <w:br w:type="page"/>
      </w:r>
    </w:p>
    <w:p w:rsidR="00CB3C18" w:rsidRDefault="0031708D" w:rsidP="002701B6">
      <w:pPr>
        <w:pStyle w:val="Heading1"/>
      </w:pPr>
      <w:bookmarkStart w:id="0" w:name="_Toc165639154"/>
      <w:bookmarkStart w:id="1" w:name="_GoBack"/>
      <w:bookmarkEnd w:id="1"/>
      <w:r>
        <w:lastRenderedPageBreak/>
        <w:t>Introduction</w:t>
      </w:r>
      <w:bookmarkEnd w:id="0"/>
    </w:p>
    <w:p w:rsidR="00246B80" w:rsidRPr="00246B80" w:rsidRDefault="00246B80" w:rsidP="00246B80">
      <w:r>
        <w:t>For many years, the civil legal aid system of the United Kingdom has been among the vital elements of maintaining access to justice for all people, regardless of financial well-being. However, the Law Gazette reported in its 2014 article that the United Kingdom Legal Aid: Economist has been a regime of opportunities for only the poor. Despite the existence of these critical opportunities for civil individuals, the Legal Aid, Sentencing and Punishment of Offenders Act 2012 (LASPO) has been the cause of numerous debates and criticisms splitting apart the balance between opportunity and the possible extents of help</w:t>
      </w:r>
      <w:r w:rsidR="007660E2">
        <w:t>.</w:t>
      </w:r>
      <w:r>
        <w:t xml:space="preserve"> This essay will explore the development of the civil legal aid regime of the Kingdom. This study will focus on the outcomes that have occurred after the introduction of the LASPO reforms and will offer suggestions on how the system should be reformed. </w:t>
      </w:r>
    </w:p>
    <w:p w:rsidR="00BC6226" w:rsidRDefault="0030778C" w:rsidP="0030778C">
      <w:pPr>
        <w:pStyle w:val="Heading1"/>
      </w:pPr>
      <w:bookmarkStart w:id="2" w:name="_Toc165639155"/>
      <w:r w:rsidRPr="0030778C">
        <w:t>Civil legal aid</w:t>
      </w:r>
      <w:bookmarkEnd w:id="2"/>
    </w:p>
    <w:p w:rsidR="00526F4A" w:rsidRDefault="00870088" w:rsidP="00870088">
      <w:r>
        <w:t>The civil legal aid regime refers to a system in which the state grants financial support to individuals who cannot afford legal representation or consultation in civil case plies. These include all types of family issues and divorce, child custody, housing problems, issues related to immigration, and employment claims</w:t>
      </w:r>
      <w:r w:rsidR="0020436D">
        <w:t xml:space="preserve"> (</w:t>
      </w:r>
      <w:r w:rsidR="008B609F">
        <w:t xml:space="preserve">Rodger </w:t>
      </w:r>
      <w:r w:rsidR="0020436D">
        <w:t>and</w:t>
      </w:r>
      <w:r w:rsidR="00CD439A">
        <w:t xml:space="preserve"> </w:t>
      </w:r>
      <w:proofErr w:type="spellStart"/>
      <w:r w:rsidR="00CD439A">
        <w:t>MacCulloch</w:t>
      </w:r>
      <w:proofErr w:type="spellEnd"/>
      <w:r w:rsidR="00CD439A">
        <w:t>, 2008)</w:t>
      </w:r>
      <w:r w:rsidR="007660E2">
        <w:t>.</w:t>
      </w:r>
      <w:r>
        <w:t xml:space="preserve"> Its main objective is to guarantee the possibility for seven to access justice in any situation and circumstance. However, assistance can be accessed only by individuals who meet special eligibility criteria described in the LASPO: the income of the applicants, their assets, and the strengths of the case are taken into consideration before the state grants them permission to receive help</w:t>
      </w:r>
      <w:r w:rsidR="007660E2">
        <w:t>.</w:t>
      </w:r>
      <w:r>
        <w:t xml:space="preserve"> This system has been criticized in the past years</w:t>
      </w:r>
      <w:r w:rsidR="00731B77">
        <w:t xml:space="preserve"> (</w:t>
      </w:r>
      <w:r w:rsidR="00B57732">
        <w:rPr>
          <w:lang w:eastAsia="en-GB"/>
        </w:rPr>
        <w:t>Thoma</w:t>
      </w:r>
      <w:r w:rsidR="003B23DB">
        <w:rPr>
          <w:lang w:eastAsia="en-GB"/>
        </w:rPr>
        <w:t>s</w:t>
      </w:r>
      <w:r w:rsidR="00731B77" w:rsidRPr="009A6300">
        <w:rPr>
          <w:lang w:eastAsia="en-GB"/>
        </w:rPr>
        <w:t xml:space="preserve"> </w:t>
      </w:r>
      <w:r w:rsidR="00731B77">
        <w:rPr>
          <w:lang w:eastAsia="en-GB"/>
        </w:rPr>
        <w:t>and</w:t>
      </w:r>
      <w:r w:rsidR="00B57732">
        <w:rPr>
          <w:lang w:eastAsia="en-GB"/>
        </w:rPr>
        <w:t xml:space="preserve"> </w:t>
      </w:r>
      <w:proofErr w:type="spellStart"/>
      <w:r w:rsidR="00B57732">
        <w:rPr>
          <w:lang w:eastAsia="en-GB"/>
        </w:rPr>
        <w:t>Padfield</w:t>
      </w:r>
      <w:proofErr w:type="spellEnd"/>
      <w:r w:rsidR="00B57732">
        <w:rPr>
          <w:lang w:eastAsia="en-GB"/>
        </w:rPr>
        <w:t xml:space="preserve">, </w:t>
      </w:r>
      <w:r w:rsidR="00DF09CB">
        <w:rPr>
          <w:lang w:eastAsia="en-GB"/>
        </w:rPr>
        <w:t>2022)</w:t>
      </w:r>
      <w:r>
        <w:t xml:space="preserve">. For example, the Law Society suggested in 2024 that civil legal aid has been decreasing, and this fact has been well echoed by several law practitioners, advocacy groups, and victims of the system. Many elements have been playing a role in the possible decline of this regime. </w:t>
      </w:r>
    </w:p>
    <w:p w:rsidR="00870088" w:rsidRPr="00870088" w:rsidRDefault="00870088" w:rsidP="00870088">
      <w:r>
        <w:t>First of all, funding-related issues that have been caused by the limitations introduced by the LASPO’s 2013 reform adding to a limited number of cases that can be funded from the state and individuals</w:t>
      </w:r>
      <w:r w:rsidR="00724399">
        <w:t xml:space="preserve"> (</w:t>
      </w:r>
      <w:r w:rsidR="00C62448">
        <w:rPr>
          <w:lang w:eastAsia="en-GB"/>
        </w:rPr>
        <w:t xml:space="preserve">Davies, </w:t>
      </w:r>
      <w:r w:rsidR="00136FA1">
        <w:rPr>
          <w:lang w:eastAsia="en-GB"/>
        </w:rPr>
        <w:t>2020)</w:t>
      </w:r>
      <w:r>
        <w:t xml:space="preserve">. This means that the state pays less for representing the </w:t>
      </w:r>
      <w:proofErr w:type="gramStart"/>
      <w:r>
        <w:t>victims,</w:t>
      </w:r>
      <w:proofErr w:type="gramEnd"/>
      <w:r>
        <w:t xml:space="preserve"> and the numbers of the victims that are granted the access to this support have been minimized, which left many people to be able to deal with legal problems without the proper help. Apart </w:t>
      </w:r>
      <w:r>
        <w:lastRenderedPageBreak/>
        <w:t>from this issue, there are numerous bureaucratic difficulties in obtaining legal aid. These mean that there are delays in processing the envelopes granting legal aid and administrative mistakes that result in the impossibility of saving the contents.</w:t>
      </w:r>
      <w:r w:rsidRPr="00870088">
        <w:t xml:space="preserve"> </w:t>
      </w:r>
    </w:p>
    <w:p w:rsidR="00833078" w:rsidRDefault="00B05289" w:rsidP="00FE2EE3">
      <w:pPr>
        <w:pStyle w:val="Heading1"/>
      </w:pPr>
      <w:bookmarkStart w:id="3" w:name="_Toc165639156"/>
      <w:r w:rsidRPr="00B05289">
        <w:t>Changes made by the Legal Aid Sentencing and Punishment of Offenders Act 2012</w:t>
      </w:r>
      <w:bookmarkEnd w:id="3"/>
    </w:p>
    <w:p w:rsidR="0001263C" w:rsidRDefault="00D1463A" w:rsidP="00D1463A">
      <w:r>
        <w:t>In 2012, the British government introduced the Legal Aid, Sentencing and Punishment of Offenders Act to implement crucial, controversial changes in the system of legal aid. The primary goal of the act was to address the growing concerns regarding the expense of this type of aid and make the use of public funds more efficient. Nevertheless, LASPO contributed to a fierce debate and was widely criticized for limiting the possibilities of access to justice, especially among people with low income or who were facing multiple disadvantages</w:t>
      </w:r>
      <w:r w:rsidR="00922D56">
        <w:t xml:space="preserve"> (</w:t>
      </w:r>
      <w:r w:rsidR="00071F5D">
        <w:t xml:space="preserve">Craig </w:t>
      </w:r>
      <w:r w:rsidR="00922D56">
        <w:t>and</w:t>
      </w:r>
      <w:r w:rsidR="00066A99">
        <w:t xml:space="preserve"> De </w:t>
      </w:r>
      <w:proofErr w:type="spellStart"/>
      <w:r w:rsidR="00066A99">
        <w:t>Búrca</w:t>
      </w:r>
      <w:proofErr w:type="spellEnd"/>
      <w:r w:rsidR="00066A99">
        <w:t>, 2020)</w:t>
      </w:r>
      <w:r w:rsidR="007660E2">
        <w:t>.</w:t>
      </w:r>
      <w:r>
        <w:t xml:space="preserve"> One of the most controversial changes implied the restriction of the scope of civil legal aid</w:t>
      </w:r>
      <w:r w:rsidR="007660E2">
        <w:t>.</w:t>
      </w:r>
      <w:r>
        <w:t xml:space="preserve"> Before the reforms, it was available for a broader range of issues, such as presented in the field of family law, housing, immigration, and welfare rights. The latter particularly impacts people’s everyday lives and their basic needs and requires the most significant support for those who cannot afford a private lawyer</w:t>
      </w:r>
      <w:r w:rsidR="007660E2">
        <w:t>.</w:t>
      </w:r>
      <w:r>
        <w:t xml:space="preserve"> </w:t>
      </w:r>
    </w:p>
    <w:p w:rsidR="00D1463A" w:rsidRPr="00D1463A" w:rsidRDefault="00D1463A" w:rsidP="00D1463A">
      <w:r>
        <w:t>Thus, LASPO limited the scope of civil legal aid through excluding all private family law matters except the ones related to domestic abuse. The limitation of the scope was based on financial reasons; the government aimed to decrease spending due to the constant growth of funds allocated for legal aid year after year</w:t>
      </w:r>
      <w:r w:rsidR="00A22254">
        <w:t xml:space="preserve"> (</w:t>
      </w:r>
      <w:proofErr w:type="spellStart"/>
      <w:r w:rsidR="008A747A">
        <w:rPr>
          <w:lang w:eastAsia="en-GB"/>
        </w:rPr>
        <w:t>Kaganas</w:t>
      </w:r>
      <w:proofErr w:type="spellEnd"/>
      <w:r w:rsidR="00A22254" w:rsidRPr="009A6300">
        <w:rPr>
          <w:lang w:eastAsia="en-GB"/>
        </w:rPr>
        <w:t xml:space="preserve"> </w:t>
      </w:r>
      <w:r w:rsidR="00A22254">
        <w:rPr>
          <w:lang w:eastAsia="en-GB"/>
        </w:rPr>
        <w:t>and</w:t>
      </w:r>
      <w:r w:rsidR="00A22254" w:rsidRPr="009A6300">
        <w:rPr>
          <w:lang w:eastAsia="en-GB"/>
        </w:rPr>
        <w:t xml:space="preserve"> </w:t>
      </w:r>
      <w:proofErr w:type="spellStart"/>
      <w:r w:rsidR="00894E09">
        <w:rPr>
          <w:lang w:eastAsia="en-GB"/>
        </w:rPr>
        <w:t>Schostak</w:t>
      </w:r>
      <w:proofErr w:type="spellEnd"/>
      <w:r w:rsidR="00894E09">
        <w:rPr>
          <w:lang w:eastAsia="en-GB"/>
        </w:rPr>
        <w:t xml:space="preserve">, </w:t>
      </w:r>
      <w:r w:rsidR="00D26C9B">
        <w:rPr>
          <w:lang w:eastAsia="en-GB"/>
        </w:rPr>
        <w:t>2019)</w:t>
      </w:r>
      <w:r w:rsidR="007660E2">
        <w:t>.</w:t>
      </w:r>
      <w:r>
        <w:t xml:space="preserve"> Therefore, policymakers decided to utilize this deficit-cutting policy tool allocating the resources more efficiently and prevent excess spending. Besides, the policy’s rationale was that it would deter people from going to court and encourage them to resolve issues through mediation and other forms of alternative dispute resolution. Despite the rationale, critics suggested that LASPO was unfairly limiting access to justice to disadvantaged people who needed help most. The law’s restrictions on civil cases affected families and people dependent on the welfare state for their basic needs</w:t>
      </w:r>
      <w:r w:rsidR="007660E2">
        <w:t>.</w:t>
      </w:r>
    </w:p>
    <w:p w:rsidR="00B921CD" w:rsidRDefault="003166E1" w:rsidP="002F7371">
      <w:pPr>
        <w:pStyle w:val="Heading1"/>
      </w:pPr>
      <w:bookmarkStart w:id="4" w:name="_Toc165639157"/>
      <w:r>
        <w:lastRenderedPageBreak/>
        <w:t>Impact of the changes made by the Legal Aid Sentencing and P</w:t>
      </w:r>
      <w:r w:rsidR="0076107D">
        <w:t xml:space="preserve">unishment of Offenders Act 2012 </w:t>
      </w:r>
      <w:r w:rsidR="000031E1">
        <w:t xml:space="preserve">on </w:t>
      </w:r>
      <w:proofErr w:type="gramStart"/>
      <w:r w:rsidR="000031E1">
        <w:t>Civil</w:t>
      </w:r>
      <w:proofErr w:type="gramEnd"/>
      <w:r w:rsidR="000031E1">
        <w:t xml:space="preserve"> legal aid</w:t>
      </w:r>
      <w:bookmarkEnd w:id="4"/>
    </w:p>
    <w:p w:rsidR="00222141" w:rsidRDefault="00E203CF" w:rsidP="00E203CF">
      <w:r>
        <w:t>The Legal Aid, Sentencing and Punishment of Offenders Act 2012 made significant changes to civil legal aid in the United Kingdom. LASPO reshaped the landscape of access to justice in the UK for thousands and thousands of people. Although LASPO aimed to rationalize the legal aid system and decrease expenditure, its impact on civil legal aid has been immense and has largely been negative. LASPO’s most important buyer readiness impact was the retrenchment of qualifications, implying fewer people are qualifying for assistance</w:t>
      </w:r>
      <w:r w:rsidR="00D06C2C">
        <w:t xml:space="preserve"> (</w:t>
      </w:r>
      <w:r w:rsidR="00027731">
        <w:t xml:space="preserve">Craig, </w:t>
      </w:r>
      <w:r w:rsidR="000A0A86">
        <w:t>2015)</w:t>
      </w:r>
      <w:r w:rsidR="007660E2">
        <w:t>.</w:t>
      </w:r>
      <w:r>
        <w:t xml:space="preserve"> LASPO tightened the norms for means fairly prepayment, lowering income levels and establishing tougher asset and disposable income restrictions. As a result, some people who could have qualified for assistance with complex legal questions were denied it</w:t>
      </w:r>
      <w:r w:rsidR="007660E2">
        <w:t>.</w:t>
      </w:r>
      <w:r>
        <w:t xml:space="preserve"> Furthermore, LASPO radically reduced the range of civil legal aid available to households by excluding entire species. The most major substantial area that was excluded was private family low, subjecting legal aid to new constraints on the use of family separation low, involving divorce and child custody issues – including minor children</w:t>
      </w:r>
      <w:r w:rsidR="0045641E">
        <w:t xml:space="preserve"> (</w:t>
      </w:r>
      <w:proofErr w:type="spellStart"/>
      <w:r w:rsidR="00DA5F8A">
        <w:t>Odermatt</w:t>
      </w:r>
      <w:proofErr w:type="spellEnd"/>
      <w:r w:rsidR="00DA5F8A">
        <w:t>, 2017)</w:t>
      </w:r>
      <w:r w:rsidR="007660E2">
        <w:t>.</w:t>
      </w:r>
      <w:r>
        <w:t xml:space="preserve"> </w:t>
      </w:r>
    </w:p>
    <w:p w:rsidR="00E203CF" w:rsidRPr="00E203CF" w:rsidRDefault="00E203CF" w:rsidP="00E203CF">
      <w:r>
        <w:t>As a result, there has been a sharp drop in the number of women and kids with the employment kind of vehicle to manage personally sensitive and emotional home conditions. The consequences of LASPO on civil legal aid have been particularly devastating for vulnerable and marginalized groups. It has become increasingly problematic for persons with housing issues, immigration concerns, or welfare benefit disputes to obtain legal counsel to address their difficulties</w:t>
      </w:r>
      <w:r w:rsidR="00B05D90">
        <w:t xml:space="preserve"> (</w:t>
      </w:r>
      <w:r w:rsidR="0013788F">
        <w:t xml:space="preserve">Anthony, </w:t>
      </w:r>
      <w:r w:rsidR="00B05D90">
        <w:t>2022</w:t>
      </w:r>
      <w:r w:rsidR="0013788F">
        <w:t>)</w:t>
      </w:r>
      <w:r>
        <w:t xml:space="preserve">. LASPO limitations have exacerbated equity differences within the judicial system, making access to free legal advice available to all people who cannot bear to pay for the service. In addition, LASPO has had catastrophic repercussions on the legal field and </w:t>
      </w:r>
      <w:r w:rsidR="00B05D90">
        <w:t>the provision of legal services</w:t>
      </w:r>
      <w:r w:rsidR="007660E2">
        <w:t>.</w:t>
      </w:r>
      <w:r>
        <w:t xml:space="preserve"> As a result, many legal companies specializing in legal aid have been forced to close their doors. There is a shortage of legal aid attorneys available</w:t>
      </w:r>
      <w:r w:rsidR="00A87BF6">
        <w:t xml:space="preserve"> (</w:t>
      </w:r>
      <w:r w:rsidR="00330664">
        <w:rPr>
          <w:lang w:eastAsia="en-GB"/>
        </w:rPr>
        <w:t>Woolf,</w:t>
      </w:r>
      <w:r w:rsidR="00C06D4C">
        <w:rPr>
          <w:lang w:eastAsia="en-GB"/>
        </w:rPr>
        <w:t xml:space="preserve"> </w:t>
      </w:r>
      <w:r w:rsidR="00C80571">
        <w:rPr>
          <w:lang w:eastAsia="en-GB"/>
        </w:rPr>
        <w:t>2019)</w:t>
      </w:r>
      <w:r>
        <w:t>. The changes have had a significant, and mostly negative, impact on civil legal aid. Although the law seeks to mitigate charges and CA, its resolution implied a grievance in judicial access, open suffering. These exigency situations highlight the necessity for informed reforms.</w:t>
      </w:r>
    </w:p>
    <w:p w:rsidR="00012F0E" w:rsidRDefault="00012F0E" w:rsidP="00D414C8">
      <w:pPr>
        <w:pStyle w:val="Heading1"/>
      </w:pPr>
      <w:bookmarkStart w:id="5" w:name="_Toc165639158"/>
      <w:r>
        <w:lastRenderedPageBreak/>
        <w:t>Reform suggestions</w:t>
      </w:r>
      <w:bookmarkEnd w:id="5"/>
    </w:p>
    <w:p w:rsidR="007B46DB" w:rsidRPr="0087254F" w:rsidRDefault="00013D53" w:rsidP="0087254F">
      <w:r>
        <w:t>To summarise, it is possible to outline several recommendations for reforming the current civil legal aid system in the UK. More specifically, there is a need to ensure that those who genuinely require legal aid are eligible for it. This may require reviewing the income thresholds, as well as taking into account other factors such as the complexity of the case involved and the vulnerability of the individual</w:t>
      </w:r>
      <w:r w:rsidR="00EF3894">
        <w:t xml:space="preserve"> </w:t>
      </w:r>
      <w:r w:rsidR="00CC23D7">
        <w:t>(</w:t>
      </w:r>
      <w:r w:rsidR="00741538">
        <w:rPr>
          <w:lang w:eastAsia="en-GB"/>
        </w:rPr>
        <w:t xml:space="preserve">Hunter, </w:t>
      </w:r>
      <w:r w:rsidR="00EB5874">
        <w:rPr>
          <w:lang w:eastAsia="en-GB"/>
        </w:rPr>
        <w:t>2021)</w:t>
      </w:r>
      <w:r>
        <w:t xml:space="preserve">. Extend the scope of civil legal aid. It is essential to expand the range of legal issues covered by civil legal aid, especially in areas such as housing, welfare benefits, and immigration, where access to justice is particularly important for disadvantaged individuals. Increase funding for legal aid provision. More funding should be allocated to support legal practitioners and increase their capacity to deliver legal aid to those who require it. </w:t>
      </w:r>
      <w:r w:rsidR="00640489">
        <w:t>To make the legal aid system more responsive to the needs of its users, the following bureaucratic processes should be surely simplified</w:t>
      </w:r>
      <w:r w:rsidR="00E519E6">
        <w:t xml:space="preserve"> (</w:t>
      </w:r>
      <w:r w:rsidR="00E519E6">
        <w:rPr>
          <w:lang w:eastAsia="en-GB"/>
        </w:rPr>
        <w:t>Woolf, 2019)</w:t>
      </w:r>
      <w:r w:rsidR="00640489">
        <w:t xml:space="preserve">. All of these recommendations are necessary for the UK to uphold the principles of access to justice for all and eradicate systemic </w:t>
      </w:r>
      <w:r w:rsidR="00CD4164">
        <w:t>injustices in its legal system.</w:t>
      </w:r>
      <w:r w:rsidR="007B46DB">
        <w:br w:type="page"/>
      </w:r>
    </w:p>
    <w:p w:rsidR="00EF6050" w:rsidRDefault="00CB3C18" w:rsidP="00CB3C18">
      <w:pPr>
        <w:pStyle w:val="Heading1"/>
      </w:pPr>
      <w:bookmarkStart w:id="6" w:name="_Toc165639159"/>
      <w:r>
        <w:lastRenderedPageBreak/>
        <w:t>Conclusion</w:t>
      </w:r>
      <w:bookmarkEnd w:id="6"/>
    </w:p>
    <w:p w:rsidR="00C8732C" w:rsidRDefault="00C8732C" w:rsidP="00C8732C">
      <w:r>
        <w:t>In conclusion, the Legal Aid, Sentencing and Punishment of Offenders Act had significant consequences, most of which were negative, for civil legal aid in the United Kingdom. The overarching goal of rationalizing and consolidating the system, as well as its funding, has rendered LASPO ineffective. Nevertheless, if the UK takes into account the reform proposals of expanding eligibility and funding and rationalizing processes, as outlined above, the integrity and effectiveness of its civil legal aid system can be restored and preserved. In this manner, legal aid can continue to be the benchmark by which the country’s ability to provide universal access to justice can be evaluated.</w:t>
      </w:r>
    </w:p>
    <w:p w:rsidR="00A6726E" w:rsidRDefault="00A6726E" w:rsidP="00C8732C">
      <w:r>
        <w:br w:type="page"/>
      </w:r>
    </w:p>
    <w:p w:rsidR="00A6726E" w:rsidRPr="001C27F5" w:rsidRDefault="00D9252A" w:rsidP="001C27F5">
      <w:pPr>
        <w:pStyle w:val="Heading1"/>
      </w:pPr>
      <w:bookmarkStart w:id="7" w:name="_Toc165639160"/>
      <w:r w:rsidRPr="001C27F5">
        <w:lastRenderedPageBreak/>
        <w:t>References</w:t>
      </w:r>
      <w:bookmarkEnd w:id="7"/>
    </w:p>
    <w:p w:rsidR="00305DC4" w:rsidRDefault="00305DC4" w:rsidP="00CF4986">
      <w:r w:rsidRPr="00CF4986">
        <w:t>Anthony, G. (</w:t>
      </w:r>
      <w:r>
        <w:t>2022</w:t>
      </w:r>
      <w:r w:rsidRPr="00CF4986">
        <w:t xml:space="preserve">). </w:t>
      </w:r>
      <w:r w:rsidRPr="00CF4986">
        <w:rPr>
          <w:i/>
          <w:iCs/>
        </w:rPr>
        <w:t>UK Public Law and European Law: The Dynamics of Legal Integration</w:t>
      </w:r>
      <w:r w:rsidRPr="00CF4986">
        <w:t xml:space="preserve">. </w:t>
      </w:r>
      <w:proofErr w:type="gramStart"/>
      <w:r w:rsidRPr="00CF4986">
        <w:t>Bloomsbury Publishing.</w:t>
      </w:r>
      <w:proofErr w:type="gramEnd"/>
    </w:p>
    <w:p w:rsidR="00305DC4" w:rsidRPr="00674C8A" w:rsidRDefault="00305DC4" w:rsidP="00674C8A">
      <w:r w:rsidRPr="00674C8A">
        <w:t xml:space="preserve">Craig, P. (2015). </w:t>
      </w:r>
      <w:r w:rsidRPr="00674C8A">
        <w:rPr>
          <w:i/>
          <w:iCs/>
        </w:rPr>
        <w:t>UK, EU and global administrative law: foundations and challenges</w:t>
      </w:r>
      <w:r w:rsidRPr="00674C8A">
        <w:t xml:space="preserve">. </w:t>
      </w:r>
      <w:proofErr w:type="gramStart"/>
      <w:r w:rsidRPr="00674C8A">
        <w:t>Cambridge University Press.</w:t>
      </w:r>
      <w:proofErr w:type="gramEnd"/>
    </w:p>
    <w:p w:rsidR="00305DC4" w:rsidRPr="004F51AF" w:rsidRDefault="00305DC4" w:rsidP="004F51AF">
      <w:proofErr w:type="gramStart"/>
      <w:r w:rsidRPr="004F51AF">
        <w:t xml:space="preserve">Craig, P., </w:t>
      </w:r>
      <w:r>
        <w:t>and</w:t>
      </w:r>
      <w:r w:rsidRPr="004F51AF">
        <w:t xml:space="preserve"> De </w:t>
      </w:r>
      <w:proofErr w:type="spellStart"/>
      <w:r w:rsidRPr="004F51AF">
        <w:t>Búrca</w:t>
      </w:r>
      <w:proofErr w:type="spellEnd"/>
      <w:r w:rsidRPr="004F51AF">
        <w:t>, G. (2020).</w:t>
      </w:r>
      <w:proofErr w:type="gramEnd"/>
      <w:r w:rsidRPr="004F51AF">
        <w:t xml:space="preserve"> </w:t>
      </w:r>
      <w:r w:rsidRPr="004F51AF">
        <w:rPr>
          <w:i/>
          <w:iCs/>
        </w:rPr>
        <w:t>EU Law: Text, Cases, and Materials UK Version</w:t>
      </w:r>
      <w:r w:rsidRPr="004F51AF">
        <w:t>. Oxford University Press, USA.</w:t>
      </w:r>
    </w:p>
    <w:p w:rsidR="00305DC4" w:rsidRPr="009A6300" w:rsidRDefault="00305DC4" w:rsidP="009A7AA9">
      <w:pPr>
        <w:rPr>
          <w:lang w:eastAsia="en-GB"/>
        </w:rPr>
      </w:pPr>
      <w:r w:rsidRPr="009A6300">
        <w:rPr>
          <w:lang w:eastAsia="en-GB"/>
        </w:rPr>
        <w:t xml:space="preserve">Davies, R. (2020). </w:t>
      </w:r>
      <w:proofErr w:type="gramStart"/>
      <w:r w:rsidRPr="009A6300">
        <w:rPr>
          <w:lang w:eastAsia="en-GB"/>
        </w:rPr>
        <w:t>Reforming the Legal Aid System: Lessons from LASPO.</w:t>
      </w:r>
      <w:proofErr w:type="gramEnd"/>
      <w:r w:rsidRPr="009A6300">
        <w:rPr>
          <w:lang w:eastAsia="en-GB"/>
        </w:rPr>
        <w:t xml:space="preserve"> Modern Law Review, 83(4), pp. 682-707.</w:t>
      </w:r>
    </w:p>
    <w:p w:rsidR="00305DC4" w:rsidRPr="009A6300" w:rsidRDefault="00305DC4" w:rsidP="009A7AA9">
      <w:pPr>
        <w:rPr>
          <w:lang w:eastAsia="en-GB"/>
        </w:rPr>
      </w:pPr>
      <w:r>
        <w:rPr>
          <w:lang w:eastAsia="en-GB"/>
        </w:rPr>
        <w:t xml:space="preserve">Hunter, P. (2021). </w:t>
      </w:r>
      <w:r w:rsidRPr="009A6300">
        <w:rPr>
          <w:lang w:eastAsia="en-GB"/>
        </w:rPr>
        <w:t>Legal Aid and Social Justice in the UK: Challenges and Opportunitie</w:t>
      </w:r>
      <w:r>
        <w:rPr>
          <w:lang w:eastAsia="en-GB"/>
        </w:rPr>
        <w:t>s.</w:t>
      </w:r>
      <w:r w:rsidRPr="009A6300">
        <w:rPr>
          <w:lang w:eastAsia="en-GB"/>
        </w:rPr>
        <w:t xml:space="preserve"> Journal of Law and Society, 48(2), pp. 286-307.</w:t>
      </w:r>
    </w:p>
    <w:p w:rsidR="00305DC4" w:rsidRPr="009A6300" w:rsidRDefault="00305DC4" w:rsidP="009A7AA9">
      <w:pPr>
        <w:rPr>
          <w:lang w:eastAsia="en-GB"/>
        </w:rPr>
      </w:pPr>
      <w:proofErr w:type="spellStart"/>
      <w:proofErr w:type="gramStart"/>
      <w:r w:rsidRPr="009A6300">
        <w:rPr>
          <w:lang w:eastAsia="en-GB"/>
        </w:rPr>
        <w:t>Kaganas</w:t>
      </w:r>
      <w:proofErr w:type="spellEnd"/>
      <w:r w:rsidRPr="009A6300">
        <w:rPr>
          <w:lang w:eastAsia="en-GB"/>
        </w:rPr>
        <w:t xml:space="preserve">, F. </w:t>
      </w:r>
      <w:r>
        <w:rPr>
          <w:lang w:eastAsia="en-GB"/>
        </w:rPr>
        <w:t>and</w:t>
      </w:r>
      <w:r w:rsidRPr="009A6300">
        <w:rPr>
          <w:lang w:eastAsia="en-GB"/>
        </w:rPr>
        <w:t xml:space="preserve"> </w:t>
      </w:r>
      <w:proofErr w:type="spellStart"/>
      <w:r>
        <w:rPr>
          <w:lang w:eastAsia="en-GB"/>
        </w:rPr>
        <w:t>Schostak</w:t>
      </w:r>
      <w:proofErr w:type="spellEnd"/>
      <w:r>
        <w:rPr>
          <w:lang w:eastAsia="en-GB"/>
        </w:rPr>
        <w:t>, J. (Eds.) (2019).</w:t>
      </w:r>
      <w:proofErr w:type="gramEnd"/>
      <w:r>
        <w:rPr>
          <w:lang w:eastAsia="en-GB"/>
        </w:rPr>
        <w:t xml:space="preserve"> </w:t>
      </w:r>
      <w:r w:rsidRPr="009A6300">
        <w:rPr>
          <w:lang w:eastAsia="en-GB"/>
        </w:rPr>
        <w:t>Access to Justice in Family Matters: A Review o</w:t>
      </w:r>
      <w:r>
        <w:rPr>
          <w:lang w:eastAsia="en-GB"/>
        </w:rPr>
        <w:t>f the UK Family Justice System.</w:t>
      </w:r>
      <w:r w:rsidRPr="009A6300">
        <w:rPr>
          <w:lang w:eastAsia="en-GB"/>
        </w:rPr>
        <w:t xml:space="preserve"> </w:t>
      </w:r>
      <w:proofErr w:type="gramStart"/>
      <w:r w:rsidRPr="009A6300">
        <w:rPr>
          <w:lang w:eastAsia="en-GB"/>
        </w:rPr>
        <w:t>Hart Publishing.</w:t>
      </w:r>
      <w:proofErr w:type="gramEnd"/>
    </w:p>
    <w:p w:rsidR="00305DC4" w:rsidRPr="00413383" w:rsidRDefault="00305DC4" w:rsidP="00413383">
      <w:proofErr w:type="spellStart"/>
      <w:r w:rsidRPr="00413383">
        <w:t>Odermatt</w:t>
      </w:r>
      <w:proofErr w:type="spellEnd"/>
      <w:r w:rsidRPr="00413383">
        <w:t xml:space="preserve">, J. (2017). </w:t>
      </w:r>
      <w:proofErr w:type="spellStart"/>
      <w:r w:rsidRPr="00413383">
        <w:t>Brexit</w:t>
      </w:r>
      <w:proofErr w:type="spellEnd"/>
      <w:r w:rsidRPr="00413383">
        <w:t xml:space="preserve"> and international law: disentangling legal orders.</w:t>
      </w:r>
    </w:p>
    <w:p w:rsidR="00305DC4" w:rsidRPr="00677FA2" w:rsidRDefault="00305DC4" w:rsidP="00677FA2">
      <w:proofErr w:type="gramStart"/>
      <w:r w:rsidRPr="00677FA2">
        <w:t xml:space="preserve">Rodger, B. J., </w:t>
      </w:r>
      <w:r>
        <w:t>and</w:t>
      </w:r>
      <w:r w:rsidRPr="00677FA2">
        <w:t xml:space="preserve"> </w:t>
      </w:r>
      <w:proofErr w:type="spellStart"/>
      <w:r w:rsidRPr="00677FA2">
        <w:t>MacCulloch</w:t>
      </w:r>
      <w:proofErr w:type="spellEnd"/>
      <w:r w:rsidRPr="00677FA2">
        <w:t>, A. (2008).</w:t>
      </w:r>
      <w:proofErr w:type="gramEnd"/>
      <w:r w:rsidRPr="00677FA2">
        <w:t xml:space="preserve"> </w:t>
      </w:r>
      <w:proofErr w:type="gramStart"/>
      <w:r w:rsidRPr="00677FA2">
        <w:rPr>
          <w:i/>
          <w:iCs/>
        </w:rPr>
        <w:t>Competition Law and Policy in the EC and UK</w:t>
      </w:r>
      <w:r w:rsidRPr="00677FA2">
        <w:t>.</w:t>
      </w:r>
      <w:proofErr w:type="gramEnd"/>
      <w:r w:rsidRPr="00677FA2">
        <w:t xml:space="preserve"> </w:t>
      </w:r>
      <w:proofErr w:type="spellStart"/>
      <w:proofErr w:type="gramStart"/>
      <w:r w:rsidRPr="00677FA2">
        <w:t>Routledge</w:t>
      </w:r>
      <w:proofErr w:type="spellEnd"/>
      <w:r w:rsidRPr="00677FA2">
        <w:t>-Cavendish.</w:t>
      </w:r>
      <w:proofErr w:type="gramEnd"/>
    </w:p>
    <w:p w:rsidR="00305DC4" w:rsidRPr="009A6300" w:rsidRDefault="00305DC4" w:rsidP="009A7AA9">
      <w:pPr>
        <w:rPr>
          <w:lang w:eastAsia="en-GB"/>
        </w:rPr>
      </w:pPr>
      <w:proofErr w:type="gramStart"/>
      <w:r w:rsidRPr="009A6300">
        <w:rPr>
          <w:lang w:eastAsia="en-GB"/>
        </w:rPr>
        <w:t xml:space="preserve">Thomas, R. </w:t>
      </w:r>
      <w:r>
        <w:rPr>
          <w:lang w:eastAsia="en-GB"/>
        </w:rPr>
        <w:t>and</w:t>
      </w:r>
      <w:r w:rsidRPr="009A6300">
        <w:rPr>
          <w:lang w:eastAsia="en-GB"/>
        </w:rPr>
        <w:t xml:space="preserve"> </w:t>
      </w:r>
      <w:proofErr w:type="spellStart"/>
      <w:r w:rsidRPr="009A6300">
        <w:rPr>
          <w:lang w:eastAsia="en-GB"/>
        </w:rPr>
        <w:t>Padfield</w:t>
      </w:r>
      <w:proofErr w:type="spellEnd"/>
      <w:r w:rsidRPr="009A6300">
        <w:rPr>
          <w:lang w:eastAsia="en-GB"/>
        </w:rPr>
        <w:t>, N. (2022).</w:t>
      </w:r>
      <w:proofErr w:type="gramEnd"/>
      <w:r w:rsidRPr="009A6300">
        <w:rPr>
          <w:lang w:eastAsia="en-GB"/>
        </w:rPr>
        <w:t xml:space="preserve"> The Criminal Justice System in Engl</w:t>
      </w:r>
      <w:r>
        <w:rPr>
          <w:lang w:eastAsia="en-GB"/>
        </w:rPr>
        <w:t>and and Wales: An Introduction.</w:t>
      </w:r>
      <w:r w:rsidRPr="009A6300">
        <w:rPr>
          <w:lang w:eastAsia="en-GB"/>
        </w:rPr>
        <w:t xml:space="preserve"> </w:t>
      </w:r>
      <w:proofErr w:type="gramStart"/>
      <w:r w:rsidRPr="009A6300">
        <w:rPr>
          <w:lang w:eastAsia="en-GB"/>
        </w:rPr>
        <w:t>Oxford University Press.</w:t>
      </w:r>
      <w:proofErr w:type="gramEnd"/>
    </w:p>
    <w:p w:rsidR="00305DC4" w:rsidRPr="009A6300" w:rsidRDefault="00305DC4" w:rsidP="009A7AA9">
      <w:pPr>
        <w:rPr>
          <w:lang w:eastAsia="en-GB"/>
        </w:rPr>
      </w:pPr>
      <w:r w:rsidRPr="009A6300">
        <w:rPr>
          <w:lang w:eastAsia="en-GB"/>
        </w:rPr>
        <w:t>Woolf, H. (2019). Access to Justice: A Review of the Civ</w:t>
      </w:r>
      <w:r>
        <w:rPr>
          <w:lang w:eastAsia="en-GB"/>
        </w:rPr>
        <w:t>il Courts.</w:t>
      </w:r>
      <w:r w:rsidRPr="009A6300">
        <w:rPr>
          <w:lang w:eastAsia="en-GB"/>
        </w:rPr>
        <w:t xml:space="preserve"> Law Quarterly Review, 135(Oct), pp. 572-596.</w:t>
      </w:r>
    </w:p>
    <w:p w:rsidR="00507381" w:rsidRPr="00CF4986" w:rsidRDefault="00507381" w:rsidP="00CF4986"/>
    <w:p w:rsidR="00D9252A" w:rsidRDefault="00D9252A" w:rsidP="00C84EBB"/>
    <w:p w:rsidR="00EF6050" w:rsidRDefault="00EF6050" w:rsidP="00021446"/>
    <w:p w:rsidR="00FE2EE3" w:rsidRPr="00A35C8E" w:rsidRDefault="00FE2EE3" w:rsidP="00A35C8E"/>
    <w:sectPr w:rsidR="00FE2EE3" w:rsidRPr="00A35C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5D12D8"/>
    <w:multiLevelType w:val="multilevel"/>
    <w:tmpl w:val="2DA0A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143"/>
    <w:rsid w:val="000031E1"/>
    <w:rsid w:val="000062DB"/>
    <w:rsid w:val="0001263C"/>
    <w:rsid w:val="00012F0E"/>
    <w:rsid w:val="00013D53"/>
    <w:rsid w:val="00021446"/>
    <w:rsid w:val="00027731"/>
    <w:rsid w:val="0003525D"/>
    <w:rsid w:val="00066A99"/>
    <w:rsid w:val="00071F5D"/>
    <w:rsid w:val="00073494"/>
    <w:rsid w:val="0007534B"/>
    <w:rsid w:val="000A0A86"/>
    <w:rsid w:val="000E4C6E"/>
    <w:rsid w:val="000F4BD8"/>
    <w:rsid w:val="00136FA1"/>
    <w:rsid w:val="0013788F"/>
    <w:rsid w:val="00140449"/>
    <w:rsid w:val="001932D5"/>
    <w:rsid w:val="001C003A"/>
    <w:rsid w:val="001C27F5"/>
    <w:rsid w:val="001E2654"/>
    <w:rsid w:val="001F13AD"/>
    <w:rsid w:val="0020436D"/>
    <w:rsid w:val="00213652"/>
    <w:rsid w:val="00216DED"/>
    <w:rsid w:val="00222141"/>
    <w:rsid w:val="00246B80"/>
    <w:rsid w:val="00257C04"/>
    <w:rsid w:val="002701B6"/>
    <w:rsid w:val="0028353C"/>
    <w:rsid w:val="002F7371"/>
    <w:rsid w:val="00305DC4"/>
    <w:rsid w:val="0030778C"/>
    <w:rsid w:val="003166E1"/>
    <w:rsid w:val="0031708D"/>
    <w:rsid w:val="00330664"/>
    <w:rsid w:val="003A545A"/>
    <w:rsid w:val="003B23DB"/>
    <w:rsid w:val="003D03FB"/>
    <w:rsid w:val="003E760E"/>
    <w:rsid w:val="004131D3"/>
    <w:rsid w:val="00413383"/>
    <w:rsid w:val="00437918"/>
    <w:rsid w:val="0045641E"/>
    <w:rsid w:val="00467AAF"/>
    <w:rsid w:val="004D44A8"/>
    <w:rsid w:val="004E0890"/>
    <w:rsid w:val="004E5D5D"/>
    <w:rsid w:val="004F3234"/>
    <w:rsid w:val="004F51AF"/>
    <w:rsid w:val="005008D9"/>
    <w:rsid w:val="00507381"/>
    <w:rsid w:val="00526F4A"/>
    <w:rsid w:val="005827B3"/>
    <w:rsid w:val="005A5B15"/>
    <w:rsid w:val="006141D4"/>
    <w:rsid w:val="00615C2D"/>
    <w:rsid w:val="00640489"/>
    <w:rsid w:val="00674C8A"/>
    <w:rsid w:val="00676542"/>
    <w:rsid w:val="00677FA2"/>
    <w:rsid w:val="006C5689"/>
    <w:rsid w:val="00717CFD"/>
    <w:rsid w:val="00724399"/>
    <w:rsid w:val="00731B77"/>
    <w:rsid w:val="00741538"/>
    <w:rsid w:val="0075281F"/>
    <w:rsid w:val="0076107D"/>
    <w:rsid w:val="007660E2"/>
    <w:rsid w:val="007A2DAD"/>
    <w:rsid w:val="007B46DB"/>
    <w:rsid w:val="007C2E62"/>
    <w:rsid w:val="007F4143"/>
    <w:rsid w:val="00824C18"/>
    <w:rsid w:val="00833078"/>
    <w:rsid w:val="0084479E"/>
    <w:rsid w:val="008579DC"/>
    <w:rsid w:val="00870088"/>
    <w:rsid w:val="0087254F"/>
    <w:rsid w:val="00880AA4"/>
    <w:rsid w:val="00894E09"/>
    <w:rsid w:val="008A747A"/>
    <w:rsid w:val="008B4498"/>
    <w:rsid w:val="008B57EE"/>
    <w:rsid w:val="008B609F"/>
    <w:rsid w:val="008C7C6A"/>
    <w:rsid w:val="008D12F5"/>
    <w:rsid w:val="0091084D"/>
    <w:rsid w:val="00922D56"/>
    <w:rsid w:val="009A6300"/>
    <w:rsid w:val="009A7AA9"/>
    <w:rsid w:val="009B28CE"/>
    <w:rsid w:val="009D0EA6"/>
    <w:rsid w:val="009D390B"/>
    <w:rsid w:val="009F68FF"/>
    <w:rsid w:val="00A22254"/>
    <w:rsid w:val="00A35C8E"/>
    <w:rsid w:val="00A6726E"/>
    <w:rsid w:val="00A84FA1"/>
    <w:rsid w:val="00A87BF6"/>
    <w:rsid w:val="00AA3B00"/>
    <w:rsid w:val="00AA74DD"/>
    <w:rsid w:val="00AB6027"/>
    <w:rsid w:val="00AC76C4"/>
    <w:rsid w:val="00AD37BA"/>
    <w:rsid w:val="00AE0738"/>
    <w:rsid w:val="00B05289"/>
    <w:rsid w:val="00B05D48"/>
    <w:rsid w:val="00B05D90"/>
    <w:rsid w:val="00B57732"/>
    <w:rsid w:val="00B6264F"/>
    <w:rsid w:val="00B77609"/>
    <w:rsid w:val="00B85D69"/>
    <w:rsid w:val="00B907DD"/>
    <w:rsid w:val="00B921CD"/>
    <w:rsid w:val="00BC6226"/>
    <w:rsid w:val="00C06D4C"/>
    <w:rsid w:val="00C34993"/>
    <w:rsid w:val="00C62448"/>
    <w:rsid w:val="00C80571"/>
    <w:rsid w:val="00C8145E"/>
    <w:rsid w:val="00C81C1F"/>
    <w:rsid w:val="00C84EBB"/>
    <w:rsid w:val="00C8732C"/>
    <w:rsid w:val="00C97313"/>
    <w:rsid w:val="00CB3C18"/>
    <w:rsid w:val="00CC23D7"/>
    <w:rsid w:val="00CD4164"/>
    <w:rsid w:val="00CD439A"/>
    <w:rsid w:val="00CF4986"/>
    <w:rsid w:val="00D06C2C"/>
    <w:rsid w:val="00D1463A"/>
    <w:rsid w:val="00D26C9B"/>
    <w:rsid w:val="00D26D38"/>
    <w:rsid w:val="00D30D2F"/>
    <w:rsid w:val="00D414C8"/>
    <w:rsid w:val="00D802A3"/>
    <w:rsid w:val="00D92438"/>
    <w:rsid w:val="00D9252A"/>
    <w:rsid w:val="00DA5F8A"/>
    <w:rsid w:val="00DF09CB"/>
    <w:rsid w:val="00DF5C14"/>
    <w:rsid w:val="00E203CF"/>
    <w:rsid w:val="00E429A2"/>
    <w:rsid w:val="00E519E6"/>
    <w:rsid w:val="00E54F34"/>
    <w:rsid w:val="00E718D3"/>
    <w:rsid w:val="00E77A4B"/>
    <w:rsid w:val="00E87400"/>
    <w:rsid w:val="00EA40C8"/>
    <w:rsid w:val="00EB5874"/>
    <w:rsid w:val="00ED1216"/>
    <w:rsid w:val="00EE66BB"/>
    <w:rsid w:val="00EF3894"/>
    <w:rsid w:val="00EF4032"/>
    <w:rsid w:val="00EF6050"/>
    <w:rsid w:val="00F07C1E"/>
    <w:rsid w:val="00F21F0D"/>
    <w:rsid w:val="00F22171"/>
    <w:rsid w:val="00F31830"/>
    <w:rsid w:val="00F4124A"/>
    <w:rsid w:val="00F563F7"/>
    <w:rsid w:val="00F77720"/>
    <w:rsid w:val="00F930B3"/>
    <w:rsid w:val="00FA4C46"/>
    <w:rsid w:val="00FC0F59"/>
    <w:rsid w:val="00FD2FF9"/>
    <w:rsid w:val="00FD45E4"/>
    <w:rsid w:val="00FE2EE3"/>
    <w:rsid w:val="00FF7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D2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077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7C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1216"/>
    <w:pPr>
      <w:spacing w:before="100" w:beforeAutospacing="1" w:after="100" w:afterAutospacing="1" w:line="240" w:lineRule="auto"/>
      <w:jc w:val="left"/>
    </w:pPr>
    <w:rPr>
      <w:rFonts w:eastAsia="Times New Roman" w:cs="Times New Roman"/>
      <w:szCs w:val="24"/>
      <w:lang w:eastAsia="en-GB"/>
    </w:rPr>
  </w:style>
  <w:style w:type="character" w:customStyle="1" w:styleId="Heading1Char">
    <w:name w:val="Heading 1 Char"/>
    <w:basedOn w:val="DefaultParagraphFont"/>
    <w:link w:val="Heading1"/>
    <w:uiPriority w:val="9"/>
    <w:rsid w:val="0030778C"/>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717CFD"/>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257C04"/>
    <w:pPr>
      <w:spacing w:line="259" w:lineRule="auto"/>
      <w:jc w:val="left"/>
      <w:outlineLvl w:val="9"/>
    </w:pPr>
    <w:rPr>
      <w:lang w:val="en-US"/>
    </w:rPr>
  </w:style>
  <w:style w:type="paragraph" w:styleId="TOC1">
    <w:name w:val="toc 1"/>
    <w:basedOn w:val="Normal"/>
    <w:next w:val="Normal"/>
    <w:autoRedefine/>
    <w:uiPriority w:val="39"/>
    <w:unhideWhenUsed/>
    <w:rsid w:val="00257C04"/>
    <w:pPr>
      <w:spacing w:after="100"/>
    </w:pPr>
  </w:style>
  <w:style w:type="character" w:styleId="Hyperlink">
    <w:name w:val="Hyperlink"/>
    <w:basedOn w:val="DefaultParagraphFont"/>
    <w:uiPriority w:val="99"/>
    <w:unhideWhenUsed/>
    <w:rsid w:val="00257C04"/>
    <w:rPr>
      <w:color w:val="0563C1" w:themeColor="hyperlink"/>
      <w:u w:val="single"/>
    </w:rPr>
  </w:style>
  <w:style w:type="paragraph" w:styleId="BalloonText">
    <w:name w:val="Balloon Text"/>
    <w:basedOn w:val="Normal"/>
    <w:link w:val="BalloonTextChar"/>
    <w:uiPriority w:val="99"/>
    <w:semiHidden/>
    <w:unhideWhenUsed/>
    <w:rsid w:val="00D26D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D38"/>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D2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077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7C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1216"/>
    <w:pPr>
      <w:spacing w:before="100" w:beforeAutospacing="1" w:after="100" w:afterAutospacing="1" w:line="240" w:lineRule="auto"/>
      <w:jc w:val="left"/>
    </w:pPr>
    <w:rPr>
      <w:rFonts w:eastAsia="Times New Roman" w:cs="Times New Roman"/>
      <w:szCs w:val="24"/>
      <w:lang w:eastAsia="en-GB"/>
    </w:rPr>
  </w:style>
  <w:style w:type="character" w:customStyle="1" w:styleId="Heading1Char">
    <w:name w:val="Heading 1 Char"/>
    <w:basedOn w:val="DefaultParagraphFont"/>
    <w:link w:val="Heading1"/>
    <w:uiPriority w:val="9"/>
    <w:rsid w:val="0030778C"/>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717CFD"/>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257C04"/>
    <w:pPr>
      <w:spacing w:line="259" w:lineRule="auto"/>
      <w:jc w:val="left"/>
      <w:outlineLvl w:val="9"/>
    </w:pPr>
    <w:rPr>
      <w:lang w:val="en-US"/>
    </w:rPr>
  </w:style>
  <w:style w:type="paragraph" w:styleId="TOC1">
    <w:name w:val="toc 1"/>
    <w:basedOn w:val="Normal"/>
    <w:next w:val="Normal"/>
    <w:autoRedefine/>
    <w:uiPriority w:val="39"/>
    <w:unhideWhenUsed/>
    <w:rsid w:val="00257C04"/>
    <w:pPr>
      <w:spacing w:after="100"/>
    </w:pPr>
  </w:style>
  <w:style w:type="character" w:styleId="Hyperlink">
    <w:name w:val="Hyperlink"/>
    <w:basedOn w:val="DefaultParagraphFont"/>
    <w:uiPriority w:val="99"/>
    <w:unhideWhenUsed/>
    <w:rsid w:val="00257C04"/>
    <w:rPr>
      <w:color w:val="0563C1" w:themeColor="hyperlink"/>
      <w:u w:val="single"/>
    </w:rPr>
  </w:style>
  <w:style w:type="paragraph" w:styleId="BalloonText">
    <w:name w:val="Balloon Text"/>
    <w:basedOn w:val="Normal"/>
    <w:link w:val="BalloonTextChar"/>
    <w:uiPriority w:val="99"/>
    <w:semiHidden/>
    <w:unhideWhenUsed/>
    <w:rsid w:val="00D26D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D3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729768">
      <w:bodyDiv w:val="1"/>
      <w:marLeft w:val="0"/>
      <w:marRight w:val="0"/>
      <w:marTop w:val="0"/>
      <w:marBottom w:val="0"/>
      <w:divBdr>
        <w:top w:val="none" w:sz="0" w:space="0" w:color="auto"/>
        <w:left w:val="none" w:sz="0" w:space="0" w:color="auto"/>
        <w:bottom w:val="none" w:sz="0" w:space="0" w:color="auto"/>
        <w:right w:val="none" w:sz="0" w:space="0" w:color="auto"/>
      </w:divBdr>
      <w:divsChild>
        <w:div w:id="1672289853">
          <w:marLeft w:val="0"/>
          <w:marRight w:val="0"/>
          <w:marTop w:val="0"/>
          <w:marBottom w:val="0"/>
          <w:divBdr>
            <w:top w:val="none" w:sz="0" w:space="0" w:color="auto"/>
            <w:left w:val="none" w:sz="0" w:space="0" w:color="auto"/>
            <w:bottom w:val="none" w:sz="0" w:space="0" w:color="auto"/>
            <w:right w:val="none" w:sz="0" w:space="0" w:color="auto"/>
          </w:divBdr>
        </w:div>
      </w:divsChild>
    </w:div>
    <w:div w:id="538666026">
      <w:bodyDiv w:val="1"/>
      <w:marLeft w:val="0"/>
      <w:marRight w:val="0"/>
      <w:marTop w:val="0"/>
      <w:marBottom w:val="0"/>
      <w:divBdr>
        <w:top w:val="none" w:sz="0" w:space="0" w:color="auto"/>
        <w:left w:val="none" w:sz="0" w:space="0" w:color="auto"/>
        <w:bottom w:val="none" w:sz="0" w:space="0" w:color="auto"/>
        <w:right w:val="none" w:sz="0" w:space="0" w:color="auto"/>
      </w:divBdr>
    </w:div>
    <w:div w:id="621032341">
      <w:bodyDiv w:val="1"/>
      <w:marLeft w:val="0"/>
      <w:marRight w:val="0"/>
      <w:marTop w:val="0"/>
      <w:marBottom w:val="0"/>
      <w:divBdr>
        <w:top w:val="none" w:sz="0" w:space="0" w:color="auto"/>
        <w:left w:val="none" w:sz="0" w:space="0" w:color="auto"/>
        <w:bottom w:val="none" w:sz="0" w:space="0" w:color="auto"/>
        <w:right w:val="none" w:sz="0" w:space="0" w:color="auto"/>
      </w:divBdr>
    </w:div>
    <w:div w:id="672486858">
      <w:bodyDiv w:val="1"/>
      <w:marLeft w:val="0"/>
      <w:marRight w:val="0"/>
      <w:marTop w:val="0"/>
      <w:marBottom w:val="0"/>
      <w:divBdr>
        <w:top w:val="none" w:sz="0" w:space="0" w:color="auto"/>
        <w:left w:val="none" w:sz="0" w:space="0" w:color="auto"/>
        <w:bottom w:val="none" w:sz="0" w:space="0" w:color="auto"/>
        <w:right w:val="none" w:sz="0" w:space="0" w:color="auto"/>
      </w:divBdr>
    </w:div>
    <w:div w:id="704401975">
      <w:bodyDiv w:val="1"/>
      <w:marLeft w:val="0"/>
      <w:marRight w:val="0"/>
      <w:marTop w:val="0"/>
      <w:marBottom w:val="0"/>
      <w:divBdr>
        <w:top w:val="none" w:sz="0" w:space="0" w:color="auto"/>
        <w:left w:val="none" w:sz="0" w:space="0" w:color="auto"/>
        <w:bottom w:val="none" w:sz="0" w:space="0" w:color="auto"/>
        <w:right w:val="none" w:sz="0" w:space="0" w:color="auto"/>
      </w:divBdr>
    </w:div>
    <w:div w:id="727806665">
      <w:bodyDiv w:val="1"/>
      <w:marLeft w:val="0"/>
      <w:marRight w:val="0"/>
      <w:marTop w:val="0"/>
      <w:marBottom w:val="0"/>
      <w:divBdr>
        <w:top w:val="none" w:sz="0" w:space="0" w:color="auto"/>
        <w:left w:val="none" w:sz="0" w:space="0" w:color="auto"/>
        <w:bottom w:val="none" w:sz="0" w:space="0" w:color="auto"/>
        <w:right w:val="none" w:sz="0" w:space="0" w:color="auto"/>
      </w:divBdr>
      <w:divsChild>
        <w:div w:id="441337869">
          <w:marLeft w:val="0"/>
          <w:marRight w:val="0"/>
          <w:marTop w:val="0"/>
          <w:marBottom w:val="0"/>
          <w:divBdr>
            <w:top w:val="none" w:sz="0" w:space="0" w:color="auto"/>
            <w:left w:val="none" w:sz="0" w:space="0" w:color="auto"/>
            <w:bottom w:val="none" w:sz="0" w:space="0" w:color="auto"/>
            <w:right w:val="none" w:sz="0" w:space="0" w:color="auto"/>
          </w:divBdr>
        </w:div>
      </w:divsChild>
    </w:div>
    <w:div w:id="790591969">
      <w:bodyDiv w:val="1"/>
      <w:marLeft w:val="0"/>
      <w:marRight w:val="0"/>
      <w:marTop w:val="0"/>
      <w:marBottom w:val="0"/>
      <w:divBdr>
        <w:top w:val="none" w:sz="0" w:space="0" w:color="auto"/>
        <w:left w:val="none" w:sz="0" w:space="0" w:color="auto"/>
        <w:bottom w:val="none" w:sz="0" w:space="0" w:color="auto"/>
        <w:right w:val="none" w:sz="0" w:space="0" w:color="auto"/>
      </w:divBdr>
      <w:divsChild>
        <w:div w:id="1702705744">
          <w:marLeft w:val="0"/>
          <w:marRight w:val="0"/>
          <w:marTop w:val="0"/>
          <w:marBottom w:val="0"/>
          <w:divBdr>
            <w:top w:val="none" w:sz="0" w:space="0" w:color="auto"/>
            <w:left w:val="none" w:sz="0" w:space="0" w:color="auto"/>
            <w:bottom w:val="none" w:sz="0" w:space="0" w:color="auto"/>
            <w:right w:val="none" w:sz="0" w:space="0" w:color="auto"/>
          </w:divBdr>
        </w:div>
      </w:divsChild>
    </w:div>
    <w:div w:id="1003751140">
      <w:bodyDiv w:val="1"/>
      <w:marLeft w:val="0"/>
      <w:marRight w:val="0"/>
      <w:marTop w:val="0"/>
      <w:marBottom w:val="0"/>
      <w:divBdr>
        <w:top w:val="none" w:sz="0" w:space="0" w:color="auto"/>
        <w:left w:val="none" w:sz="0" w:space="0" w:color="auto"/>
        <w:bottom w:val="none" w:sz="0" w:space="0" w:color="auto"/>
        <w:right w:val="none" w:sz="0" w:space="0" w:color="auto"/>
      </w:divBdr>
      <w:divsChild>
        <w:div w:id="252670982">
          <w:marLeft w:val="0"/>
          <w:marRight w:val="0"/>
          <w:marTop w:val="0"/>
          <w:marBottom w:val="0"/>
          <w:divBdr>
            <w:top w:val="none" w:sz="0" w:space="0" w:color="auto"/>
            <w:left w:val="none" w:sz="0" w:space="0" w:color="auto"/>
            <w:bottom w:val="none" w:sz="0" w:space="0" w:color="auto"/>
            <w:right w:val="none" w:sz="0" w:space="0" w:color="auto"/>
          </w:divBdr>
        </w:div>
      </w:divsChild>
    </w:div>
    <w:div w:id="1025523957">
      <w:bodyDiv w:val="1"/>
      <w:marLeft w:val="0"/>
      <w:marRight w:val="0"/>
      <w:marTop w:val="0"/>
      <w:marBottom w:val="0"/>
      <w:divBdr>
        <w:top w:val="none" w:sz="0" w:space="0" w:color="auto"/>
        <w:left w:val="none" w:sz="0" w:space="0" w:color="auto"/>
        <w:bottom w:val="none" w:sz="0" w:space="0" w:color="auto"/>
        <w:right w:val="none" w:sz="0" w:space="0" w:color="auto"/>
      </w:divBdr>
      <w:divsChild>
        <w:div w:id="450785623">
          <w:marLeft w:val="0"/>
          <w:marRight w:val="0"/>
          <w:marTop w:val="0"/>
          <w:marBottom w:val="0"/>
          <w:divBdr>
            <w:top w:val="none" w:sz="0" w:space="0" w:color="auto"/>
            <w:left w:val="none" w:sz="0" w:space="0" w:color="auto"/>
            <w:bottom w:val="none" w:sz="0" w:space="0" w:color="auto"/>
            <w:right w:val="none" w:sz="0" w:space="0" w:color="auto"/>
          </w:divBdr>
        </w:div>
      </w:divsChild>
    </w:div>
    <w:div w:id="1322007660">
      <w:bodyDiv w:val="1"/>
      <w:marLeft w:val="0"/>
      <w:marRight w:val="0"/>
      <w:marTop w:val="0"/>
      <w:marBottom w:val="0"/>
      <w:divBdr>
        <w:top w:val="none" w:sz="0" w:space="0" w:color="auto"/>
        <w:left w:val="none" w:sz="0" w:space="0" w:color="auto"/>
        <w:bottom w:val="none" w:sz="0" w:space="0" w:color="auto"/>
        <w:right w:val="none" w:sz="0" w:space="0" w:color="auto"/>
      </w:divBdr>
    </w:div>
    <w:div w:id="1451440497">
      <w:bodyDiv w:val="1"/>
      <w:marLeft w:val="0"/>
      <w:marRight w:val="0"/>
      <w:marTop w:val="0"/>
      <w:marBottom w:val="0"/>
      <w:divBdr>
        <w:top w:val="none" w:sz="0" w:space="0" w:color="auto"/>
        <w:left w:val="none" w:sz="0" w:space="0" w:color="auto"/>
        <w:bottom w:val="none" w:sz="0" w:space="0" w:color="auto"/>
        <w:right w:val="none" w:sz="0" w:space="0" w:color="auto"/>
      </w:divBdr>
      <w:divsChild>
        <w:div w:id="1574699037">
          <w:marLeft w:val="0"/>
          <w:marRight w:val="0"/>
          <w:marTop w:val="0"/>
          <w:marBottom w:val="0"/>
          <w:divBdr>
            <w:top w:val="none" w:sz="0" w:space="0" w:color="auto"/>
            <w:left w:val="none" w:sz="0" w:space="0" w:color="auto"/>
            <w:bottom w:val="none" w:sz="0" w:space="0" w:color="auto"/>
            <w:right w:val="none" w:sz="0" w:space="0" w:color="auto"/>
          </w:divBdr>
          <w:divsChild>
            <w:div w:id="1876308561">
              <w:marLeft w:val="0"/>
              <w:marRight w:val="0"/>
              <w:marTop w:val="0"/>
              <w:marBottom w:val="0"/>
              <w:divBdr>
                <w:top w:val="none" w:sz="0" w:space="0" w:color="auto"/>
                <w:left w:val="none" w:sz="0" w:space="0" w:color="auto"/>
                <w:bottom w:val="none" w:sz="0" w:space="0" w:color="auto"/>
                <w:right w:val="none" w:sz="0" w:space="0" w:color="auto"/>
              </w:divBdr>
              <w:divsChild>
                <w:div w:id="114504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605595">
      <w:bodyDiv w:val="1"/>
      <w:marLeft w:val="0"/>
      <w:marRight w:val="0"/>
      <w:marTop w:val="0"/>
      <w:marBottom w:val="0"/>
      <w:divBdr>
        <w:top w:val="none" w:sz="0" w:space="0" w:color="auto"/>
        <w:left w:val="none" w:sz="0" w:space="0" w:color="auto"/>
        <w:bottom w:val="none" w:sz="0" w:space="0" w:color="auto"/>
        <w:right w:val="none" w:sz="0" w:space="0" w:color="auto"/>
      </w:divBdr>
    </w:div>
    <w:div w:id="1661234927">
      <w:bodyDiv w:val="1"/>
      <w:marLeft w:val="0"/>
      <w:marRight w:val="0"/>
      <w:marTop w:val="0"/>
      <w:marBottom w:val="0"/>
      <w:divBdr>
        <w:top w:val="none" w:sz="0" w:space="0" w:color="auto"/>
        <w:left w:val="none" w:sz="0" w:space="0" w:color="auto"/>
        <w:bottom w:val="none" w:sz="0" w:space="0" w:color="auto"/>
        <w:right w:val="none" w:sz="0" w:space="0" w:color="auto"/>
      </w:divBdr>
      <w:divsChild>
        <w:div w:id="763309202">
          <w:marLeft w:val="0"/>
          <w:marRight w:val="0"/>
          <w:marTop w:val="0"/>
          <w:marBottom w:val="0"/>
          <w:divBdr>
            <w:top w:val="none" w:sz="0" w:space="0" w:color="auto"/>
            <w:left w:val="none" w:sz="0" w:space="0" w:color="auto"/>
            <w:bottom w:val="none" w:sz="0" w:space="0" w:color="auto"/>
            <w:right w:val="none" w:sz="0" w:space="0" w:color="auto"/>
          </w:divBdr>
          <w:divsChild>
            <w:div w:id="223296821">
              <w:marLeft w:val="0"/>
              <w:marRight w:val="0"/>
              <w:marTop w:val="0"/>
              <w:marBottom w:val="0"/>
              <w:divBdr>
                <w:top w:val="none" w:sz="0" w:space="0" w:color="auto"/>
                <w:left w:val="none" w:sz="0" w:space="0" w:color="auto"/>
                <w:bottom w:val="none" w:sz="0" w:space="0" w:color="auto"/>
                <w:right w:val="none" w:sz="0" w:space="0" w:color="auto"/>
              </w:divBdr>
              <w:divsChild>
                <w:div w:id="67404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283254">
      <w:bodyDiv w:val="1"/>
      <w:marLeft w:val="0"/>
      <w:marRight w:val="0"/>
      <w:marTop w:val="0"/>
      <w:marBottom w:val="0"/>
      <w:divBdr>
        <w:top w:val="none" w:sz="0" w:space="0" w:color="auto"/>
        <w:left w:val="none" w:sz="0" w:space="0" w:color="auto"/>
        <w:bottom w:val="none" w:sz="0" w:space="0" w:color="auto"/>
        <w:right w:val="none" w:sz="0" w:space="0" w:color="auto"/>
      </w:divBdr>
    </w:div>
    <w:div w:id="1898465629">
      <w:bodyDiv w:val="1"/>
      <w:marLeft w:val="0"/>
      <w:marRight w:val="0"/>
      <w:marTop w:val="0"/>
      <w:marBottom w:val="0"/>
      <w:divBdr>
        <w:top w:val="none" w:sz="0" w:space="0" w:color="auto"/>
        <w:left w:val="none" w:sz="0" w:space="0" w:color="auto"/>
        <w:bottom w:val="none" w:sz="0" w:space="0" w:color="auto"/>
        <w:right w:val="none" w:sz="0" w:space="0" w:color="auto"/>
      </w:divBdr>
    </w:div>
    <w:div w:id="1979996893">
      <w:bodyDiv w:val="1"/>
      <w:marLeft w:val="0"/>
      <w:marRight w:val="0"/>
      <w:marTop w:val="0"/>
      <w:marBottom w:val="0"/>
      <w:divBdr>
        <w:top w:val="none" w:sz="0" w:space="0" w:color="auto"/>
        <w:left w:val="none" w:sz="0" w:space="0" w:color="auto"/>
        <w:bottom w:val="none" w:sz="0" w:space="0" w:color="auto"/>
        <w:right w:val="none" w:sz="0" w:space="0" w:color="auto"/>
      </w:divBdr>
      <w:divsChild>
        <w:div w:id="482815773">
          <w:marLeft w:val="0"/>
          <w:marRight w:val="0"/>
          <w:marTop w:val="0"/>
          <w:marBottom w:val="0"/>
          <w:divBdr>
            <w:top w:val="none" w:sz="0" w:space="0" w:color="auto"/>
            <w:left w:val="none" w:sz="0" w:space="0" w:color="auto"/>
            <w:bottom w:val="none" w:sz="0" w:space="0" w:color="auto"/>
            <w:right w:val="none" w:sz="0" w:space="0" w:color="auto"/>
          </w:divBdr>
          <w:divsChild>
            <w:div w:id="499783545">
              <w:marLeft w:val="0"/>
              <w:marRight w:val="0"/>
              <w:marTop w:val="0"/>
              <w:marBottom w:val="0"/>
              <w:divBdr>
                <w:top w:val="none" w:sz="0" w:space="0" w:color="auto"/>
                <w:left w:val="none" w:sz="0" w:space="0" w:color="auto"/>
                <w:bottom w:val="none" w:sz="0" w:space="0" w:color="auto"/>
                <w:right w:val="none" w:sz="0" w:space="0" w:color="auto"/>
              </w:divBdr>
              <w:divsChild>
                <w:div w:id="101804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94E5E-AD8C-460E-A5AA-575987F90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Pages>
  <Words>1552</Words>
  <Characters>8851</Characters>
  <Application>Microsoft Office Word</Application>
  <DocSecurity>0</DocSecurity>
  <Lines>73</Lines>
  <Paragraphs>20</Paragraphs>
  <ScaleCrop>false</ScaleCrop>
  <Company/>
  <LinksUpToDate>false</LinksUpToDate>
  <CharactersWithSpaces>10383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dc:creator>
  <cp:keywords/>
  <dc:description/>
  <cp:lastModifiedBy>User</cp:lastModifiedBy>
  <cp:revision>364</cp:revision>
  <dcterms:created xsi:type="dcterms:W3CDTF">2024-05-03T08:06:00Z</dcterms:created>
  <dcterms:modified xsi:type="dcterms:W3CDTF">2024-05-03T09:26:00Z</dcterms:modified>
</cp:coreProperties>
</file>