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380B34" w14:textId="77777777" w:rsidR="00123AA4" w:rsidRDefault="00123AA4">
      <w:pPr>
        <w:spacing w:line="480" w:lineRule="auto"/>
        <w:jc w:val="center"/>
        <w:rPr>
          <w:rFonts w:ascii="Times New Roman" w:eastAsia="Times New Roman" w:hAnsi="Times New Roman" w:cs="Times New Roman"/>
          <w:b/>
          <w:sz w:val="24"/>
          <w:szCs w:val="24"/>
        </w:rPr>
      </w:pPr>
    </w:p>
    <w:p w14:paraId="1C380B35" w14:textId="77777777" w:rsidR="00123AA4" w:rsidRDefault="00123AA4">
      <w:pPr>
        <w:spacing w:line="480" w:lineRule="auto"/>
        <w:jc w:val="center"/>
        <w:rPr>
          <w:rFonts w:ascii="Times New Roman" w:eastAsia="Times New Roman" w:hAnsi="Times New Roman" w:cs="Times New Roman"/>
          <w:b/>
          <w:sz w:val="24"/>
          <w:szCs w:val="24"/>
        </w:rPr>
      </w:pPr>
    </w:p>
    <w:p w14:paraId="1C380B36" w14:textId="77777777" w:rsidR="00123AA4" w:rsidRDefault="00123AA4">
      <w:pPr>
        <w:spacing w:line="480" w:lineRule="auto"/>
        <w:jc w:val="center"/>
        <w:rPr>
          <w:rFonts w:ascii="Times New Roman" w:eastAsia="Times New Roman" w:hAnsi="Times New Roman" w:cs="Times New Roman"/>
          <w:b/>
          <w:sz w:val="24"/>
          <w:szCs w:val="24"/>
        </w:rPr>
      </w:pPr>
    </w:p>
    <w:p w14:paraId="1C380B37" w14:textId="77777777" w:rsidR="00123AA4" w:rsidRDefault="00940411">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Critical Report</w:t>
      </w:r>
    </w:p>
    <w:p w14:paraId="1C380B38" w14:textId="3CB4D618" w:rsidR="00123AA4" w:rsidRDefault="00940411">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By </w:t>
      </w:r>
      <w:proofErr w:type="spellStart"/>
      <w:r>
        <w:rPr>
          <w:rFonts w:ascii="Times New Roman" w:eastAsia="Times New Roman" w:hAnsi="Times New Roman" w:cs="Times New Roman"/>
          <w:b/>
          <w:sz w:val="24"/>
          <w:szCs w:val="24"/>
        </w:rPr>
        <w:t>Vasile</w:t>
      </w:r>
      <w:proofErr w:type="spellEnd"/>
      <w:r>
        <w:rPr>
          <w:rFonts w:ascii="Times New Roman" w:eastAsia="Times New Roman" w:hAnsi="Times New Roman" w:cs="Times New Roman"/>
          <w:b/>
          <w:sz w:val="24"/>
          <w:szCs w:val="24"/>
        </w:rPr>
        <w:t xml:space="preserve"> Ion</w:t>
      </w:r>
    </w:p>
    <w:p w14:paraId="1C380B39" w14:textId="77777777" w:rsidR="00123AA4" w:rsidRDefault="00123AA4">
      <w:pPr>
        <w:spacing w:line="480" w:lineRule="auto"/>
        <w:jc w:val="center"/>
        <w:rPr>
          <w:rFonts w:ascii="Times New Roman" w:eastAsia="Times New Roman" w:hAnsi="Times New Roman" w:cs="Times New Roman"/>
          <w:b/>
          <w:sz w:val="24"/>
          <w:szCs w:val="24"/>
        </w:rPr>
      </w:pPr>
    </w:p>
    <w:p w14:paraId="1C380B3A" w14:textId="77777777" w:rsidR="00123AA4" w:rsidRDefault="00123AA4">
      <w:pPr>
        <w:spacing w:line="480" w:lineRule="auto"/>
        <w:jc w:val="center"/>
        <w:rPr>
          <w:rFonts w:ascii="Times New Roman" w:eastAsia="Times New Roman" w:hAnsi="Times New Roman" w:cs="Times New Roman"/>
          <w:b/>
          <w:sz w:val="24"/>
          <w:szCs w:val="24"/>
        </w:rPr>
      </w:pPr>
    </w:p>
    <w:p w14:paraId="1C380B3F" w14:textId="77777777" w:rsidR="00123AA4" w:rsidRDefault="00123AA4">
      <w:pPr>
        <w:spacing w:line="480" w:lineRule="auto"/>
        <w:jc w:val="center"/>
        <w:rPr>
          <w:rFonts w:ascii="Times New Roman" w:eastAsia="Times New Roman" w:hAnsi="Times New Roman" w:cs="Times New Roman"/>
          <w:b/>
          <w:sz w:val="24"/>
          <w:szCs w:val="24"/>
        </w:rPr>
      </w:pPr>
    </w:p>
    <w:p w14:paraId="1C380B40" w14:textId="77777777" w:rsidR="00123AA4" w:rsidRDefault="00123AA4">
      <w:pPr>
        <w:spacing w:line="480" w:lineRule="auto"/>
        <w:jc w:val="center"/>
        <w:rPr>
          <w:rFonts w:ascii="Times New Roman" w:eastAsia="Times New Roman" w:hAnsi="Times New Roman" w:cs="Times New Roman"/>
          <w:b/>
          <w:sz w:val="24"/>
          <w:szCs w:val="24"/>
        </w:rPr>
      </w:pPr>
    </w:p>
    <w:p w14:paraId="1C380B41" w14:textId="77777777" w:rsidR="00123AA4" w:rsidRDefault="00123AA4">
      <w:pPr>
        <w:spacing w:line="480" w:lineRule="auto"/>
        <w:jc w:val="center"/>
        <w:rPr>
          <w:rFonts w:ascii="Times New Roman" w:eastAsia="Times New Roman" w:hAnsi="Times New Roman" w:cs="Times New Roman"/>
          <w:b/>
          <w:sz w:val="24"/>
          <w:szCs w:val="24"/>
        </w:rPr>
      </w:pPr>
    </w:p>
    <w:p w14:paraId="1C380B42" w14:textId="77777777" w:rsidR="00123AA4" w:rsidRDefault="00123AA4">
      <w:pPr>
        <w:spacing w:line="480" w:lineRule="auto"/>
        <w:jc w:val="center"/>
        <w:rPr>
          <w:rFonts w:ascii="Times New Roman" w:eastAsia="Times New Roman" w:hAnsi="Times New Roman" w:cs="Times New Roman"/>
          <w:b/>
          <w:sz w:val="24"/>
          <w:szCs w:val="24"/>
        </w:rPr>
      </w:pPr>
    </w:p>
    <w:p w14:paraId="1C380B43" w14:textId="77777777" w:rsidR="00123AA4" w:rsidRDefault="00123AA4">
      <w:pPr>
        <w:spacing w:line="480" w:lineRule="auto"/>
        <w:jc w:val="center"/>
        <w:rPr>
          <w:rFonts w:ascii="Times New Roman" w:eastAsia="Times New Roman" w:hAnsi="Times New Roman" w:cs="Times New Roman"/>
          <w:b/>
          <w:sz w:val="24"/>
          <w:szCs w:val="24"/>
        </w:rPr>
      </w:pPr>
    </w:p>
    <w:p w14:paraId="1C380B44" w14:textId="77777777" w:rsidR="00123AA4" w:rsidRDefault="00123AA4">
      <w:pPr>
        <w:spacing w:line="480" w:lineRule="auto"/>
        <w:jc w:val="center"/>
        <w:rPr>
          <w:rFonts w:ascii="Times New Roman" w:eastAsia="Times New Roman" w:hAnsi="Times New Roman" w:cs="Times New Roman"/>
          <w:b/>
          <w:sz w:val="24"/>
          <w:szCs w:val="24"/>
        </w:rPr>
      </w:pPr>
    </w:p>
    <w:p w14:paraId="3F69863A" w14:textId="77777777" w:rsidR="00940411" w:rsidRDefault="00940411">
      <w:pPr>
        <w:spacing w:line="480" w:lineRule="auto"/>
        <w:rPr>
          <w:rFonts w:ascii="Times New Roman" w:eastAsia="Times New Roman" w:hAnsi="Times New Roman" w:cs="Times New Roman"/>
          <w:sz w:val="24"/>
          <w:szCs w:val="24"/>
        </w:rPr>
      </w:pPr>
      <w:bookmarkStart w:id="0" w:name="_gjdgxs" w:colFirst="0" w:colLast="0"/>
      <w:bookmarkEnd w:id="0"/>
    </w:p>
    <w:p w14:paraId="4D86D400" w14:textId="77777777" w:rsidR="00940411" w:rsidRDefault="00940411">
      <w:pPr>
        <w:spacing w:line="480" w:lineRule="auto"/>
        <w:rPr>
          <w:rFonts w:ascii="Times New Roman" w:eastAsia="Times New Roman" w:hAnsi="Times New Roman" w:cs="Times New Roman"/>
          <w:sz w:val="24"/>
          <w:szCs w:val="24"/>
        </w:rPr>
      </w:pPr>
    </w:p>
    <w:p w14:paraId="6E319E78" w14:textId="77777777" w:rsidR="00940411" w:rsidRDefault="00940411">
      <w:pPr>
        <w:spacing w:line="480" w:lineRule="auto"/>
        <w:rPr>
          <w:rFonts w:ascii="Times New Roman" w:eastAsia="Times New Roman" w:hAnsi="Times New Roman" w:cs="Times New Roman"/>
          <w:sz w:val="24"/>
          <w:szCs w:val="24"/>
        </w:rPr>
      </w:pPr>
    </w:p>
    <w:p w14:paraId="17FEB8C9" w14:textId="77777777" w:rsidR="00940411" w:rsidRDefault="00940411">
      <w:pPr>
        <w:spacing w:line="480" w:lineRule="auto"/>
        <w:rPr>
          <w:rFonts w:ascii="Times New Roman" w:eastAsia="Times New Roman" w:hAnsi="Times New Roman" w:cs="Times New Roman"/>
          <w:sz w:val="24"/>
          <w:szCs w:val="24"/>
        </w:rPr>
      </w:pPr>
    </w:p>
    <w:p w14:paraId="1C380B45" w14:textId="2203C0E7" w:rsidR="00123AA4" w:rsidRDefault="00940411">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Reflective practice is a much-used concept in teaching, and there exists a plethora of literature on reflective teaching—this form of teaching benefits both the teachers and the students.  In the context of students, reflective practices involve analyzing </w:t>
      </w:r>
      <w:r>
        <w:rPr>
          <w:rFonts w:ascii="Times New Roman" w:eastAsia="Times New Roman" w:hAnsi="Times New Roman" w:cs="Times New Roman"/>
          <w:sz w:val="24"/>
          <w:szCs w:val="24"/>
        </w:rPr>
        <w:t xml:space="preserve">and optimizing learning acquisition to enhance knowledge assimilation, while developing an increased level of understanding of the classes, lessons, and topic taught (Habib Hadiya, 2017). Reflective practice entails a student's ability to reflect on their </w:t>
      </w:r>
      <w:r>
        <w:rPr>
          <w:rFonts w:ascii="Times New Roman" w:eastAsia="Times New Roman" w:hAnsi="Times New Roman" w:cs="Times New Roman"/>
          <w:sz w:val="24"/>
          <w:szCs w:val="24"/>
        </w:rPr>
        <w:t>actions in relation to their theoretical (Coursework) in order to engage in a process of continuous learning. Therefore, reflection studying provides a form of mental processing that students use in order to fulfill the purpose of achieving some anticipate</w:t>
      </w:r>
      <w:r>
        <w:rPr>
          <w:rFonts w:ascii="Times New Roman" w:eastAsia="Times New Roman" w:hAnsi="Times New Roman" w:cs="Times New Roman"/>
          <w:sz w:val="24"/>
          <w:szCs w:val="24"/>
        </w:rPr>
        <w:t xml:space="preserve">d outcome. The benefits for reflective learning include the </w:t>
      </w:r>
      <w:proofErr w:type="gramStart"/>
      <w:r>
        <w:rPr>
          <w:rFonts w:ascii="Times New Roman" w:eastAsia="Times New Roman" w:hAnsi="Times New Roman" w:cs="Times New Roman"/>
          <w:sz w:val="24"/>
          <w:szCs w:val="24"/>
        </w:rPr>
        <w:t>following;</w:t>
      </w:r>
      <w:proofErr w:type="gramEnd"/>
      <w:r>
        <w:rPr>
          <w:rFonts w:ascii="Times New Roman" w:eastAsia="Times New Roman" w:hAnsi="Times New Roman" w:cs="Times New Roman"/>
          <w:sz w:val="24"/>
          <w:szCs w:val="24"/>
        </w:rPr>
        <w:t xml:space="preserve"> it improves the students’ performance: Reflective practice involves individual students reflecting on a particular class, lesson, or topic. Through this, the student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identify</w:t>
      </w:r>
      <w:r>
        <w:rPr>
          <w:rFonts w:ascii="Times New Roman" w:eastAsia="Times New Roman" w:hAnsi="Times New Roman" w:cs="Times New Roman"/>
          <w:sz w:val="24"/>
          <w:szCs w:val="24"/>
        </w:rPr>
        <w:t xml:space="preserve"> and improve on their weaknesses which ameliorate their overall performance. Derek </w:t>
      </w:r>
      <w:proofErr w:type="spellStart"/>
      <w:r>
        <w:rPr>
          <w:rFonts w:ascii="Times New Roman" w:eastAsia="Times New Roman" w:hAnsi="Times New Roman" w:cs="Times New Roman"/>
          <w:sz w:val="24"/>
          <w:szCs w:val="24"/>
        </w:rPr>
        <w:t>Cavilla</w:t>
      </w:r>
      <w:proofErr w:type="spellEnd"/>
      <w:r>
        <w:rPr>
          <w:rFonts w:ascii="Times New Roman" w:eastAsia="Times New Roman" w:hAnsi="Times New Roman" w:cs="Times New Roman"/>
          <w:sz w:val="24"/>
          <w:szCs w:val="24"/>
        </w:rPr>
        <w:t xml:space="preserve"> (2017) states that students who use reflective practices develop metacognitive skills which are essential transversal life skills: another benefit is that the studen</w:t>
      </w:r>
      <w:r>
        <w:rPr>
          <w:rFonts w:ascii="Times New Roman" w:eastAsia="Times New Roman" w:hAnsi="Times New Roman" w:cs="Times New Roman"/>
          <w:sz w:val="24"/>
          <w:szCs w:val="24"/>
        </w:rPr>
        <w:t>ts develop critical thinking and coping skills which help the student greatly in their ability to focus and understand their studies. Through reflective practices, a student improves their problem-solving skills and challenges. For instance, students shoul</w:t>
      </w:r>
      <w:r>
        <w:rPr>
          <w:rFonts w:ascii="Times New Roman" w:eastAsia="Times New Roman" w:hAnsi="Times New Roman" w:cs="Times New Roman"/>
          <w:sz w:val="24"/>
          <w:szCs w:val="24"/>
        </w:rPr>
        <w:t xml:space="preserve">d formulate and document the problem when confronted with problems or questions related to coursework and then look for innovative solutions, such as asking a classmate or friend for support or advice. And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through reflection, the student is able </w:t>
      </w:r>
      <w:r>
        <w:rPr>
          <w:rFonts w:ascii="Times New Roman" w:eastAsia="Times New Roman" w:hAnsi="Times New Roman" w:cs="Times New Roman"/>
          <w:sz w:val="24"/>
          <w:szCs w:val="24"/>
        </w:rPr>
        <w:t>to gain a deeper understanding of concepts as the reflective practices stimulate the ability to remember difficult topics and formulate solutions during moments of crisis (</w:t>
      </w:r>
      <w:proofErr w:type="spellStart"/>
      <w:r>
        <w:rPr>
          <w:rFonts w:ascii="Times New Roman" w:eastAsia="Times New Roman" w:hAnsi="Times New Roman" w:cs="Times New Roman"/>
          <w:sz w:val="24"/>
          <w:szCs w:val="24"/>
        </w:rPr>
        <w:t>Vezzosi</w:t>
      </w:r>
      <w:proofErr w:type="spellEnd"/>
      <w:r>
        <w:rPr>
          <w:rFonts w:ascii="Times New Roman" w:eastAsia="Times New Roman" w:hAnsi="Times New Roman" w:cs="Times New Roman"/>
          <w:sz w:val="24"/>
          <w:szCs w:val="24"/>
        </w:rPr>
        <w:t>, 2006). Reflective Practice enhances motivation: Motivation is a key motor i</w:t>
      </w:r>
      <w:r>
        <w:rPr>
          <w:rFonts w:ascii="Times New Roman" w:eastAsia="Times New Roman" w:hAnsi="Times New Roman" w:cs="Times New Roman"/>
          <w:sz w:val="24"/>
          <w:szCs w:val="24"/>
        </w:rPr>
        <w:t xml:space="preserve">n every classroom. Students who lack motivation mainly exhibit poor performances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encounter problems with learning </w:t>
      </w:r>
      <w:r>
        <w:rPr>
          <w:rFonts w:ascii="Times New Roman" w:eastAsia="Times New Roman" w:hAnsi="Times New Roman" w:cs="Times New Roman"/>
          <w:sz w:val="24"/>
          <w:szCs w:val="24"/>
        </w:rPr>
        <w:lastRenderedPageBreak/>
        <w:t>acquisitions. Studies indicate that reflective studies directly impact the motivation and performance levels (Robinson, &amp; Rousseau, 2</w:t>
      </w:r>
      <w:r>
        <w:rPr>
          <w:rFonts w:ascii="Times New Roman" w:eastAsia="Times New Roman" w:hAnsi="Times New Roman" w:cs="Times New Roman"/>
          <w:sz w:val="24"/>
          <w:szCs w:val="24"/>
        </w:rPr>
        <w:t>018) By using reflective learning techniques, the teachers are able to improve their relations with the students: by motivating them to pursue an analytical approach to learning, they in turn inspire their students to take control of the situation. Student</w:t>
      </w:r>
      <w:r>
        <w:rPr>
          <w:rFonts w:ascii="Times New Roman" w:eastAsia="Times New Roman" w:hAnsi="Times New Roman" w:cs="Times New Roman"/>
          <w:sz w:val="24"/>
          <w:szCs w:val="24"/>
        </w:rPr>
        <w:t>s in the meanwhile can better understand themselves, from their attitudes, to their boundaries and behavior patterns, by objectively thinking about their learning process. Reflective practice can also boost a student’s engagement in class: Both teachers an</w:t>
      </w:r>
      <w:r>
        <w:rPr>
          <w:rFonts w:ascii="Times New Roman" w:eastAsia="Times New Roman" w:hAnsi="Times New Roman" w:cs="Times New Roman"/>
          <w:sz w:val="24"/>
          <w:szCs w:val="24"/>
        </w:rPr>
        <w:t>d students detest dull classes and this can be improved through reflective practice in the following manner: The students become the teacher since they are given the floor to demonstrate what was taught to them. This turn of events surprises the students m</w:t>
      </w:r>
      <w:r>
        <w:rPr>
          <w:rFonts w:ascii="Times New Roman" w:eastAsia="Times New Roman" w:hAnsi="Times New Roman" w:cs="Times New Roman"/>
          <w:sz w:val="24"/>
          <w:szCs w:val="24"/>
        </w:rPr>
        <w:t xml:space="preserve">aking the lesson to being more exciting and interactive. Active learning does not only entail the assimilation of experience and practical </w:t>
      </w:r>
      <w:proofErr w:type="gramStart"/>
      <w:r>
        <w:rPr>
          <w:rFonts w:ascii="Times New Roman" w:eastAsia="Times New Roman" w:hAnsi="Times New Roman" w:cs="Times New Roman"/>
          <w:sz w:val="24"/>
          <w:szCs w:val="24"/>
        </w:rPr>
        <w:t>theory, but</w:t>
      </w:r>
      <w:proofErr w:type="gramEnd"/>
      <w:r>
        <w:rPr>
          <w:rFonts w:ascii="Times New Roman" w:eastAsia="Times New Roman" w:hAnsi="Times New Roman" w:cs="Times New Roman"/>
          <w:sz w:val="24"/>
          <w:szCs w:val="24"/>
        </w:rPr>
        <w:t xml:space="preserve"> is it also about taking on one’s responsibility actively in the learning process. Knowledge is </w:t>
      </w:r>
      <w:proofErr w:type="gramStart"/>
      <w:r>
        <w:rPr>
          <w:rFonts w:ascii="Times New Roman" w:eastAsia="Times New Roman" w:hAnsi="Times New Roman" w:cs="Times New Roman"/>
          <w:sz w:val="24"/>
          <w:szCs w:val="24"/>
        </w:rPr>
        <w:t>power,</w:t>
      </w:r>
      <w:proofErr w:type="gramEnd"/>
      <w:r>
        <w:rPr>
          <w:rFonts w:ascii="Times New Roman" w:eastAsia="Times New Roman" w:hAnsi="Times New Roman" w:cs="Times New Roman"/>
          <w:sz w:val="24"/>
          <w:szCs w:val="24"/>
        </w:rPr>
        <w:t xml:space="preserve"> how</w:t>
      </w:r>
      <w:r>
        <w:rPr>
          <w:rFonts w:ascii="Times New Roman" w:eastAsia="Times New Roman" w:hAnsi="Times New Roman" w:cs="Times New Roman"/>
          <w:sz w:val="24"/>
          <w:szCs w:val="24"/>
        </w:rPr>
        <w:t xml:space="preserve">ever, it is even more powerful to share this knowledge with others and reflective practice provides this platform. </w:t>
      </w:r>
      <w:r>
        <w:rPr>
          <w:rFonts w:ascii="Times New Roman" w:eastAsia="Times New Roman" w:hAnsi="Times New Roman" w:cs="Times New Roman"/>
          <w:sz w:val="24"/>
          <w:szCs w:val="24"/>
        </w:rPr>
        <w:br/>
        <w:t>Reflective practice theories are quite complex and therefore there are many different models that explain the core concept of thinking, each</w:t>
      </w:r>
      <w:r>
        <w:rPr>
          <w:rFonts w:ascii="Times New Roman" w:eastAsia="Times New Roman" w:hAnsi="Times New Roman" w:cs="Times New Roman"/>
          <w:sz w:val="24"/>
          <w:szCs w:val="24"/>
        </w:rPr>
        <w:t xml:space="preserve"> in its own manner. Example of the models of reflection </w:t>
      </w:r>
      <w:proofErr w:type="gramStart"/>
      <w:r>
        <w:rPr>
          <w:rFonts w:ascii="Times New Roman" w:eastAsia="Times New Roman" w:hAnsi="Times New Roman" w:cs="Times New Roman"/>
          <w:sz w:val="24"/>
          <w:szCs w:val="24"/>
        </w:rPr>
        <w:t>includes;</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Boud’s</w:t>
      </w:r>
      <w:proofErr w:type="spellEnd"/>
      <w:r>
        <w:rPr>
          <w:rFonts w:ascii="Times New Roman" w:eastAsia="Times New Roman" w:hAnsi="Times New Roman" w:cs="Times New Roman"/>
          <w:sz w:val="24"/>
          <w:szCs w:val="24"/>
        </w:rPr>
        <w:t xml:space="preserve"> triangular representation, Gibbs reflective cycle, Atkins and Murphy model (</w:t>
      </w:r>
      <w:proofErr w:type="spellStart"/>
      <w:r>
        <w:rPr>
          <w:rFonts w:ascii="Times New Roman" w:eastAsia="Times New Roman" w:hAnsi="Times New Roman" w:cs="Times New Roman"/>
          <w:sz w:val="24"/>
          <w:szCs w:val="24"/>
        </w:rPr>
        <w:t>OpenLearn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Boud’s</w:t>
      </w:r>
      <w:proofErr w:type="spellEnd"/>
      <w:r>
        <w:rPr>
          <w:rFonts w:ascii="Times New Roman" w:eastAsia="Times New Roman" w:hAnsi="Times New Roman" w:cs="Times New Roman"/>
          <w:sz w:val="24"/>
          <w:szCs w:val="24"/>
        </w:rPr>
        <w:t xml:space="preserve"> triangular representation is viewed as the simplest model of reflection and involve</w:t>
      </w:r>
      <w:r>
        <w:rPr>
          <w:rFonts w:ascii="Times New Roman" w:eastAsia="Times New Roman" w:hAnsi="Times New Roman" w:cs="Times New Roman"/>
          <w:sz w:val="24"/>
          <w:szCs w:val="24"/>
        </w:rPr>
        <w:t>s the following variables ‘Experience’’ Learning’ and ‘Reflection’ (</w:t>
      </w:r>
      <w:proofErr w:type="spellStart"/>
      <w:r>
        <w:rPr>
          <w:rFonts w:ascii="Times New Roman" w:eastAsia="Times New Roman" w:hAnsi="Times New Roman" w:cs="Times New Roman"/>
          <w:sz w:val="24"/>
          <w:szCs w:val="24"/>
        </w:rPr>
        <w:t>OpenLearn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This cyclic model describes that the core notion that reflection results in further learning. Even though this model captures the essentials, showcasing how experience and</w:t>
      </w:r>
      <w:r>
        <w:rPr>
          <w:rFonts w:ascii="Times New Roman" w:eastAsia="Times New Roman" w:hAnsi="Times New Roman" w:cs="Times New Roman"/>
          <w:sz w:val="24"/>
          <w:szCs w:val="24"/>
        </w:rPr>
        <w:t xml:space="preserve"> reflection lead to learning, this model does not provide guidelines into what reflection might consist of, or how learning can be translated to experience. Gibbs reflective cycle contains the </w:t>
      </w:r>
      <w:r>
        <w:rPr>
          <w:rFonts w:ascii="Times New Roman" w:eastAsia="Times New Roman" w:hAnsi="Times New Roman" w:cs="Times New Roman"/>
          <w:sz w:val="24"/>
          <w:szCs w:val="24"/>
        </w:rPr>
        <w:lastRenderedPageBreak/>
        <w:t>following variable “Experience’, ‘Feeling’, ‘Evaluation’, ‘Anal</w:t>
      </w:r>
      <w:r>
        <w:rPr>
          <w:rFonts w:ascii="Times New Roman" w:eastAsia="Times New Roman" w:hAnsi="Times New Roman" w:cs="Times New Roman"/>
          <w:sz w:val="24"/>
          <w:szCs w:val="24"/>
        </w:rPr>
        <w:t>ysis’, conclusion’, and ‘Action plan’ (</w:t>
      </w:r>
      <w:proofErr w:type="spellStart"/>
      <w:r>
        <w:rPr>
          <w:rFonts w:ascii="Times New Roman" w:eastAsia="Times New Roman" w:hAnsi="Times New Roman" w:cs="Times New Roman"/>
          <w:sz w:val="24"/>
          <w:szCs w:val="24"/>
        </w:rPr>
        <w:t>OpenLearn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xml:space="preserve">): It acknowledges that personal feelings influence a situation and how an individual begins to reflect on it. This model can be viewed as an extension of </w:t>
      </w:r>
      <w:proofErr w:type="spellStart"/>
      <w:r>
        <w:rPr>
          <w:rFonts w:ascii="Times New Roman" w:eastAsia="Times New Roman" w:hAnsi="Times New Roman" w:cs="Times New Roman"/>
          <w:sz w:val="24"/>
          <w:szCs w:val="24"/>
        </w:rPr>
        <w:t>Boud’s</w:t>
      </w:r>
      <w:proofErr w:type="spellEnd"/>
      <w:r>
        <w:rPr>
          <w:rFonts w:ascii="Times New Roman" w:eastAsia="Times New Roman" w:hAnsi="Times New Roman" w:cs="Times New Roman"/>
          <w:sz w:val="24"/>
          <w:szCs w:val="24"/>
        </w:rPr>
        <w:t xml:space="preserve"> model: Reflection is broken down into eva</w:t>
      </w:r>
      <w:r>
        <w:rPr>
          <w:rFonts w:ascii="Times New Roman" w:eastAsia="Times New Roman" w:hAnsi="Times New Roman" w:cs="Times New Roman"/>
          <w:sz w:val="24"/>
          <w:szCs w:val="24"/>
        </w:rPr>
        <w:t>luation of the event and analysis; it provides a clear link between the learning that happens from a situation and future practice (</w:t>
      </w:r>
      <w:proofErr w:type="spellStart"/>
      <w:r>
        <w:rPr>
          <w:rFonts w:ascii="Times New Roman" w:eastAsia="Times New Roman" w:hAnsi="Times New Roman" w:cs="Times New Roman"/>
          <w:sz w:val="24"/>
          <w:szCs w:val="24"/>
        </w:rPr>
        <w:t>OpenLearn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However, one can argue that Gibbs reflective cycle provides a superficial reflection as it does not refer t</w:t>
      </w:r>
      <w:r>
        <w:rPr>
          <w:rFonts w:ascii="Times New Roman" w:eastAsia="Times New Roman" w:hAnsi="Times New Roman" w:cs="Times New Roman"/>
          <w:sz w:val="24"/>
          <w:szCs w:val="24"/>
        </w:rPr>
        <w:t>o either critical thinking or analysis: It does not take into account perceptions one may have about the situation, the need to look at different viewpoints critically, and also there does not appear to be an explicit indication that the learning would lea</w:t>
      </w:r>
      <w:r>
        <w:rPr>
          <w:rFonts w:ascii="Times New Roman" w:eastAsia="Times New Roman" w:hAnsi="Times New Roman" w:cs="Times New Roman"/>
          <w:sz w:val="24"/>
          <w:szCs w:val="24"/>
        </w:rPr>
        <w:t xml:space="preserve">d to a shift in assumptions perspectives or practice. Atkins and Murphy address the critical criticism in </w:t>
      </w:r>
      <w:proofErr w:type="spellStart"/>
      <w:r>
        <w:rPr>
          <w:rFonts w:ascii="Times New Roman" w:eastAsia="Times New Roman" w:hAnsi="Times New Roman" w:cs="Times New Roman"/>
          <w:sz w:val="24"/>
          <w:szCs w:val="24"/>
        </w:rPr>
        <w:t>Boud’s</w:t>
      </w:r>
      <w:proofErr w:type="spellEnd"/>
      <w:r>
        <w:rPr>
          <w:rFonts w:ascii="Times New Roman" w:eastAsia="Times New Roman" w:hAnsi="Times New Roman" w:cs="Times New Roman"/>
          <w:sz w:val="24"/>
          <w:szCs w:val="24"/>
        </w:rPr>
        <w:t xml:space="preserve"> and Gibbs’ reflective model with their own cyclical model which contains the following variables 'Awareness', 'Description of the situation', '</w:t>
      </w:r>
      <w:r>
        <w:rPr>
          <w:rFonts w:ascii="Times New Roman" w:eastAsia="Times New Roman" w:hAnsi="Times New Roman" w:cs="Times New Roman"/>
          <w:sz w:val="24"/>
          <w:szCs w:val="24"/>
        </w:rPr>
        <w:t>Analysis of feeling and knowledge', 'Evaluating the relevance of knowledge', and 'Identifying any learning' (</w:t>
      </w:r>
      <w:proofErr w:type="spellStart"/>
      <w:r>
        <w:rPr>
          <w:rFonts w:ascii="Times New Roman" w:eastAsia="Times New Roman" w:hAnsi="Times New Roman" w:cs="Times New Roman"/>
          <w:sz w:val="24"/>
          <w:szCs w:val="24"/>
        </w:rPr>
        <w:t>OpenLearn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n.d</w:t>
      </w:r>
      <w:proofErr w:type="spellEnd"/>
      <w:r>
        <w:rPr>
          <w:rFonts w:ascii="Times New Roman" w:eastAsia="Times New Roman" w:hAnsi="Times New Roman" w:cs="Times New Roman"/>
          <w:sz w:val="24"/>
          <w:szCs w:val="24"/>
        </w:rPr>
        <w:t>): This model encourages a deeper level of reflection unlike the other two described as it specifically recognizes the challenges, as</w:t>
      </w:r>
      <w:r>
        <w:rPr>
          <w:rFonts w:ascii="Times New Roman" w:eastAsia="Times New Roman" w:hAnsi="Times New Roman" w:cs="Times New Roman"/>
          <w:sz w:val="24"/>
          <w:szCs w:val="24"/>
        </w:rPr>
        <w:t xml:space="preserve">sumptions, imagining and testing alternatives, and assessing the significance and effect, as well as identifying learning that has occurred as a resuscitation. </w:t>
      </w:r>
    </w:p>
    <w:p w14:paraId="1C380B46" w14:textId="77777777" w:rsidR="00123AA4" w:rsidRDefault="00940411">
      <w:pPr>
        <w:pBdr>
          <w:top w:val="nil"/>
          <w:left w:val="nil"/>
          <w:bottom w:val="nil"/>
          <w:right w:val="nil"/>
          <w:between w:val="nil"/>
        </w:pBdr>
        <w:spacing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 AT&amp;T, I was able to develop effective self-management, communication, and interpersonal skil</w:t>
      </w:r>
      <w:r>
        <w:rPr>
          <w:rFonts w:ascii="Times New Roman" w:eastAsia="Times New Roman" w:hAnsi="Times New Roman" w:cs="Times New Roman"/>
          <w:color w:val="000000"/>
          <w:sz w:val="24"/>
          <w:szCs w:val="24"/>
        </w:rPr>
        <w:t>ls. All these skills are taught at school, and although one can use them in life generally, a work setting alters most beliefs, assumptions if not all entailing to these skills. Borich (2007) articulates that in school, students' self-management is enhance</w:t>
      </w:r>
      <w:r>
        <w:rPr>
          <w:rFonts w:ascii="Times New Roman" w:eastAsia="Times New Roman" w:hAnsi="Times New Roman" w:cs="Times New Roman"/>
          <w:color w:val="000000"/>
          <w:sz w:val="24"/>
          <w:szCs w:val="24"/>
        </w:rPr>
        <w:t>d by teaching them how to become more self-directed individuals; which is done through nurturing motivation and behavioral changes that lead them into attaining study skills and thus consequently enhancing self-management. In my personal experience at AT&amp;T</w:t>
      </w:r>
      <w:r>
        <w:rPr>
          <w:rFonts w:ascii="Times New Roman" w:eastAsia="Times New Roman" w:hAnsi="Times New Roman" w:cs="Times New Roman"/>
          <w:color w:val="000000"/>
          <w:sz w:val="24"/>
          <w:szCs w:val="24"/>
        </w:rPr>
        <w:t xml:space="preserve">, I observed that although this is the case; </w:t>
      </w:r>
      <w:r>
        <w:rPr>
          <w:rFonts w:ascii="Times New Roman" w:eastAsia="Times New Roman" w:hAnsi="Times New Roman" w:cs="Times New Roman"/>
          <w:color w:val="000000"/>
          <w:sz w:val="24"/>
          <w:szCs w:val="24"/>
        </w:rPr>
        <w:lastRenderedPageBreak/>
        <w:t>employers nurturing the employee’s motivation by providing a conducive environment, self-management was more up to the employees themselves. During my training period at the company, I happened to be included in</w:t>
      </w:r>
      <w:r>
        <w:rPr>
          <w:rFonts w:ascii="Times New Roman" w:eastAsia="Times New Roman" w:hAnsi="Times New Roman" w:cs="Times New Roman"/>
          <w:color w:val="000000"/>
          <w:sz w:val="24"/>
          <w:szCs w:val="24"/>
        </w:rPr>
        <w:t xml:space="preserve"> a self-assessment training and development which was put in place to improve self-management skills. This self-development training was conducted by an external trainer and the following topics were discussed: stress resistance, problem-solving, time mana</w:t>
      </w:r>
      <w:r>
        <w:rPr>
          <w:rFonts w:ascii="Times New Roman" w:eastAsia="Times New Roman" w:hAnsi="Times New Roman" w:cs="Times New Roman"/>
          <w:color w:val="000000"/>
          <w:sz w:val="24"/>
          <w:szCs w:val="24"/>
        </w:rPr>
        <w:t xml:space="preserve">gement, communication, and interpersonal </w:t>
      </w:r>
      <w:proofErr w:type="gramStart"/>
      <w:r>
        <w:rPr>
          <w:rFonts w:ascii="Times New Roman" w:eastAsia="Times New Roman" w:hAnsi="Times New Roman" w:cs="Times New Roman"/>
          <w:color w:val="000000"/>
          <w:sz w:val="24"/>
          <w:szCs w:val="24"/>
        </w:rPr>
        <w:t>skills,.</w:t>
      </w:r>
      <w:proofErr w:type="gramEnd"/>
      <w:r>
        <w:rPr>
          <w:rFonts w:ascii="Times New Roman" w:eastAsia="Times New Roman" w:hAnsi="Times New Roman" w:cs="Times New Roman"/>
          <w:color w:val="000000"/>
          <w:sz w:val="24"/>
          <w:szCs w:val="24"/>
        </w:rPr>
        <w:t xml:space="preserve"> A stressful situation blocks an individual’s ability to think as well as making rational decisions; Stress makes a person not be able to perform the simplest work thus making the person's productivity go do</w:t>
      </w:r>
      <w:r>
        <w:rPr>
          <w:rFonts w:ascii="Times New Roman" w:eastAsia="Times New Roman" w:hAnsi="Times New Roman" w:cs="Times New Roman"/>
          <w:color w:val="000000"/>
          <w:sz w:val="24"/>
          <w:szCs w:val="24"/>
        </w:rPr>
        <w:t>wn furthering the frustrations. Through the training, the following steps were discussed on how to manage stress; engaging in physical activities as it helps in taking one’s mind off stressful things, during work an individual should learn how to act rathe</w:t>
      </w:r>
      <w:r>
        <w:rPr>
          <w:rFonts w:ascii="Times New Roman" w:eastAsia="Times New Roman" w:hAnsi="Times New Roman" w:cs="Times New Roman"/>
          <w:color w:val="000000"/>
          <w:sz w:val="24"/>
          <w:szCs w:val="24"/>
        </w:rPr>
        <w:t xml:space="preserve">r than react; this involves knowing which situations are in one's control and which ones are not. By this, an individual </w:t>
      </w:r>
      <w:proofErr w:type="gramStart"/>
      <w:r>
        <w:rPr>
          <w:rFonts w:ascii="Times New Roman" w:eastAsia="Times New Roman" w:hAnsi="Times New Roman" w:cs="Times New Roman"/>
          <w:color w:val="000000"/>
          <w:sz w:val="24"/>
          <w:szCs w:val="24"/>
        </w:rPr>
        <w:t>is capable of controlling</w:t>
      </w:r>
      <w:proofErr w:type="gramEnd"/>
      <w:r>
        <w:rPr>
          <w:rFonts w:ascii="Times New Roman" w:eastAsia="Times New Roman" w:hAnsi="Times New Roman" w:cs="Times New Roman"/>
          <w:color w:val="000000"/>
          <w:sz w:val="24"/>
          <w:szCs w:val="24"/>
        </w:rPr>
        <w:t xml:space="preserve"> the things they can and reporting to their supervisors or management on those they cannot. I used this insigh</w:t>
      </w:r>
      <w:r>
        <w:rPr>
          <w:rFonts w:ascii="Times New Roman" w:eastAsia="Times New Roman" w:hAnsi="Times New Roman" w:cs="Times New Roman"/>
          <w:color w:val="000000"/>
          <w:sz w:val="24"/>
          <w:szCs w:val="24"/>
        </w:rPr>
        <w:t xml:space="preserve">t in my daily </w:t>
      </w:r>
      <w:proofErr w:type="gramStart"/>
      <w:r>
        <w:rPr>
          <w:rFonts w:ascii="Times New Roman" w:eastAsia="Times New Roman" w:hAnsi="Times New Roman" w:cs="Times New Roman"/>
          <w:color w:val="000000"/>
          <w:sz w:val="24"/>
          <w:szCs w:val="24"/>
        </w:rPr>
        <w:t>life</w:t>
      </w:r>
      <w:proofErr w:type="gramEnd"/>
      <w:r>
        <w:rPr>
          <w:rFonts w:ascii="Times New Roman" w:eastAsia="Times New Roman" w:hAnsi="Times New Roman" w:cs="Times New Roman"/>
          <w:color w:val="000000"/>
          <w:sz w:val="24"/>
          <w:szCs w:val="24"/>
        </w:rPr>
        <w:t xml:space="preserve"> and I started running six days a week and it was helpful in charging my mind up and also </w:t>
      </w:r>
      <w:proofErr w:type="spellStart"/>
      <w:r>
        <w:rPr>
          <w:rFonts w:ascii="Times New Roman" w:eastAsia="Times New Roman" w:hAnsi="Times New Roman" w:cs="Times New Roman"/>
          <w:color w:val="000000"/>
          <w:sz w:val="24"/>
          <w:szCs w:val="24"/>
        </w:rPr>
        <w:t>cope</w:t>
      </w:r>
      <w:proofErr w:type="spellEnd"/>
      <w:r>
        <w:rPr>
          <w:rFonts w:ascii="Times New Roman" w:eastAsia="Times New Roman" w:hAnsi="Times New Roman" w:cs="Times New Roman"/>
          <w:color w:val="000000"/>
          <w:sz w:val="24"/>
          <w:szCs w:val="24"/>
        </w:rPr>
        <w:t xml:space="preserve"> up with challenges. I noted that exercising helped in keeping my mind sober; it improved my problem-solving skills as I was able to review a pr</w:t>
      </w:r>
      <w:r>
        <w:rPr>
          <w:rFonts w:ascii="Times New Roman" w:eastAsia="Times New Roman" w:hAnsi="Times New Roman" w:cs="Times New Roman"/>
          <w:color w:val="000000"/>
          <w:sz w:val="24"/>
          <w:szCs w:val="24"/>
        </w:rPr>
        <w:t>oblem, analyzing the situation, making some right assumptions of the situation, and being able to come up with effective solutions. From my experience in the company, I discovered that even with training offered self-motivation was one of the most powerful</w:t>
      </w:r>
      <w:r>
        <w:rPr>
          <w:rFonts w:ascii="Times New Roman" w:eastAsia="Times New Roman" w:hAnsi="Times New Roman" w:cs="Times New Roman"/>
          <w:color w:val="000000"/>
          <w:sz w:val="24"/>
          <w:szCs w:val="24"/>
        </w:rPr>
        <w:t xml:space="preserve"> forces that drive anyone to achieve maximum productivity; by viewing the job as hard, boring and impossible made one to be less productive as they were less enthusiastic about their task. But, giving oneself a positive outlook of the day was a great motiv</w:t>
      </w:r>
      <w:r>
        <w:rPr>
          <w:rFonts w:ascii="Times New Roman" w:eastAsia="Times New Roman" w:hAnsi="Times New Roman" w:cs="Times New Roman"/>
          <w:color w:val="000000"/>
          <w:sz w:val="24"/>
          <w:szCs w:val="24"/>
        </w:rPr>
        <w:t xml:space="preserve">ator to get through the day: For instance, I usually gave myself my daily expectations and how I would achieve them before starting off my daily responsibilities </w:t>
      </w:r>
      <w:r>
        <w:rPr>
          <w:rFonts w:ascii="Times New Roman" w:eastAsia="Times New Roman" w:hAnsi="Times New Roman" w:cs="Times New Roman"/>
          <w:color w:val="000000"/>
          <w:sz w:val="24"/>
          <w:szCs w:val="24"/>
        </w:rPr>
        <w:lastRenderedPageBreak/>
        <w:t xml:space="preserve">and I feel that this propelled me to work not only harder but better at the tasks given: This </w:t>
      </w:r>
      <w:r>
        <w:rPr>
          <w:rFonts w:ascii="Times New Roman" w:eastAsia="Times New Roman" w:hAnsi="Times New Roman" w:cs="Times New Roman"/>
          <w:color w:val="000000"/>
          <w:sz w:val="24"/>
          <w:szCs w:val="24"/>
        </w:rPr>
        <w:t>also propelled me in observing time i.e. when I was supposed to be at work, submit tasks, or be in a meeting; therefore helping me improve on my time management skills. A work setting involves interacting with other people whether colleagues or clients. Su</w:t>
      </w:r>
      <w:r>
        <w:rPr>
          <w:rFonts w:ascii="Times New Roman" w:eastAsia="Times New Roman" w:hAnsi="Times New Roman" w:cs="Times New Roman"/>
          <w:color w:val="000000"/>
          <w:sz w:val="24"/>
          <w:szCs w:val="24"/>
        </w:rPr>
        <w:t>ccessful communication and interpersonal skills are essential in understanding people and situations, overcoming diversities, building respect and trust in the workplace, and ensuring a conducive environment in the workplace whereby people could share crea</w:t>
      </w:r>
      <w:r>
        <w:rPr>
          <w:rFonts w:ascii="Times New Roman" w:eastAsia="Times New Roman" w:hAnsi="Times New Roman" w:cs="Times New Roman"/>
          <w:color w:val="000000"/>
          <w:sz w:val="24"/>
          <w:szCs w:val="24"/>
        </w:rPr>
        <w:t>tive ideas, and solve problems together without any judgments and insults during this process. I was able to develop effective communication and interpersonal skills through the following ways: controlling my emotions, acknowledging other people’s expertis</w:t>
      </w:r>
      <w:r>
        <w:rPr>
          <w:rFonts w:ascii="Times New Roman" w:eastAsia="Times New Roman" w:hAnsi="Times New Roman" w:cs="Times New Roman"/>
          <w:color w:val="000000"/>
          <w:sz w:val="24"/>
          <w:szCs w:val="24"/>
        </w:rPr>
        <w:t xml:space="preserve">e, active listening, being assertive, being empathetic, and maintaining a relationship with others. From lessons at school, I had learned that "work is not the place to be overly emotion". Somedays I was extremely irritated, sad, or ecstatically happy but </w:t>
      </w:r>
      <w:r>
        <w:rPr>
          <w:rFonts w:ascii="Times New Roman" w:eastAsia="Times New Roman" w:hAnsi="Times New Roman" w:cs="Times New Roman"/>
          <w:color w:val="000000"/>
          <w:sz w:val="24"/>
          <w:szCs w:val="24"/>
        </w:rPr>
        <w:t>due to this notion, I would always express myself in a calm patient manner in order not to disrupt the mood of the workplace. In the cases whereby I was stuck in a task or in need of assistance in a project, I would ask for help from one of my fellow train</w:t>
      </w:r>
      <w:r>
        <w:rPr>
          <w:rFonts w:ascii="Times New Roman" w:eastAsia="Times New Roman" w:hAnsi="Times New Roman" w:cs="Times New Roman"/>
          <w:color w:val="000000"/>
          <w:sz w:val="24"/>
          <w:szCs w:val="24"/>
        </w:rPr>
        <w:t>ees, or other employees such as the supervisors and give credit where credit was due; I noticed that by acknowledging other people’s expertise and appreciating their assistance, I was able to build some form of trust and respect with them which was also ac</w:t>
      </w:r>
      <w:r>
        <w:rPr>
          <w:rFonts w:ascii="Times New Roman" w:eastAsia="Times New Roman" w:hAnsi="Times New Roman" w:cs="Times New Roman"/>
          <w:color w:val="000000"/>
          <w:sz w:val="24"/>
          <w:szCs w:val="24"/>
        </w:rPr>
        <w:t>hieved through active listening. Being assertive was an essential skill I developed; at first, I was afraid of giving my opinions and expressing myself to other; but through observation of the people there, how they would talk, their charisma, in a need to</w:t>
      </w:r>
      <w:r>
        <w:rPr>
          <w:rFonts w:ascii="Times New Roman" w:eastAsia="Times New Roman" w:hAnsi="Times New Roman" w:cs="Times New Roman"/>
          <w:color w:val="000000"/>
          <w:sz w:val="24"/>
          <w:szCs w:val="24"/>
        </w:rPr>
        <w:t xml:space="preserve"> being like them, I was able to become more confident and therefore able to express my opinions even to strangers in the right manner. Networking was one of my main aims while joining the institution; I was able to achieve this by maintaining relationships</w:t>
      </w:r>
      <w:r>
        <w:rPr>
          <w:rFonts w:ascii="Times New Roman" w:eastAsia="Times New Roman" w:hAnsi="Times New Roman" w:cs="Times New Roman"/>
          <w:color w:val="000000"/>
          <w:sz w:val="24"/>
          <w:szCs w:val="24"/>
        </w:rPr>
        <w:t xml:space="preserve"> with some of the workers, </w:t>
      </w:r>
      <w:r>
        <w:rPr>
          <w:rFonts w:ascii="Times New Roman" w:eastAsia="Times New Roman" w:hAnsi="Times New Roman" w:cs="Times New Roman"/>
          <w:color w:val="000000"/>
          <w:sz w:val="24"/>
          <w:szCs w:val="24"/>
        </w:rPr>
        <w:lastRenderedPageBreak/>
        <w:t xml:space="preserve">fellow trainees outside the work setting as well as being empathetic of other people’s situations; this indicated that I value the relationship with other people. </w:t>
      </w:r>
    </w:p>
    <w:p w14:paraId="1C380B47" w14:textId="77777777" w:rsidR="00123AA4" w:rsidRDefault="00940411">
      <w:pPr>
        <w:pBdr>
          <w:top w:val="nil"/>
          <w:left w:val="nil"/>
          <w:bottom w:val="nil"/>
          <w:right w:val="nil"/>
          <w:between w:val="nil"/>
        </w:pBdr>
        <w:spacing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My learning experience in the development of effective self-management, communication, and interpersonal skills was relevant to Atkins and Murphy 1994 model of reflection. As described earlier on, the model variables include the following: "Awareness', 'De</w:t>
      </w:r>
      <w:r>
        <w:rPr>
          <w:rFonts w:ascii="Times New Roman" w:eastAsia="Times New Roman" w:hAnsi="Times New Roman" w:cs="Times New Roman"/>
          <w:color w:val="000000"/>
          <w:sz w:val="24"/>
          <w:szCs w:val="24"/>
        </w:rPr>
        <w:t>scribing the situation', 'Analyzing feelings and knowledge', 'Evaluating the relevance of knowledge', and 'Identifying and learning'. I state my experience was in relation to this model as it is used by professionals who want to learn continually; and that</w:t>
      </w:r>
      <w:r>
        <w:rPr>
          <w:rFonts w:ascii="Times New Roman" w:eastAsia="Times New Roman" w:hAnsi="Times New Roman" w:cs="Times New Roman"/>
          <w:color w:val="000000"/>
          <w:sz w:val="24"/>
          <w:szCs w:val="24"/>
        </w:rPr>
        <w:t xml:space="preserve"> is generally my life’s aim. In relation to ‘Awareness’ I was open and expressed myself vulnerable in order to identify the discomforts; and therefore, I was able to identify and analyze my thoughts and emotions that resulted from the experience. Using the</w:t>
      </w:r>
      <w:r>
        <w:rPr>
          <w:rFonts w:ascii="Times New Roman" w:eastAsia="Times New Roman" w:hAnsi="Times New Roman" w:cs="Times New Roman"/>
          <w:color w:val="000000"/>
          <w:sz w:val="24"/>
          <w:szCs w:val="24"/>
        </w:rPr>
        <w:t xml:space="preserve"> second variable ‘Describing the situation’, I was able to analyze the situation and key events that occurred </w:t>
      </w:r>
      <w:proofErr w:type="gramStart"/>
      <w:r>
        <w:rPr>
          <w:rFonts w:ascii="Times New Roman" w:eastAsia="Times New Roman" w:hAnsi="Times New Roman" w:cs="Times New Roman"/>
          <w:color w:val="000000"/>
          <w:sz w:val="24"/>
          <w:szCs w:val="24"/>
        </w:rPr>
        <w:t>critically;</w:t>
      </w:r>
      <w:proofErr w:type="gramEnd"/>
      <w:r>
        <w:rPr>
          <w:rFonts w:ascii="Times New Roman" w:eastAsia="Times New Roman" w:hAnsi="Times New Roman" w:cs="Times New Roman"/>
          <w:color w:val="000000"/>
          <w:sz w:val="24"/>
          <w:szCs w:val="24"/>
        </w:rPr>
        <w:t xml:space="preserve"> which was the training experience. The third variable is ‘Analyzing feelings and knowledge’, by this I was able to analyze the knowled</w:t>
      </w:r>
      <w:r>
        <w:rPr>
          <w:rFonts w:ascii="Times New Roman" w:eastAsia="Times New Roman" w:hAnsi="Times New Roman" w:cs="Times New Roman"/>
          <w:color w:val="000000"/>
          <w:sz w:val="24"/>
          <w:szCs w:val="24"/>
        </w:rPr>
        <w:t>ge of the experience, the assumptions and feelings that I had of the event. ‘Evaluating the relevance of knowledge’, through this step I was able to assess my knowledge of the situation and how it was helpful in the situation. ‘Identifying and learning’ in</w:t>
      </w:r>
      <w:r>
        <w:rPr>
          <w:rFonts w:ascii="Times New Roman" w:eastAsia="Times New Roman" w:hAnsi="Times New Roman" w:cs="Times New Roman"/>
          <w:color w:val="000000"/>
          <w:sz w:val="24"/>
          <w:szCs w:val="24"/>
        </w:rPr>
        <w:t xml:space="preserve">volved asking myself what I learned from the training experience, and how what I had learned could be used in future situations. I observed that </w:t>
      </w:r>
      <w:proofErr w:type="gramStart"/>
      <w:r>
        <w:rPr>
          <w:rFonts w:ascii="Times New Roman" w:eastAsia="Times New Roman" w:hAnsi="Times New Roman" w:cs="Times New Roman"/>
          <w:color w:val="000000"/>
          <w:sz w:val="24"/>
          <w:szCs w:val="24"/>
        </w:rPr>
        <w:t>the  Atkin’s</w:t>
      </w:r>
      <w:proofErr w:type="gramEnd"/>
      <w:r>
        <w:rPr>
          <w:rFonts w:ascii="Times New Roman" w:eastAsia="Times New Roman" w:hAnsi="Times New Roman" w:cs="Times New Roman"/>
          <w:color w:val="000000"/>
          <w:sz w:val="24"/>
          <w:szCs w:val="24"/>
        </w:rPr>
        <w:t xml:space="preserve"> and Murphy’s model provides a positive approach to reflective practice and is believed to help dev</w:t>
      </w:r>
      <w:r>
        <w:rPr>
          <w:rFonts w:ascii="Times New Roman" w:eastAsia="Times New Roman" w:hAnsi="Times New Roman" w:cs="Times New Roman"/>
          <w:color w:val="000000"/>
          <w:sz w:val="24"/>
          <w:szCs w:val="24"/>
        </w:rPr>
        <w:t xml:space="preserve">elop professional skills and abilities as it allows people to look at discomfort and learn from these.  </w:t>
      </w:r>
    </w:p>
    <w:p w14:paraId="1C380B48" w14:textId="77777777" w:rsidR="00123AA4" w:rsidRDefault="00940411">
      <w:pPr>
        <w:rPr>
          <w:rFonts w:ascii="Times New Roman" w:eastAsia="Times New Roman" w:hAnsi="Times New Roman" w:cs="Times New Roman"/>
          <w:sz w:val="24"/>
          <w:szCs w:val="24"/>
        </w:rPr>
      </w:pPr>
      <w:r>
        <w:br w:type="page"/>
      </w:r>
    </w:p>
    <w:p w14:paraId="1C380B49" w14:textId="77777777" w:rsidR="00123AA4" w:rsidRDefault="00940411">
      <w:pPr>
        <w:pBdr>
          <w:top w:val="nil"/>
          <w:left w:val="nil"/>
          <w:bottom w:val="nil"/>
          <w:right w:val="nil"/>
          <w:between w:val="nil"/>
        </w:pBdr>
        <w:spacing w:after="0" w:line="48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References</w:t>
      </w:r>
    </w:p>
    <w:p w14:paraId="1C380B4A" w14:textId="77777777" w:rsidR="00123AA4" w:rsidRDefault="00940411">
      <w:pPr>
        <w:pBdr>
          <w:top w:val="nil"/>
          <w:left w:val="nil"/>
          <w:bottom w:val="nil"/>
          <w:right w:val="nil"/>
          <w:between w:val="nil"/>
        </w:pBdr>
        <w:spacing w:after="0" w:line="48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Borich, Gary. </w:t>
      </w:r>
      <w:proofErr w:type="gramStart"/>
      <w:r>
        <w:rPr>
          <w:rFonts w:ascii="Times New Roman" w:eastAsia="Times New Roman" w:hAnsi="Times New Roman" w:cs="Times New Roman"/>
          <w:color w:val="000000"/>
          <w:sz w:val="24"/>
          <w:szCs w:val="24"/>
        </w:rPr>
        <w:t>D</w:t>
      </w:r>
      <w:r>
        <w:rPr>
          <w:rFonts w:ascii="Times New Roman" w:eastAsia="Times New Roman" w:hAnsi="Times New Roman" w:cs="Times New Roman"/>
          <w:i/>
          <w:color w:val="000000"/>
          <w:sz w:val="24"/>
          <w:szCs w:val="24"/>
        </w:rPr>
        <w:t>.</w:t>
      </w:r>
      <w:r>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4"/>
          <w:szCs w:val="24"/>
        </w:rPr>
        <w:t xml:space="preserve">2007) </w:t>
      </w:r>
      <w:r>
        <w:rPr>
          <w:rFonts w:ascii="Times New Roman" w:eastAsia="Times New Roman" w:hAnsi="Times New Roman" w:cs="Times New Roman"/>
          <w:i/>
          <w:color w:val="000000"/>
          <w:sz w:val="24"/>
          <w:szCs w:val="24"/>
        </w:rPr>
        <w:t xml:space="preserve"> Effective Teaching Methods: Research-based Practice.</w:t>
      </w:r>
      <w:r>
        <w:rPr>
          <w:rFonts w:ascii="Times New Roman" w:eastAsia="Times New Roman" w:hAnsi="Times New Roman" w:cs="Times New Roman"/>
          <w:color w:val="000000"/>
          <w:sz w:val="24"/>
          <w:szCs w:val="24"/>
        </w:rPr>
        <w:t xml:space="preserve"> 6th ed. Upper Saddle River, N.J: Pearson Merrill/Prentice Hal</w:t>
      </w:r>
      <w:r>
        <w:rPr>
          <w:rFonts w:ascii="Times New Roman" w:eastAsia="Times New Roman" w:hAnsi="Times New Roman" w:cs="Times New Roman"/>
          <w:color w:val="000000"/>
          <w:sz w:val="24"/>
          <w:szCs w:val="24"/>
        </w:rPr>
        <w:t>l.</w:t>
      </w:r>
    </w:p>
    <w:p w14:paraId="1C380B4B" w14:textId="77777777" w:rsidR="00123AA4" w:rsidRDefault="00940411">
      <w:pPr>
        <w:pBdr>
          <w:top w:val="nil"/>
          <w:left w:val="nil"/>
          <w:bottom w:val="nil"/>
          <w:right w:val="nil"/>
          <w:between w:val="nil"/>
        </w:pBdr>
        <w:spacing w:after="0" w:line="48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Derek </w:t>
      </w:r>
      <w:proofErr w:type="spellStart"/>
      <w:r>
        <w:rPr>
          <w:rFonts w:ascii="Times New Roman" w:eastAsia="Times New Roman" w:hAnsi="Times New Roman" w:cs="Times New Roman"/>
          <w:color w:val="000000"/>
          <w:sz w:val="24"/>
          <w:szCs w:val="24"/>
        </w:rPr>
        <w:t>Cavilla</w:t>
      </w:r>
      <w:proofErr w:type="spellEnd"/>
      <w:r>
        <w:rPr>
          <w:rFonts w:ascii="Times New Roman" w:eastAsia="Times New Roman" w:hAnsi="Times New Roman" w:cs="Times New Roman"/>
          <w:color w:val="000000"/>
          <w:sz w:val="24"/>
          <w:szCs w:val="24"/>
        </w:rPr>
        <w:t xml:space="preserve">. (2017). The Effects of Student Reflection on Academic Performance and Motivation. </w:t>
      </w:r>
      <w:r>
        <w:rPr>
          <w:rFonts w:ascii="Times New Roman" w:eastAsia="Times New Roman" w:hAnsi="Times New Roman" w:cs="Times New Roman"/>
          <w:i/>
          <w:color w:val="000000"/>
          <w:sz w:val="24"/>
          <w:szCs w:val="24"/>
        </w:rPr>
        <w:t>Sage Open [online],</w:t>
      </w:r>
      <w:r>
        <w:rPr>
          <w:rFonts w:ascii="Times New Roman" w:eastAsia="Times New Roman" w:hAnsi="Times New Roman" w:cs="Times New Roman"/>
          <w:color w:val="000000"/>
          <w:sz w:val="24"/>
          <w:szCs w:val="24"/>
        </w:rPr>
        <w:t xml:space="preserve"> 7(3), 1-13. DOI: 10.1177/2158244017733790. Available from: ResearchGate [accessed 20 November 2020]</w:t>
      </w:r>
    </w:p>
    <w:p w14:paraId="1C380B4C" w14:textId="77777777" w:rsidR="00123AA4" w:rsidRDefault="00940411">
      <w:pPr>
        <w:pBdr>
          <w:top w:val="nil"/>
          <w:left w:val="nil"/>
          <w:bottom w:val="nil"/>
          <w:right w:val="nil"/>
          <w:between w:val="nil"/>
        </w:pBdr>
        <w:spacing w:after="0" w:line="48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Hadiya Habib. (2017). A Study of Ref</w:t>
      </w:r>
      <w:r>
        <w:rPr>
          <w:rFonts w:ascii="Times New Roman" w:eastAsia="Times New Roman" w:hAnsi="Times New Roman" w:cs="Times New Roman"/>
          <w:color w:val="000000"/>
          <w:sz w:val="24"/>
          <w:szCs w:val="24"/>
        </w:rPr>
        <w:t xml:space="preserve">lective Practice and its role for Teachers. </w:t>
      </w:r>
      <w:r>
        <w:rPr>
          <w:rFonts w:ascii="Times New Roman" w:eastAsia="Times New Roman" w:hAnsi="Times New Roman" w:cs="Times New Roman"/>
          <w:i/>
          <w:color w:val="000000"/>
          <w:sz w:val="24"/>
          <w:szCs w:val="24"/>
        </w:rPr>
        <w:t xml:space="preserve">IJ </w:t>
      </w:r>
      <w:proofErr w:type="spellStart"/>
      <w:r>
        <w:rPr>
          <w:rFonts w:ascii="Times New Roman" w:eastAsia="Times New Roman" w:hAnsi="Times New Roman" w:cs="Times New Roman"/>
          <w:i/>
          <w:color w:val="000000"/>
          <w:sz w:val="24"/>
          <w:szCs w:val="24"/>
        </w:rPr>
        <w:t>Crt</w:t>
      </w:r>
      <w:proofErr w:type="spellEnd"/>
      <w:r>
        <w:rPr>
          <w:rFonts w:ascii="Times New Roman" w:eastAsia="Times New Roman" w:hAnsi="Times New Roman" w:cs="Times New Roman"/>
          <w:color w:val="000000"/>
          <w:sz w:val="24"/>
          <w:szCs w:val="24"/>
        </w:rPr>
        <w:t xml:space="preserve"> [online], 5(4), 944-947. ISSN: 2320-2882.</w:t>
      </w:r>
      <w:r>
        <w:rPr>
          <w:color w:val="000000"/>
        </w:rPr>
        <w:t xml:space="preserve"> </w:t>
      </w:r>
      <w:r>
        <w:rPr>
          <w:rFonts w:ascii="Times New Roman" w:eastAsia="Times New Roman" w:hAnsi="Times New Roman" w:cs="Times New Roman"/>
          <w:color w:val="000000"/>
          <w:sz w:val="24"/>
          <w:szCs w:val="24"/>
        </w:rPr>
        <w:t xml:space="preserve">Available from: ResearchGate [accessed 20 November 2020] </w:t>
      </w:r>
    </w:p>
    <w:p w14:paraId="1C380B4D" w14:textId="77777777" w:rsidR="00123AA4" w:rsidRDefault="00940411">
      <w:pPr>
        <w:pBdr>
          <w:top w:val="nil"/>
          <w:left w:val="nil"/>
          <w:bottom w:val="nil"/>
          <w:right w:val="nil"/>
          <w:between w:val="nil"/>
        </w:pBdr>
        <w:spacing w:after="0" w:line="48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Monica </w:t>
      </w:r>
      <w:proofErr w:type="spellStart"/>
      <w:r>
        <w:rPr>
          <w:rFonts w:ascii="Times New Roman" w:eastAsia="Times New Roman" w:hAnsi="Times New Roman" w:cs="Times New Roman"/>
          <w:color w:val="000000"/>
          <w:sz w:val="24"/>
          <w:szCs w:val="24"/>
        </w:rPr>
        <w:t>Vezzosi</w:t>
      </w:r>
      <w:proofErr w:type="spellEnd"/>
      <w:r>
        <w:rPr>
          <w:rFonts w:ascii="Times New Roman" w:eastAsia="Times New Roman" w:hAnsi="Times New Roman" w:cs="Times New Roman"/>
          <w:color w:val="000000"/>
          <w:sz w:val="24"/>
          <w:szCs w:val="24"/>
        </w:rPr>
        <w:t>. (2006). Information literacy and action research: An overview and some reflections</w:t>
      </w:r>
      <w:r>
        <w:rPr>
          <w:rFonts w:ascii="Times New Roman" w:eastAsia="Times New Roman" w:hAnsi="Times New Roman" w:cs="Times New Roman"/>
          <w:i/>
          <w:color w:val="000000"/>
          <w:sz w:val="24"/>
          <w:szCs w:val="24"/>
        </w:rPr>
        <w:t>. New Library World</w:t>
      </w:r>
      <w:r>
        <w:rPr>
          <w:rFonts w:ascii="Times New Roman" w:eastAsia="Times New Roman" w:hAnsi="Times New Roman" w:cs="Times New Roman"/>
          <w:color w:val="000000"/>
          <w:sz w:val="24"/>
          <w:szCs w:val="24"/>
        </w:rPr>
        <w:t xml:space="preserve"> [online]. 107. 286-</w:t>
      </w:r>
      <w:proofErr w:type="gramStart"/>
      <w:r>
        <w:rPr>
          <w:rFonts w:ascii="Times New Roman" w:eastAsia="Times New Roman" w:hAnsi="Times New Roman" w:cs="Times New Roman"/>
          <w:color w:val="000000"/>
          <w:sz w:val="24"/>
          <w:szCs w:val="24"/>
        </w:rPr>
        <w:t>301..</w:t>
      </w:r>
      <w:proofErr w:type="gramEnd"/>
      <w:r>
        <w:rPr>
          <w:rFonts w:ascii="Times New Roman" w:eastAsia="Times New Roman" w:hAnsi="Times New Roman" w:cs="Times New Roman"/>
          <w:color w:val="000000"/>
          <w:sz w:val="24"/>
          <w:szCs w:val="24"/>
        </w:rPr>
        <w:t xml:space="preserve"> DOI: 10.1108/03074800610677272 Available from: ResearchGate [accessed 20 November 2020]</w:t>
      </w:r>
    </w:p>
    <w:p w14:paraId="1C380B4E" w14:textId="77777777" w:rsidR="00123AA4" w:rsidRDefault="00940411">
      <w:pPr>
        <w:pBdr>
          <w:top w:val="nil"/>
          <w:left w:val="nil"/>
          <w:bottom w:val="nil"/>
          <w:right w:val="nil"/>
          <w:between w:val="nil"/>
        </w:pBdr>
        <w:spacing w:after="0" w:line="480" w:lineRule="auto"/>
        <w:ind w:left="720" w:hanging="720"/>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OpenLearn</w:t>
      </w:r>
      <w:proofErr w:type="spellEnd"/>
      <w:r>
        <w:rPr>
          <w:rFonts w:ascii="Times New Roman" w:eastAsia="Times New Roman" w:hAnsi="Times New Roman" w:cs="Times New Roman"/>
          <w:color w:val="000000"/>
          <w:sz w:val="24"/>
          <w:szCs w:val="24"/>
        </w:rPr>
        <w:t xml:space="preserve">. (n.d.). </w:t>
      </w:r>
      <w:r>
        <w:rPr>
          <w:rFonts w:ascii="Times New Roman" w:eastAsia="Times New Roman" w:hAnsi="Times New Roman" w:cs="Times New Roman"/>
          <w:i/>
          <w:color w:val="000000"/>
          <w:sz w:val="24"/>
          <w:szCs w:val="24"/>
        </w:rPr>
        <w:t>Succee</w:t>
      </w:r>
      <w:r>
        <w:rPr>
          <w:rFonts w:ascii="Times New Roman" w:eastAsia="Times New Roman" w:hAnsi="Times New Roman" w:cs="Times New Roman"/>
          <w:i/>
          <w:color w:val="000000"/>
          <w:sz w:val="24"/>
          <w:szCs w:val="24"/>
        </w:rPr>
        <w:t xml:space="preserve">ding in postgraduate study [online]. </w:t>
      </w:r>
      <w:r>
        <w:rPr>
          <w:rFonts w:ascii="Times New Roman" w:eastAsia="Times New Roman" w:hAnsi="Times New Roman" w:cs="Times New Roman"/>
          <w:color w:val="000000"/>
          <w:sz w:val="24"/>
          <w:szCs w:val="24"/>
        </w:rPr>
        <w:t>Available from:</w:t>
      </w:r>
      <w:r>
        <w:rPr>
          <w:rFonts w:ascii="Times New Roman" w:eastAsia="Times New Roman" w:hAnsi="Times New Roman" w:cs="Times New Roman"/>
          <w:i/>
          <w:color w:val="000000"/>
          <w:sz w:val="24"/>
          <w:szCs w:val="24"/>
        </w:rPr>
        <w:t xml:space="preserve"> </w:t>
      </w:r>
      <w:r>
        <w:rPr>
          <w:rFonts w:ascii="Times New Roman" w:eastAsia="Times New Roman" w:hAnsi="Times New Roman" w:cs="Times New Roman"/>
          <w:color w:val="000000"/>
          <w:sz w:val="24"/>
          <w:szCs w:val="24"/>
        </w:rPr>
        <w:t>https://www.open.edu/openlearn/ocw/mod/oucontent/view.php?id=51386§ion=4 [accessed 20 November 2020]</w:t>
      </w:r>
    </w:p>
    <w:p w14:paraId="1C380B4F" w14:textId="77777777" w:rsidR="00123AA4" w:rsidRDefault="00940411">
      <w:pPr>
        <w:pBdr>
          <w:top w:val="nil"/>
          <w:left w:val="nil"/>
          <w:bottom w:val="nil"/>
          <w:right w:val="nil"/>
          <w:between w:val="nil"/>
        </w:pBdr>
        <w:spacing w:line="480" w:lineRule="auto"/>
        <w:ind w:left="72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Robinson, M., &amp; Rousseau, N. (2018). Disparate understandings of the nature, purpose, and practices of</w:t>
      </w:r>
      <w:r>
        <w:rPr>
          <w:rFonts w:ascii="Times New Roman" w:eastAsia="Times New Roman" w:hAnsi="Times New Roman" w:cs="Times New Roman"/>
          <w:color w:val="000000"/>
          <w:sz w:val="24"/>
          <w:szCs w:val="24"/>
        </w:rPr>
        <w:t xml:space="preserve"> reflection in teacher education</w:t>
      </w:r>
      <w:r>
        <w:rPr>
          <w:rFonts w:ascii="Times New Roman" w:eastAsia="Times New Roman" w:hAnsi="Times New Roman" w:cs="Times New Roman"/>
          <w:i/>
          <w:color w:val="000000"/>
          <w:sz w:val="24"/>
          <w:szCs w:val="24"/>
        </w:rPr>
        <w:t>. South African Journal of Child Education</w:t>
      </w:r>
      <w:r>
        <w:rPr>
          <w:rFonts w:ascii="Times New Roman" w:eastAsia="Times New Roman" w:hAnsi="Times New Roman" w:cs="Times New Roman"/>
          <w:color w:val="000000"/>
          <w:sz w:val="24"/>
          <w:szCs w:val="24"/>
        </w:rPr>
        <w:t xml:space="preserve"> [online], 8(1), 1-9. DOI:10.4102/</w:t>
      </w:r>
      <w:proofErr w:type="gramStart"/>
      <w:r>
        <w:rPr>
          <w:rFonts w:ascii="Times New Roman" w:eastAsia="Times New Roman" w:hAnsi="Times New Roman" w:cs="Times New Roman"/>
          <w:color w:val="000000"/>
          <w:sz w:val="24"/>
          <w:szCs w:val="24"/>
        </w:rPr>
        <w:t>sajce.v</w:t>
      </w:r>
      <w:proofErr w:type="gramEnd"/>
      <w:r>
        <w:rPr>
          <w:rFonts w:ascii="Times New Roman" w:eastAsia="Times New Roman" w:hAnsi="Times New Roman" w:cs="Times New Roman"/>
          <w:color w:val="000000"/>
          <w:sz w:val="24"/>
          <w:szCs w:val="24"/>
        </w:rPr>
        <w:t>8i1.599</w:t>
      </w:r>
      <w:r>
        <w:rPr>
          <w:color w:val="000000"/>
        </w:rPr>
        <w:t xml:space="preserve"> </w:t>
      </w:r>
      <w:r>
        <w:rPr>
          <w:rFonts w:ascii="Times New Roman" w:eastAsia="Times New Roman" w:hAnsi="Times New Roman" w:cs="Times New Roman"/>
          <w:color w:val="000000"/>
          <w:sz w:val="24"/>
          <w:szCs w:val="24"/>
        </w:rPr>
        <w:t>Available from: ResearchGate [accessed 20 November 2020]</w:t>
      </w:r>
    </w:p>
    <w:p w14:paraId="1C380B50" w14:textId="77777777" w:rsidR="00123AA4" w:rsidRDefault="00123AA4">
      <w:pPr>
        <w:spacing w:line="480" w:lineRule="auto"/>
        <w:ind w:left="720" w:hanging="720"/>
        <w:rPr>
          <w:rFonts w:ascii="Times New Roman" w:eastAsia="Times New Roman" w:hAnsi="Times New Roman" w:cs="Times New Roman"/>
          <w:sz w:val="24"/>
          <w:szCs w:val="24"/>
        </w:rPr>
      </w:pPr>
    </w:p>
    <w:p w14:paraId="1C380B51" w14:textId="77777777" w:rsidR="00123AA4" w:rsidRDefault="00123AA4">
      <w:pPr>
        <w:spacing w:line="480" w:lineRule="auto"/>
        <w:ind w:left="720" w:hanging="720"/>
        <w:rPr>
          <w:rFonts w:ascii="Times New Roman" w:eastAsia="Times New Roman" w:hAnsi="Times New Roman" w:cs="Times New Roman"/>
          <w:sz w:val="24"/>
          <w:szCs w:val="24"/>
        </w:rPr>
      </w:pPr>
    </w:p>
    <w:p w14:paraId="1C380B52" w14:textId="77777777" w:rsidR="00123AA4" w:rsidRDefault="00123AA4">
      <w:pPr>
        <w:spacing w:line="480" w:lineRule="auto"/>
        <w:ind w:left="720" w:hanging="720"/>
        <w:jc w:val="center"/>
        <w:rPr>
          <w:rFonts w:ascii="Times New Roman" w:eastAsia="Times New Roman" w:hAnsi="Times New Roman" w:cs="Times New Roman"/>
          <w:sz w:val="24"/>
          <w:szCs w:val="24"/>
        </w:rPr>
      </w:pPr>
    </w:p>
    <w:sectPr w:rsidR="00123AA4">
      <w:head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380B59" w14:textId="77777777" w:rsidR="00000000" w:rsidRDefault="00940411">
      <w:pPr>
        <w:spacing w:after="0" w:line="240" w:lineRule="auto"/>
      </w:pPr>
      <w:r>
        <w:separator/>
      </w:r>
    </w:p>
  </w:endnote>
  <w:endnote w:type="continuationSeparator" w:id="0">
    <w:p w14:paraId="1C380B5B" w14:textId="77777777" w:rsidR="00000000" w:rsidRDefault="00940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380B55" w14:textId="77777777" w:rsidR="00000000" w:rsidRDefault="00940411">
      <w:pPr>
        <w:spacing w:after="0" w:line="240" w:lineRule="auto"/>
      </w:pPr>
      <w:r>
        <w:separator/>
      </w:r>
    </w:p>
  </w:footnote>
  <w:footnote w:type="continuationSeparator" w:id="0">
    <w:p w14:paraId="1C380B57" w14:textId="77777777" w:rsidR="00000000" w:rsidRDefault="009404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380B53" w14:textId="5AE729A1" w:rsidR="00123AA4" w:rsidRDefault="00940411">
    <w:pPr>
      <w:pBdr>
        <w:top w:val="nil"/>
        <w:left w:val="nil"/>
        <w:bottom w:val="nil"/>
        <w:right w:val="nil"/>
        <w:between w:val="nil"/>
      </w:pBdr>
      <w:tabs>
        <w:tab w:val="center" w:pos="4680"/>
        <w:tab w:val="right" w:pos="9360"/>
      </w:tabs>
      <w:spacing w:after="0" w:line="240" w:lineRule="auto"/>
      <w:rPr>
        <w:color w:val="000000"/>
      </w:rPr>
    </w:pPr>
    <w:r>
      <w:rPr>
        <w:color w:val="000000"/>
      </w:rPr>
      <w:tab/>
    </w:r>
    <w:r>
      <w:rPr>
        <w:color w:val="000000"/>
      </w:rPr>
      <w:tab/>
      <w:t xml:space="preserve">Critical Report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1C380B54" w14:textId="77777777" w:rsidR="00123AA4" w:rsidRDefault="00123AA4">
    <w:pPr>
      <w:pBdr>
        <w:top w:val="nil"/>
        <w:left w:val="nil"/>
        <w:bottom w:val="nil"/>
        <w:right w:val="nil"/>
        <w:between w:val="nil"/>
      </w:pBdr>
      <w:tabs>
        <w:tab w:val="center" w:pos="4680"/>
        <w:tab w:val="right" w:pos="9360"/>
        <w:tab w:val="left" w:pos="8895"/>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AA4"/>
    <w:rsid w:val="00123AA4"/>
    <w:rsid w:val="00940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80B34"/>
  <w15:docId w15:val="{1F823C19-E5DC-477E-A383-53FA9BAA3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2071</Words>
  <Characters>11811</Characters>
  <Application>Microsoft Office Word</Application>
  <DocSecurity>0</DocSecurity>
  <Lines>98</Lines>
  <Paragraphs>27</Paragraphs>
  <ScaleCrop>false</ScaleCrop>
  <Company/>
  <LinksUpToDate>false</LinksUpToDate>
  <CharactersWithSpaces>13855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Ion</cp:lastModifiedBy>
  <cp:revision>2</cp:revision>
  <dcterms:created xsi:type="dcterms:W3CDTF">2020-11-23T15:03:00Z</dcterms:created>
  <dcterms:modified xsi:type="dcterms:W3CDTF">2020-11-23T15:03:00Z</dcterms:modified>
</cp:coreProperties>
</file>